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1435" w:firstLineChars="299"/>
        <w:rPr>
          <w:rFonts w:hint="default" w:ascii="Times New Roman" w:hAnsi="Times New Roman" w:cs="Times New Roman"/>
          <w:bCs/>
          <w:color w:val="auto"/>
          <w:sz w:val="48"/>
        </w:rPr>
      </w:pPr>
    </w:p>
    <w:p>
      <w:pPr>
        <w:jc w:val="center"/>
        <w:rPr>
          <w:rFonts w:hint="default" w:ascii="Times New Roman" w:hAnsi="Times New Roman" w:cs="Times New Roman"/>
          <w:b/>
          <w:bCs/>
          <w:color w:val="auto"/>
          <w:sz w:val="72"/>
        </w:rPr>
      </w:pPr>
      <w:r>
        <w:rPr>
          <w:rFonts w:hint="default" w:ascii="Times New Roman" w:hAnsi="Times New Roman" w:cs="Times New Roman"/>
          <w:b/>
          <w:bCs/>
          <w:color w:val="auto"/>
          <w:sz w:val="72"/>
        </w:rPr>
        <w:t>建设项目环境影响报告表</w:t>
      </w:r>
    </w:p>
    <w:p>
      <w:pPr>
        <w:jc w:val="center"/>
        <w:outlineLvl w:val="0"/>
        <w:rPr>
          <w:rFonts w:hint="default" w:ascii="Times New Roman" w:hAnsi="Times New Roman" w:cs="Times New Roman"/>
          <w:b/>
          <w:bCs/>
          <w:color w:val="auto"/>
          <w:sz w:val="48"/>
        </w:rPr>
      </w:pPr>
      <w:r>
        <w:rPr>
          <w:rFonts w:hint="default" w:ascii="Times New Roman" w:hAnsi="Times New Roman" w:cs="Times New Roman"/>
          <w:b/>
          <w:bCs/>
          <w:color w:val="auto"/>
          <w:sz w:val="48"/>
        </w:rPr>
        <w:t>(</w:t>
      </w:r>
      <w:r>
        <w:rPr>
          <w:rFonts w:hint="eastAsia" w:cs="Times New Roman"/>
          <w:b/>
          <w:bCs/>
          <w:color w:val="auto"/>
          <w:sz w:val="48"/>
          <w:lang w:val="en-US" w:eastAsia="zh-CN"/>
        </w:rPr>
        <w:t>试行</w:t>
      </w:r>
      <w:r>
        <w:rPr>
          <w:rFonts w:hint="default" w:ascii="Times New Roman" w:hAnsi="Times New Roman" w:cs="Times New Roman"/>
          <w:b/>
          <w:bCs/>
          <w:color w:val="auto"/>
          <w:sz w:val="48"/>
        </w:rPr>
        <w:t>)</w:t>
      </w: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spacing w:line="360" w:lineRule="auto"/>
        <w:jc w:val="left"/>
        <w:rPr>
          <w:rFonts w:hint="default" w:ascii="Times New Roman" w:hAnsi="Times New Roman" w:eastAsia="宋体" w:cs="Times New Roman"/>
          <w:b/>
          <w:bCs/>
          <w:color w:val="auto"/>
          <w:sz w:val="32"/>
          <w:szCs w:val="32"/>
          <w:u w:val="single"/>
          <w:lang w:val="en-US" w:eastAsia="zh-CN"/>
        </w:rPr>
      </w:pPr>
      <w:r>
        <w:rPr>
          <w:rFonts w:hint="default" w:ascii="Times New Roman" w:hAnsi="Times New Roman" w:cs="Times New Roman"/>
          <w:b/>
          <w:bCs/>
          <w:color w:val="auto"/>
          <w:sz w:val="32"/>
          <w:szCs w:val="32"/>
        </w:rPr>
        <w:t>项目名称：</w:t>
      </w:r>
      <w:r>
        <w:rPr>
          <w:rFonts w:hint="eastAsia" w:cs="Times New Roman"/>
          <w:b/>
          <w:bCs/>
          <w:color w:val="auto"/>
          <w:sz w:val="32"/>
          <w:szCs w:val="32"/>
          <w:u w:val="single"/>
          <w:lang w:val="en-US" w:eastAsia="zh-CN"/>
        </w:rPr>
        <w:t>轧钢线工艺技术改造项目</w:t>
      </w:r>
    </w:p>
    <w:p>
      <w:pPr>
        <w:spacing w:line="360" w:lineRule="auto"/>
        <w:jc w:val="left"/>
        <w:rPr>
          <w:rFonts w:hint="eastAsia" w:ascii="Times New Roman" w:hAnsi="Times New Roman" w:eastAsia="宋体" w:cs="Times New Roman"/>
          <w:b w:val="0"/>
          <w:bCs w:val="0"/>
          <w:color w:val="auto"/>
          <w:sz w:val="32"/>
          <w:szCs w:val="32"/>
          <w:u w:val="single"/>
          <w:lang w:val="en-US" w:eastAsia="zh-CN"/>
        </w:rPr>
      </w:pPr>
      <w:r>
        <w:rPr>
          <w:rFonts w:hint="default" w:ascii="Times New Roman" w:hAnsi="Times New Roman" w:cs="Times New Roman"/>
          <w:b/>
          <w:bCs/>
          <w:color w:val="auto"/>
          <w:sz w:val="32"/>
          <w:szCs w:val="32"/>
        </w:rPr>
        <w:t>建设单位</w:t>
      </w:r>
      <w:r>
        <w:rPr>
          <w:rFonts w:hint="eastAsia" w:ascii="Times New Roman" w:hAnsi="Times New Roman" w:cs="Times New Roman"/>
          <w:b/>
          <w:bCs/>
          <w:color w:val="auto"/>
          <w:sz w:val="32"/>
          <w:szCs w:val="32"/>
          <w:lang w:eastAsia="zh-CN"/>
        </w:rPr>
        <w:t>：</w:t>
      </w:r>
      <w:r>
        <w:rPr>
          <w:rFonts w:hint="eastAsia" w:cs="Times New Roman"/>
          <w:b/>
          <w:bCs/>
          <w:color w:val="auto"/>
          <w:sz w:val="32"/>
          <w:szCs w:val="32"/>
          <w:u w:val="single"/>
          <w:lang w:val="en-US" w:eastAsia="zh-CN"/>
        </w:rPr>
        <w:t>莱芜钢铁集团泰东实业有限公司轧钢厂</w:t>
      </w:r>
    </w:p>
    <w:p>
      <w:pPr>
        <w:spacing w:line="500" w:lineRule="exact"/>
        <w:jc w:val="center"/>
        <w:rPr>
          <w:rFonts w:hint="default" w:ascii="Times New Roman" w:hAnsi="Times New Roman" w:eastAsia="仿宋_GB2312" w:cs="Times New Roman"/>
          <w:color w:val="auto"/>
          <w:sz w:val="30"/>
          <w:szCs w:val="30"/>
        </w:rPr>
      </w:pPr>
    </w:p>
    <w:p>
      <w:pPr>
        <w:spacing w:line="520" w:lineRule="exact"/>
        <w:ind w:left="2728" w:leftChars="542" w:hanging="1590" w:hangingChars="495"/>
        <w:rPr>
          <w:rFonts w:hint="default" w:ascii="Times New Roman" w:hAnsi="Times New Roman" w:cs="Times New Roman"/>
          <w:b/>
          <w:bCs/>
          <w:color w:val="auto"/>
          <w:sz w:val="32"/>
          <w:szCs w:val="32"/>
          <w:u w:val="single"/>
        </w:rPr>
      </w:pPr>
    </w:p>
    <w:p>
      <w:pPr>
        <w:spacing w:line="520" w:lineRule="exact"/>
        <w:jc w:val="center"/>
        <w:rPr>
          <w:rFonts w:hint="default" w:ascii="Times New Roman" w:hAnsi="Times New Roman" w:cs="Times New Roman"/>
          <w:b/>
          <w:bCs/>
          <w:color w:val="auto"/>
          <w:sz w:val="28"/>
        </w:rPr>
      </w:pPr>
    </w:p>
    <w:p>
      <w:pPr>
        <w:spacing w:line="520" w:lineRule="exact"/>
        <w:jc w:val="center"/>
        <w:rPr>
          <w:rFonts w:hint="default" w:ascii="Times New Roman" w:hAnsi="Times New Roman" w:cs="Times New Roman"/>
          <w:b/>
          <w:bCs/>
          <w:color w:val="auto"/>
          <w:sz w:val="28"/>
        </w:rPr>
      </w:pPr>
    </w:p>
    <w:p>
      <w:pPr>
        <w:spacing w:line="520" w:lineRule="exact"/>
        <w:jc w:val="center"/>
        <w:rPr>
          <w:rFonts w:hint="default" w:ascii="Times New Roman" w:hAnsi="Times New Roman" w:cs="Times New Roman"/>
          <w:b/>
          <w:bCs/>
          <w:color w:val="auto"/>
          <w:sz w:val="28"/>
        </w:rPr>
      </w:pPr>
    </w:p>
    <w:p>
      <w:pPr>
        <w:spacing w:line="520" w:lineRule="exact"/>
        <w:jc w:val="center"/>
        <w:rPr>
          <w:rFonts w:hint="default" w:ascii="Times New Roman" w:hAnsi="Times New Roman" w:cs="Times New Roman"/>
          <w:b/>
          <w:bCs/>
          <w:color w:val="auto"/>
          <w:sz w:val="28"/>
        </w:rPr>
      </w:pPr>
    </w:p>
    <w:p>
      <w:pPr>
        <w:spacing w:line="520" w:lineRule="exact"/>
        <w:jc w:val="center"/>
        <w:rPr>
          <w:rFonts w:hint="default" w:ascii="Times New Roman" w:hAnsi="Times New Roman" w:cs="Times New Roman"/>
          <w:b/>
          <w:bCs/>
          <w:color w:val="auto"/>
          <w:sz w:val="28"/>
        </w:rPr>
      </w:pPr>
    </w:p>
    <w:p>
      <w:pPr>
        <w:spacing w:line="520" w:lineRule="exact"/>
        <w:jc w:val="center"/>
        <w:rPr>
          <w:rFonts w:hint="default" w:ascii="Times New Roman" w:hAnsi="Times New Roman" w:cs="Times New Roman"/>
          <w:b/>
          <w:bCs/>
          <w:color w:val="auto"/>
          <w:sz w:val="36"/>
        </w:rPr>
      </w:pPr>
      <w:r>
        <w:rPr>
          <w:rFonts w:hint="default" w:ascii="Times New Roman" w:hAnsi="Times New Roman" w:cs="Times New Roman"/>
          <w:b/>
          <w:bCs/>
          <w:color w:val="auto"/>
          <w:sz w:val="36"/>
        </w:rPr>
        <w:t>编制日期：2</w:t>
      </w:r>
      <w:r>
        <w:rPr>
          <w:rFonts w:hint="eastAsia" w:cs="Times New Roman"/>
          <w:b/>
          <w:bCs/>
          <w:color w:val="auto"/>
          <w:sz w:val="36"/>
          <w:lang w:val="en-US" w:eastAsia="zh-CN"/>
        </w:rPr>
        <w:t>020</w:t>
      </w:r>
      <w:r>
        <w:rPr>
          <w:rFonts w:hint="default" w:ascii="Times New Roman" w:hAnsi="Times New Roman" w:cs="Times New Roman"/>
          <w:b/>
          <w:bCs/>
          <w:color w:val="auto"/>
          <w:sz w:val="36"/>
        </w:rPr>
        <w:t>年</w:t>
      </w:r>
      <w:r>
        <w:rPr>
          <w:rFonts w:hint="eastAsia" w:cs="Times New Roman"/>
          <w:b/>
          <w:bCs/>
          <w:color w:val="auto"/>
          <w:sz w:val="36"/>
          <w:lang w:val="en-US" w:eastAsia="zh-CN"/>
        </w:rPr>
        <w:t>7</w:t>
      </w:r>
      <w:r>
        <w:rPr>
          <w:rFonts w:hint="default" w:ascii="Times New Roman" w:hAnsi="Times New Roman" w:cs="Times New Roman"/>
          <w:b/>
          <w:bCs/>
          <w:color w:val="auto"/>
          <w:sz w:val="36"/>
        </w:rPr>
        <w:t>月</w:t>
      </w:r>
    </w:p>
    <w:p>
      <w:pPr>
        <w:spacing w:line="520" w:lineRule="exact"/>
        <w:jc w:val="center"/>
        <w:rPr>
          <w:rFonts w:hint="default" w:ascii="Times New Roman" w:hAnsi="Times New Roman" w:cs="Times New Roman"/>
          <w:b/>
          <w:bCs/>
          <w:color w:val="auto"/>
          <w:spacing w:val="32"/>
          <w:sz w:val="36"/>
        </w:rPr>
      </w:pPr>
    </w:p>
    <w:p>
      <w:pPr>
        <w:spacing w:line="520" w:lineRule="exact"/>
        <w:jc w:val="center"/>
        <w:rPr>
          <w:rFonts w:hint="default" w:ascii="Times New Roman" w:hAnsi="Times New Roman" w:eastAsia="宋体" w:cs="Times New Roman"/>
          <w:b/>
          <w:bCs/>
          <w:color w:val="auto"/>
          <w:spacing w:val="32"/>
          <w:sz w:val="36"/>
          <w:lang w:eastAsia="zh-CN"/>
        </w:rPr>
      </w:pPr>
      <w:r>
        <w:rPr>
          <w:rFonts w:hint="default" w:ascii="Times New Roman" w:hAnsi="Times New Roman" w:cs="Times New Roman"/>
          <w:b/>
          <w:bCs/>
          <w:color w:val="auto"/>
          <w:spacing w:val="32"/>
          <w:sz w:val="36"/>
        </w:rPr>
        <w:t>国家环境保护总局</w:t>
      </w:r>
      <w:r>
        <w:rPr>
          <w:rFonts w:hint="eastAsia" w:ascii="Times New Roman" w:hAnsi="Times New Roman" w:cs="Times New Roman"/>
          <w:b/>
          <w:bCs/>
          <w:color w:val="auto"/>
          <w:spacing w:val="32"/>
          <w:sz w:val="36"/>
          <w:lang w:eastAsia="zh-CN"/>
        </w:rPr>
        <w:t>制</w:t>
      </w:r>
    </w:p>
    <w:p>
      <w:pPr>
        <w:spacing w:line="520" w:lineRule="exact"/>
        <w:jc w:val="both"/>
        <w:rPr>
          <w:rFonts w:hint="default" w:ascii="Times New Roman" w:hAnsi="Times New Roman" w:eastAsia="楷体_GB2312" w:cs="Times New Roman"/>
          <w:bCs/>
          <w:color w:val="auto"/>
          <w:sz w:val="28"/>
          <w:szCs w:val="28"/>
        </w:rPr>
      </w:pPr>
    </w:p>
    <w:p>
      <w:pPr>
        <w:pStyle w:val="32"/>
        <w:rPr>
          <w:rFonts w:hint="default" w:ascii="Times New Roman" w:hAnsi="Times New Roman" w:eastAsia="楷体_GB2312" w:cs="Times New Roman"/>
          <w:bCs/>
          <w:color w:val="auto"/>
          <w:sz w:val="28"/>
          <w:szCs w:val="28"/>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0"/>
          <w:cols w:space="720" w:num="1"/>
          <w:titlePg/>
          <w:docGrid w:type="lines" w:linePitch="312" w:charSpace="0"/>
        </w:sectPr>
      </w:pPr>
    </w:p>
    <w:p>
      <w:pPr>
        <w:pStyle w:val="32"/>
        <w:rPr>
          <w:rFonts w:hint="default" w:ascii="Times New Roman" w:hAnsi="Times New Roman" w:eastAsia="楷体_GB2312" w:cs="Times New Roman"/>
          <w:bCs/>
          <w:color w:val="auto"/>
          <w:sz w:val="28"/>
          <w:szCs w:val="28"/>
        </w:rPr>
      </w:pPr>
      <w:ins w:id="0" w:author="阳关雪" w:date="2020-07-23T08:48:12Z">
        <w:r>
          <w:rPr>
            <w:rFonts w:hint="eastAsia" w:ascii="Times New Roman" w:hAnsi="Times New Roman" w:eastAsia="楷体_GB2312" w:cs="Times New Roman"/>
            <w:bCs/>
            <w:color w:val="auto"/>
            <w:sz w:val="28"/>
            <w:szCs w:val="28"/>
            <w:lang w:eastAsia="zh-CN"/>
          </w:rPr>
          <w:drawing>
            <wp:anchor distT="0" distB="0" distL="114300" distR="114300" simplePos="0" relativeHeight="251678720" behindDoc="1" locked="0" layoutInCell="1" allowOverlap="1">
              <wp:simplePos x="0" y="0"/>
              <wp:positionH relativeFrom="column">
                <wp:posOffset>-1143000</wp:posOffset>
              </wp:positionH>
              <wp:positionV relativeFrom="paragraph">
                <wp:posOffset>-914400</wp:posOffset>
              </wp:positionV>
              <wp:extent cx="7452995" cy="10541635"/>
              <wp:effectExtent l="0" t="0" r="0" b="0"/>
              <wp:wrapThrough wrapText="bothSides">
                <wp:wrapPolygon>
                  <wp:start x="0" y="0"/>
                  <wp:lineTo x="0" y="21547"/>
                  <wp:lineTo x="21532" y="21547"/>
                  <wp:lineTo x="21532" y="0"/>
                  <wp:lineTo x="0" y="0"/>
                </wp:wrapPolygon>
              </wp:wrapThrough>
              <wp:docPr id="7" name="图片 7" descr="SKM_C2262007230851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KM_C22620072308510_0003"/>
                      <pic:cNvPicPr>
                        <a:picLocks noChangeAspect="1"/>
                      </pic:cNvPicPr>
                    </pic:nvPicPr>
                    <pic:blipFill>
                      <a:blip r:embed="rId9"/>
                      <a:stretch>
                        <a:fillRect/>
                      </a:stretch>
                    </pic:blipFill>
                    <pic:spPr>
                      <a:xfrm>
                        <a:off x="0" y="0"/>
                        <a:ext cx="7452995" cy="10541635"/>
                      </a:xfrm>
                      <a:prstGeom prst="rect">
                        <a:avLst/>
                      </a:prstGeom>
                    </pic:spPr>
                  </pic:pic>
                </a:graphicData>
              </a:graphic>
            </wp:anchor>
          </w:drawing>
        </w:r>
      </w:ins>
    </w:p>
    <w:p>
      <w:pPr>
        <w:pStyle w:val="32"/>
        <w:rPr>
          <w:rFonts w:hint="eastAsia" w:ascii="Times New Roman" w:hAnsi="Times New Roman" w:eastAsia="楷体_GB2312" w:cs="Times New Roman"/>
          <w:bCs/>
          <w:color w:val="auto"/>
          <w:sz w:val="28"/>
          <w:szCs w:val="28"/>
          <w:lang w:eastAsia="zh-CN"/>
        </w:rPr>
        <w:sectPr>
          <w:footerReference r:id="rId4" w:type="first"/>
          <w:footerReference r:id="rId3"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p>
    <w:p>
      <w:pPr>
        <w:spacing w:line="520" w:lineRule="exact"/>
        <w:jc w:val="center"/>
        <w:rPr>
          <w:rFonts w:hint="default" w:ascii="Times New Roman" w:hAnsi="Times New Roman" w:eastAsia="楷体_GB2312" w:cs="Times New Roman"/>
          <w:bCs/>
          <w:color w:val="auto"/>
          <w:sz w:val="28"/>
          <w:szCs w:val="28"/>
        </w:rPr>
      </w:pPr>
      <w:r>
        <w:rPr>
          <w:rFonts w:hint="eastAsia" w:ascii="Times New Roman" w:hAnsi="Times New Roman" w:eastAsia="楷体_GB2312" w:cs="Times New Roman"/>
          <w:bCs/>
          <w:color w:val="auto"/>
          <w:sz w:val="28"/>
          <w:szCs w:val="28"/>
          <w:lang w:eastAsia="zh-CN"/>
        </w:rPr>
        <w:drawing>
          <wp:anchor distT="0" distB="0" distL="114300" distR="114300" simplePos="0" relativeHeight="251679744" behindDoc="1" locked="0" layoutInCell="1" allowOverlap="1">
            <wp:simplePos x="0" y="0"/>
            <wp:positionH relativeFrom="column">
              <wp:posOffset>-1117600</wp:posOffset>
            </wp:positionH>
            <wp:positionV relativeFrom="paragraph">
              <wp:posOffset>-914400</wp:posOffset>
            </wp:positionV>
            <wp:extent cx="7498080" cy="10605135"/>
            <wp:effectExtent l="0" t="0" r="0" b="0"/>
            <wp:wrapThrough wrapText="bothSides">
              <wp:wrapPolygon>
                <wp:start x="0" y="0"/>
                <wp:lineTo x="0" y="21573"/>
                <wp:lineTo x="21567" y="21573"/>
                <wp:lineTo x="21567" y="0"/>
                <wp:lineTo x="0" y="0"/>
              </wp:wrapPolygon>
            </wp:wrapThrough>
            <wp:docPr id="8" name="图片 8" descr="SKM_C2262007230851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KM_C22620072308510_0002"/>
                    <pic:cNvPicPr>
                      <a:picLocks noChangeAspect="1"/>
                    </pic:cNvPicPr>
                  </pic:nvPicPr>
                  <pic:blipFill>
                    <a:blip r:embed="rId10"/>
                    <a:stretch>
                      <a:fillRect/>
                    </a:stretch>
                  </pic:blipFill>
                  <pic:spPr>
                    <a:xfrm>
                      <a:off x="0" y="0"/>
                      <a:ext cx="7498080" cy="10605135"/>
                    </a:xfrm>
                    <a:prstGeom prst="rect">
                      <a:avLst/>
                    </a:prstGeom>
                  </pic:spPr>
                </pic:pic>
              </a:graphicData>
            </a:graphic>
          </wp:anchor>
        </w:drawing>
      </w:r>
    </w:p>
    <w:p>
      <w:pPr>
        <w:spacing w:line="520" w:lineRule="exact"/>
        <w:jc w:val="center"/>
        <w:rPr>
          <w:rFonts w:hint="default" w:ascii="Times New Roman" w:hAnsi="Times New Roman" w:eastAsia="楷体_GB2312" w:cs="Times New Roman"/>
          <w:bCs/>
          <w:color w:val="auto"/>
          <w:sz w:val="28"/>
          <w:szCs w:val="28"/>
        </w:rPr>
      </w:pPr>
      <w:r>
        <w:rPr>
          <w:rFonts w:hint="default" w:ascii="Times New Roman" w:hAnsi="Times New Roman" w:eastAsia="楷体_GB2312" w:cs="Times New Roman"/>
          <w:bCs/>
          <w:color w:val="auto"/>
          <w:sz w:val="28"/>
          <w:szCs w:val="28"/>
        </w:rPr>
        <w:t>《建设项目环境影响报告表》编制说明</w:t>
      </w:r>
    </w:p>
    <w:p>
      <w:pPr>
        <w:spacing w:line="520" w:lineRule="exact"/>
        <w:jc w:val="center"/>
        <w:rPr>
          <w:rFonts w:hint="default" w:ascii="Times New Roman" w:hAnsi="Times New Roman" w:eastAsia="楷体_GB2312" w:cs="Times New Roman"/>
          <w:bCs/>
          <w:color w:val="auto"/>
          <w:sz w:val="28"/>
          <w:szCs w:val="28"/>
        </w:rPr>
      </w:pPr>
    </w:p>
    <w:p>
      <w:pPr>
        <w:spacing w:line="520" w:lineRule="exact"/>
        <w:jc w:val="center"/>
        <w:rPr>
          <w:rFonts w:hint="default" w:ascii="Times New Roman" w:hAnsi="Times New Roman" w:eastAsia="楷体_GB2312" w:cs="Times New Roman"/>
          <w:bCs/>
          <w:color w:val="auto"/>
          <w:sz w:val="28"/>
          <w:szCs w:val="28"/>
        </w:rPr>
      </w:pPr>
    </w:p>
    <w:p>
      <w:pPr>
        <w:spacing w:line="520" w:lineRule="exact"/>
        <w:ind w:firstLine="576" w:firstLineChars="200"/>
        <w:rPr>
          <w:rFonts w:hint="default" w:ascii="Times New Roman" w:hAnsi="Times New Roman" w:eastAsia="楷体_GB2312" w:cs="Times New Roman"/>
          <w:color w:val="auto"/>
          <w:spacing w:val="4"/>
          <w:sz w:val="28"/>
          <w:szCs w:val="28"/>
        </w:rPr>
      </w:pPr>
      <w:r>
        <w:rPr>
          <w:rFonts w:hint="default" w:ascii="Times New Roman" w:hAnsi="Times New Roman" w:eastAsia="楷体_GB2312" w:cs="Times New Roman"/>
          <w:color w:val="auto"/>
          <w:spacing w:val="4"/>
          <w:sz w:val="28"/>
          <w:szCs w:val="28"/>
        </w:rPr>
        <w:t>《建设项目环境影响报告表》由具有从事环境影响评价工作资质的单位编制。</w:t>
      </w:r>
    </w:p>
    <w:p>
      <w:pPr>
        <w:numPr>
          <w:ilvl w:val="0"/>
          <w:numId w:val="3"/>
        </w:numPr>
        <w:spacing w:line="520" w:lineRule="exact"/>
        <w:rPr>
          <w:rFonts w:hint="default" w:ascii="Times New Roman" w:hAnsi="Times New Roman" w:eastAsia="楷体_GB2312" w:cs="Times New Roman"/>
          <w:color w:val="auto"/>
          <w:spacing w:val="4"/>
          <w:sz w:val="28"/>
          <w:szCs w:val="28"/>
        </w:rPr>
      </w:pPr>
      <w:r>
        <w:rPr>
          <w:rFonts w:hint="default" w:ascii="Times New Roman" w:hAnsi="Times New Roman" w:eastAsia="楷体_GB2312" w:cs="Times New Roman"/>
          <w:color w:val="auto"/>
          <w:spacing w:val="4"/>
          <w:sz w:val="28"/>
          <w:szCs w:val="28"/>
        </w:rPr>
        <w:t>项目名称——指项目立项时批复的名称，不超过30个字（两个英文字段作一个汉字）。</w:t>
      </w:r>
    </w:p>
    <w:p>
      <w:pPr>
        <w:numPr>
          <w:ilvl w:val="0"/>
          <w:numId w:val="3"/>
        </w:numPr>
        <w:spacing w:line="520" w:lineRule="exact"/>
        <w:rPr>
          <w:rFonts w:hint="default" w:ascii="Times New Roman" w:hAnsi="Times New Roman" w:eastAsia="楷体_GB2312" w:cs="Times New Roman"/>
          <w:color w:val="auto"/>
          <w:spacing w:val="4"/>
          <w:sz w:val="28"/>
          <w:szCs w:val="28"/>
        </w:rPr>
      </w:pPr>
      <w:r>
        <w:rPr>
          <w:rFonts w:hint="default" w:ascii="Times New Roman" w:hAnsi="Times New Roman" w:eastAsia="楷体_GB2312" w:cs="Times New Roman"/>
          <w:color w:val="auto"/>
          <w:spacing w:val="4"/>
          <w:sz w:val="28"/>
          <w:szCs w:val="28"/>
        </w:rPr>
        <w:t>建设地点——指项目所在地详细地址，公路、铁路应写起止地点。</w:t>
      </w:r>
    </w:p>
    <w:p>
      <w:pPr>
        <w:numPr>
          <w:ilvl w:val="0"/>
          <w:numId w:val="3"/>
        </w:numPr>
        <w:spacing w:line="520" w:lineRule="exact"/>
        <w:rPr>
          <w:rFonts w:hint="default" w:ascii="Times New Roman" w:hAnsi="Times New Roman" w:eastAsia="楷体_GB2312" w:cs="Times New Roman"/>
          <w:color w:val="auto"/>
          <w:spacing w:val="4"/>
          <w:sz w:val="28"/>
          <w:szCs w:val="28"/>
        </w:rPr>
      </w:pPr>
      <w:r>
        <w:rPr>
          <w:rFonts w:hint="default" w:ascii="Times New Roman" w:hAnsi="Times New Roman" w:eastAsia="楷体_GB2312" w:cs="Times New Roman"/>
          <w:color w:val="auto"/>
          <w:spacing w:val="4"/>
          <w:sz w:val="28"/>
          <w:szCs w:val="28"/>
        </w:rPr>
        <w:t>行业类别——按国标填写。</w:t>
      </w:r>
    </w:p>
    <w:p>
      <w:pPr>
        <w:numPr>
          <w:ilvl w:val="0"/>
          <w:numId w:val="3"/>
        </w:numPr>
        <w:spacing w:line="520" w:lineRule="exact"/>
        <w:rPr>
          <w:rFonts w:hint="default" w:ascii="Times New Roman" w:hAnsi="Times New Roman" w:eastAsia="楷体_GB2312" w:cs="Times New Roman"/>
          <w:color w:val="auto"/>
          <w:spacing w:val="4"/>
          <w:sz w:val="28"/>
          <w:szCs w:val="28"/>
        </w:rPr>
      </w:pPr>
      <w:r>
        <w:rPr>
          <w:rFonts w:hint="default" w:ascii="Times New Roman" w:hAnsi="Times New Roman" w:eastAsia="楷体_GB2312" w:cs="Times New Roman"/>
          <w:color w:val="auto"/>
          <w:spacing w:val="4"/>
          <w:sz w:val="28"/>
          <w:szCs w:val="28"/>
        </w:rPr>
        <w:t>总投资——指项目投资总额。</w:t>
      </w:r>
    </w:p>
    <w:p>
      <w:pPr>
        <w:numPr>
          <w:ilvl w:val="0"/>
          <w:numId w:val="3"/>
        </w:numPr>
        <w:spacing w:line="520" w:lineRule="exact"/>
        <w:rPr>
          <w:rFonts w:hint="default" w:ascii="Times New Roman" w:hAnsi="Times New Roman" w:eastAsia="楷体_GB2312" w:cs="Times New Roman"/>
          <w:color w:val="auto"/>
          <w:spacing w:val="4"/>
          <w:sz w:val="28"/>
          <w:szCs w:val="28"/>
        </w:rPr>
      </w:pPr>
      <w:r>
        <w:rPr>
          <w:rFonts w:hint="default" w:ascii="Times New Roman" w:hAnsi="Times New Roman" w:eastAsia="楷体_GB2312" w:cs="Times New Roman"/>
          <w:color w:val="auto"/>
          <w:spacing w:val="4"/>
          <w:sz w:val="28"/>
          <w:szCs w:val="28"/>
        </w:rPr>
        <w:t>主要环境保护目标——指项目区周围一定范围内集中居民住宅区、学校、医院、保护文物、风景名胜区、水源地和生态敏感点等，应尽可能给出保护目标、性质、规模和距厂界距离等。</w:t>
      </w:r>
    </w:p>
    <w:p>
      <w:pPr>
        <w:numPr>
          <w:ilvl w:val="0"/>
          <w:numId w:val="3"/>
        </w:numPr>
        <w:spacing w:line="520" w:lineRule="exact"/>
        <w:rPr>
          <w:rFonts w:hint="default" w:ascii="Times New Roman" w:hAnsi="Times New Roman" w:eastAsia="楷体_GB2312" w:cs="Times New Roman"/>
          <w:color w:val="auto"/>
          <w:spacing w:val="4"/>
          <w:sz w:val="28"/>
          <w:szCs w:val="28"/>
        </w:rPr>
      </w:pPr>
      <w:r>
        <w:rPr>
          <w:rFonts w:hint="default" w:ascii="Times New Roman" w:hAnsi="Times New Roman" w:eastAsia="楷体_GB2312" w:cs="Times New Roman"/>
          <w:color w:val="auto"/>
          <w:spacing w:val="4"/>
          <w:sz w:val="28"/>
          <w:szCs w:val="28"/>
        </w:rPr>
        <w:t>结论与建议——给出本项目清洁生产、达标排放和总量控制的分析结论，确定污染防治措施的有效性，说明本项目对环境造成的影响，给出建设项目环境可行性的明确结论。同时提出减少环境影响的其他建议。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3"/>
        </w:numPr>
        <w:spacing w:line="520" w:lineRule="exact"/>
        <w:rPr>
          <w:rFonts w:hint="default" w:ascii="Times New Roman" w:hAnsi="Times New Roman" w:eastAsia="楷体_GB2312" w:cs="Times New Roman"/>
          <w:color w:val="auto"/>
          <w:spacing w:val="4"/>
          <w:sz w:val="28"/>
          <w:szCs w:val="28"/>
        </w:rPr>
      </w:pPr>
      <w:r>
        <w:rPr>
          <w:rFonts w:hint="default" w:ascii="Times New Roman" w:hAnsi="Times New Roman" w:eastAsia="楷体_GB2312" w:cs="Times New Roman"/>
          <w:color w:val="auto"/>
          <w:spacing w:val="4"/>
          <w:sz w:val="28"/>
          <w:szCs w:val="28"/>
        </w:rPr>
        <w:t>预审意见——由行业主管部门填写答复意见，无主管部门项目，可不填。</w:t>
      </w:r>
    </w:p>
    <w:p>
      <w:pPr>
        <w:numPr>
          <w:ilvl w:val="0"/>
          <w:numId w:val="3"/>
        </w:numPr>
        <w:spacing w:line="520" w:lineRule="exact"/>
        <w:rPr>
          <w:rFonts w:hint="default" w:ascii="Times New Roman" w:hAnsi="Times New Roman" w:eastAsia="楷体_GB2312" w:cs="Times New Roman"/>
          <w:color w:val="auto"/>
          <w:sz w:val="28"/>
          <w:szCs w:val="28"/>
        </w:rPr>
      </w:pPr>
      <w:r>
        <w:rPr>
          <w:rFonts w:hint="default" w:ascii="Times New Roman" w:hAnsi="Times New Roman" w:eastAsia="楷体_GB2312" w:cs="Times New Roman"/>
          <w:color w:val="auto"/>
          <w:spacing w:val="4"/>
          <w:sz w:val="28"/>
          <w:szCs w:val="28"/>
        </w:rPr>
        <w:t>审批意见——由负责审批该项目的环境保护行政主管部门批复。</w:t>
      </w:r>
    </w:p>
    <w:p>
      <w:pPr>
        <w:spacing w:line="520" w:lineRule="exact"/>
        <w:rPr>
          <w:rFonts w:hint="default" w:ascii="Times New Roman" w:hAnsi="Times New Roman" w:eastAsia="楷体_GB2312" w:cs="Times New Roman"/>
          <w:bCs/>
          <w:color w:val="auto"/>
          <w:sz w:val="28"/>
          <w:szCs w:val="28"/>
        </w:rPr>
      </w:pPr>
    </w:p>
    <w:p>
      <w:pPr>
        <w:ind w:firstLine="600" w:firstLineChars="200"/>
        <w:rPr>
          <w:rFonts w:hint="default" w:ascii="Times New Roman" w:hAnsi="Times New Roman" w:eastAsia="楷体_GB2312" w:cs="Times New Roman"/>
          <w:color w:val="auto"/>
          <w:sz w:val="30"/>
          <w:szCs w:val="30"/>
          <w:u w:val="single"/>
        </w:rPr>
      </w:pPr>
    </w:p>
    <w:p>
      <w:pPr>
        <w:ind w:firstLine="600" w:firstLineChars="200"/>
        <w:rPr>
          <w:rFonts w:hint="default" w:ascii="Times New Roman" w:hAnsi="Times New Roman" w:eastAsia="楷体_GB2312" w:cs="Times New Roman"/>
          <w:color w:val="auto"/>
          <w:sz w:val="30"/>
          <w:szCs w:val="30"/>
          <w:u w:val="singl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sectPr>
          <w:footerReference r:id="rId6" w:type="first"/>
          <w:footerReference r:id="rId5"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黑体" w:cs="Times New Roman"/>
          <w:color w:val="auto"/>
          <w:sz w:val="30"/>
        </w:rPr>
      </w:pPr>
      <w:r>
        <w:rPr>
          <w:rFonts w:hint="default" w:ascii="Times New Roman" w:hAnsi="Times New Roman" w:cs="Times New Roman"/>
          <w:b/>
          <w:color w:val="auto"/>
          <w:kern w:val="0"/>
          <w:sz w:val="30"/>
          <w:szCs w:val="30"/>
          <w:lang w:val="en-US" w:eastAsia="zh-CN" w:bidi="ar-SA"/>
        </w:rPr>
        <w:t>一、建设项目基本情况</w:t>
      </w:r>
    </w:p>
    <w:tbl>
      <w:tblPr>
        <w:tblStyle w:val="24"/>
        <w:tblW w:w="9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809"/>
        <w:gridCol w:w="1222"/>
        <w:gridCol w:w="804"/>
        <w:gridCol w:w="423"/>
        <w:gridCol w:w="940"/>
        <w:gridCol w:w="1594"/>
        <w:gridCol w:w="169"/>
        <w:gridCol w:w="12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448" w:type="dxa"/>
            <w:tcBorders>
              <w:top w:val="single" w:color="auto" w:sz="8" w:space="0"/>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项目名称</w:t>
            </w:r>
          </w:p>
        </w:tc>
        <w:tc>
          <w:tcPr>
            <w:tcW w:w="8190" w:type="dxa"/>
            <w:gridSpan w:val="8"/>
            <w:tcBorders>
              <w:top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eastAsia="zh-CN"/>
              </w:rPr>
            </w:pPr>
            <w:r>
              <w:rPr>
                <w:rFonts w:hint="eastAsia" w:cs="Times New Roman"/>
                <w:b w:val="0"/>
                <w:bCs/>
                <w:color w:val="auto"/>
                <w:sz w:val="24"/>
                <w:szCs w:val="24"/>
                <w:lang w:val="en-US" w:eastAsia="zh-CN"/>
              </w:rPr>
              <w:t>轧钢线工艺技术改造项目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建设单位</w:t>
            </w:r>
          </w:p>
        </w:tc>
        <w:tc>
          <w:tcPr>
            <w:tcW w:w="8190" w:type="dxa"/>
            <w:gridSpan w:val="8"/>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eastAsia="zh-CN"/>
              </w:rPr>
            </w:pPr>
            <w:r>
              <w:rPr>
                <w:rFonts w:hint="eastAsia" w:cs="Times New Roman"/>
                <w:b w:val="0"/>
                <w:bCs/>
                <w:color w:val="auto"/>
                <w:sz w:val="24"/>
                <w:szCs w:val="24"/>
                <w:lang w:val="en-US" w:eastAsia="zh-CN"/>
              </w:rPr>
              <w:t>莱芜钢铁集团泰东实业有限公司轧钢厂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法人代表</w:t>
            </w:r>
          </w:p>
        </w:tc>
        <w:tc>
          <w:tcPr>
            <w:tcW w:w="425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4"/>
                <w:lang w:val="en-US" w:eastAsia="zh-CN"/>
              </w:rPr>
            </w:pPr>
            <w:r>
              <w:rPr>
                <w:rFonts w:hint="eastAsia" w:ascii="宋体" w:hAnsi="宋体" w:cs="宋体"/>
                <w:color w:val="auto"/>
                <w:kern w:val="28"/>
                <w:sz w:val="24"/>
                <w:lang w:val="en-US" w:eastAsia="zh-CN"/>
              </w:rPr>
              <w:t>李利敏</w:t>
            </w:r>
          </w:p>
        </w:tc>
        <w:tc>
          <w:tcPr>
            <w:tcW w:w="9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rPr>
            </w:pPr>
            <w:r>
              <w:rPr>
                <w:rFonts w:hint="default" w:ascii="Times New Roman" w:hAnsi="Times New Roman" w:cs="Times New Roman"/>
                <w:b/>
                <w:bCs/>
                <w:color w:val="auto"/>
                <w:sz w:val="24"/>
              </w:rPr>
              <w:t>联系人</w:t>
            </w:r>
          </w:p>
        </w:tc>
        <w:tc>
          <w:tcPr>
            <w:tcW w:w="2992" w:type="dxa"/>
            <w:gridSpan w:val="3"/>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eastAsia" w:ascii="宋体" w:hAnsi="宋体" w:cs="宋体"/>
                <w:color w:val="auto"/>
                <w:kern w:val="28"/>
                <w:sz w:val="24"/>
                <w:lang w:val="en-US" w:eastAsia="zh-CN"/>
              </w:rPr>
              <w:t>吕军亭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通讯地址</w:t>
            </w:r>
          </w:p>
        </w:tc>
        <w:tc>
          <w:tcPr>
            <w:tcW w:w="8190" w:type="dxa"/>
            <w:gridSpan w:val="8"/>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eastAsia" w:cs="Times New Roman"/>
                <w:b w:val="0"/>
                <w:bCs/>
                <w:snapToGrid w:val="0"/>
                <w:color w:val="auto"/>
                <w:spacing w:val="10"/>
                <w:kern w:val="0"/>
                <w:sz w:val="24"/>
                <w:szCs w:val="24"/>
                <w:lang w:val="en-US" w:eastAsia="zh-CN"/>
              </w:rPr>
              <w:t>济南市钢城区里辛街道北赵村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联系电话</w:t>
            </w:r>
          </w:p>
        </w:tc>
        <w:tc>
          <w:tcPr>
            <w:tcW w:w="30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15563403953</w:t>
            </w:r>
          </w:p>
        </w:tc>
        <w:tc>
          <w:tcPr>
            <w:tcW w:w="122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rPr>
            </w:pPr>
            <w:r>
              <w:rPr>
                <w:rFonts w:hint="default" w:ascii="Times New Roman" w:hAnsi="Times New Roman" w:cs="Times New Roman"/>
                <w:b/>
                <w:bCs/>
                <w:color w:val="auto"/>
                <w:sz w:val="24"/>
              </w:rPr>
              <w:t>传真</w:t>
            </w:r>
          </w:p>
        </w:tc>
        <w:tc>
          <w:tcPr>
            <w:tcW w:w="9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w:t>
            </w:r>
          </w:p>
        </w:tc>
        <w:tc>
          <w:tcPr>
            <w:tcW w:w="1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rPr>
            </w:pPr>
            <w:r>
              <w:rPr>
                <w:rFonts w:hint="default" w:ascii="Times New Roman" w:hAnsi="Times New Roman" w:cs="Times New Roman"/>
                <w:b/>
                <w:bCs/>
                <w:color w:val="auto"/>
                <w:sz w:val="24"/>
              </w:rPr>
              <w:t>邮政编码</w:t>
            </w:r>
          </w:p>
        </w:tc>
        <w:tc>
          <w:tcPr>
            <w:tcW w:w="1398" w:type="dxa"/>
            <w:gridSpan w:val="2"/>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cs="Times New Roman"/>
                <w:b w:val="0"/>
                <w:bCs/>
                <w:color w:val="auto"/>
                <w:sz w:val="24"/>
                <w:szCs w:val="24"/>
                <w:lang w:val="en-US" w:eastAsia="zh-CN"/>
              </w:rPr>
              <w:t>2711</w:t>
            </w:r>
            <w:r>
              <w:rPr>
                <w:rFonts w:hint="eastAsia" w:ascii="Times New Roman" w:hAnsi="Times New Roman" w:cs="Times New Roman"/>
                <w:b w:val="0"/>
                <w:bCs/>
                <w:color w:val="auto"/>
                <w:sz w:val="24"/>
                <w:szCs w:val="24"/>
                <w:lang w:val="en-US" w:eastAsia="zh-CN"/>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建设地点</w:t>
            </w:r>
          </w:p>
        </w:tc>
        <w:tc>
          <w:tcPr>
            <w:tcW w:w="8190" w:type="dxa"/>
            <w:gridSpan w:val="8"/>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eastAsia" w:cs="Times New Roman"/>
                <w:b w:val="0"/>
                <w:bCs/>
                <w:snapToGrid w:val="0"/>
                <w:color w:val="auto"/>
                <w:spacing w:val="10"/>
                <w:kern w:val="0"/>
                <w:sz w:val="24"/>
                <w:szCs w:val="24"/>
                <w:lang w:val="en-US" w:eastAsia="zh-CN"/>
              </w:rPr>
              <w:t>济南市钢城区里辛街道北赵村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立项审批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部门</w:t>
            </w:r>
          </w:p>
        </w:tc>
        <w:tc>
          <w:tcPr>
            <w:tcW w:w="383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highlight w:val="none"/>
                <w:lang w:val="en-US" w:eastAsia="zh-CN"/>
              </w:rPr>
            </w:pPr>
          </w:p>
        </w:tc>
        <w:tc>
          <w:tcPr>
            <w:tcW w:w="136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批准文号</w:t>
            </w:r>
          </w:p>
        </w:tc>
        <w:tc>
          <w:tcPr>
            <w:tcW w:w="2992" w:type="dxa"/>
            <w:gridSpan w:val="3"/>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4"/>
                <w:highlight w:val="none"/>
                <w:lang w:val="en-US" w:eastAsia="zh-CN"/>
              </w:rPr>
            </w:pPr>
            <w:r>
              <w:rPr>
                <w:rFonts w:hint="eastAsia"/>
                <w:color w:val="auto"/>
                <w:sz w:val="24"/>
                <w:highlight w:val="none"/>
                <w:lang w:eastAsia="zh-CN"/>
              </w:rPr>
              <w:t>2019-371203-31-03-062704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建设性质</w:t>
            </w:r>
          </w:p>
        </w:tc>
        <w:tc>
          <w:tcPr>
            <w:tcW w:w="383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新建</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 xml:space="preserve">  改</w:t>
            </w:r>
            <w:r>
              <w:rPr>
                <w:rFonts w:hint="eastAsia" w:ascii="Times New Roman" w:hAnsi="Times New Roman" w:cs="Times New Roman"/>
                <w:color w:val="auto"/>
                <w:sz w:val="24"/>
                <w:lang w:val="en-US" w:eastAsia="zh-CN"/>
              </w:rPr>
              <w:t>扩建</w:t>
            </w:r>
            <w:r>
              <w:rPr>
                <w:rFonts w:hint="default" w:ascii="Times New Roman" w:hAnsi="Times New Roman" w:cs="Times New Roman"/>
                <w:color w:val="auto"/>
                <w:sz w:val="24"/>
              </w:rPr>
              <w:t xml:space="preserve">  </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技改√</w:t>
            </w:r>
          </w:p>
        </w:tc>
        <w:tc>
          <w:tcPr>
            <w:tcW w:w="136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及代码</w:t>
            </w:r>
          </w:p>
        </w:tc>
        <w:tc>
          <w:tcPr>
            <w:tcW w:w="2992" w:type="dxa"/>
            <w:gridSpan w:val="3"/>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lang w:val="en-US" w:eastAsia="zh-CN"/>
              </w:rPr>
            </w:pPr>
            <w:r>
              <w:rPr>
                <w:rFonts w:hint="eastAsia" w:cs="Times New Roman"/>
                <w:b w:val="0"/>
                <w:bCs/>
                <w:snapToGrid w:val="0"/>
                <w:color w:val="auto"/>
                <w:spacing w:val="10"/>
                <w:kern w:val="0"/>
                <w:sz w:val="24"/>
                <w:szCs w:val="24"/>
                <w:lang w:val="en-US" w:eastAsia="zh-CN"/>
              </w:rPr>
              <w:t>C3130 钢压延加工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占地面积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(平方米)</w:t>
            </w:r>
          </w:p>
        </w:tc>
        <w:tc>
          <w:tcPr>
            <w:tcW w:w="383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eastAsia" w:cs="Times New Roman"/>
                <w:b w:val="0"/>
                <w:bCs/>
                <w:snapToGrid w:val="0"/>
                <w:color w:val="auto"/>
                <w:spacing w:val="10"/>
                <w:kern w:val="0"/>
                <w:sz w:val="24"/>
                <w:szCs w:val="24"/>
                <w:lang w:val="en-US" w:eastAsia="zh-CN"/>
              </w:rPr>
              <w:t>28000</w:t>
            </w:r>
          </w:p>
        </w:tc>
        <w:tc>
          <w:tcPr>
            <w:tcW w:w="136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绿化面积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(平方米)</w:t>
            </w:r>
          </w:p>
        </w:tc>
        <w:tc>
          <w:tcPr>
            <w:tcW w:w="2992" w:type="dxa"/>
            <w:gridSpan w:val="3"/>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eastAsia" w:cs="Times New Roman"/>
                <w:b w:val="0"/>
                <w:bCs/>
                <w:snapToGrid w:val="0"/>
                <w:color w:val="auto"/>
                <w:spacing w:val="10"/>
                <w:kern w:val="0"/>
                <w:sz w:val="24"/>
                <w:szCs w:val="24"/>
                <w:lang w:val="en-US" w:eastAsia="zh-CN"/>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总投资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18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3234</w:t>
            </w:r>
          </w:p>
        </w:tc>
        <w:tc>
          <w:tcPr>
            <w:tcW w:w="2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其中：环保投资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rPr>
            </w:pPr>
            <w:r>
              <w:rPr>
                <w:rFonts w:hint="default" w:ascii="Times New Roman" w:hAnsi="Times New Roman" w:cs="Times New Roman"/>
                <w:b/>
                <w:bCs/>
                <w:color w:val="auto"/>
                <w:sz w:val="24"/>
              </w:rPr>
              <w:t>(万元)</w:t>
            </w:r>
          </w:p>
        </w:tc>
        <w:tc>
          <w:tcPr>
            <w:tcW w:w="136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315</w:t>
            </w:r>
          </w:p>
        </w:tc>
        <w:tc>
          <w:tcPr>
            <w:tcW w:w="176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rPr>
            </w:pPr>
            <w:r>
              <w:rPr>
                <w:rFonts w:hint="default" w:ascii="Times New Roman" w:hAnsi="Times New Roman" w:cs="Times New Roman"/>
                <w:b/>
                <w:bCs/>
                <w:color w:val="auto"/>
                <w:sz w:val="24"/>
              </w:rPr>
              <w:t>环保投资占总投资比例</w:t>
            </w:r>
          </w:p>
        </w:tc>
        <w:tc>
          <w:tcPr>
            <w:tcW w:w="1229" w:type="dxa"/>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9.7</w:t>
            </w:r>
            <w:r>
              <w:rPr>
                <w:rFonts w:hint="default" w:ascii="Times New Roman" w:hAnsi="Times New Roman" w:cs="Times New Roman"/>
                <w:color w:val="auto"/>
                <w:sz w:val="24"/>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评价经费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18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rPr>
            </w:pPr>
            <w:r>
              <w:rPr>
                <w:rFonts w:hint="default" w:ascii="Times New Roman" w:hAnsi="Times New Roman" w:cs="Times New Roman"/>
                <w:b w:val="0"/>
                <w:bCs/>
                <w:snapToGrid w:val="0"/>
                <w:color w:val="auto"/>
                <w:spacing w:val="10"/>
                <w:kern w:val="0"/>
                <w:sz w:val="24"/>
                <w:szCs w:val="24"/>
                <w:lang w:val="en-US" w:eastAsia="zh-CN"/>
              </w:rPr>
              <w:t>——</w:t>
            </w:r>
          </w:p>
        </w:tc>
        <w:tc>
          <w:tcPr>
            <w:tcW w:w="2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rPr>
            </w:pPr>
            <w:r>
              <w:rPr>
                <w:rFonts w:hint="default" w:ascii="Times New Roman" w:hAnsi="Times New Roman" w:cs="Times New Roman"/>
                <w:b/>
                <w:bCs/>
                <w:color w:val="auto"/>
                <w:sz w:val="24"/>
              </w:rPr>
              <w:t>预期投产日期</w:t>
            </w:r>
          </w:p>
        </w:tc>
        <w:tc>
          <w:tcPr>
            <w:tcW w:w="4355" w:type="dxa"/>
            <w:gridSpan w:val="5"/>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cs="Times New Roman"/>
                <w:b w:val="0"/>
                <w:bCs/>
                <w:snapToGrid w:val="0"/>
                <w:color w:val="auto"/>
                <w:spacing w:val="10"/>
                <w:kern w:val="0"/>
                <w:sz w:val="24"/>
                <w:szCs w:val="24"/>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38" w:type="dxa"/>
            <w:gridSpan w:val="9"/>
            <w:tcBorders>
              <w:left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auto"/>
                <w:kern w:val="10"/>
                <w:sz w:val="32"/>
                <w:szCs w:val="32"/>
                <w:highlight w:val="none"/>
              </w:rPr>
            </w:pPr>
            <w:r>
              <w:rPr>
                <w:rFonts w:hint="default" w:ascii="Times New Roman" w:hAnsi="Times New Roman" w:cs="Times New Roman"/>
                <w:b/>
                <w:bCs w:val="0"/>
                <w:color w:val="auto"/>
                <w:kern w:val="10"/>
                <w:sz w:val="32"/>
                <w:szCs w:val="32"/>
                <w:highlight w:val="none"/>
              </w:rPr>
              <w:t>工程内容及规模：</w:t>
            </w:r>
          </w:p>
          <w:p>
            <w:pPr>
              <w:keepNext w:val="0"/>
              <w:keepLines w:val="0"/>
              <w:pageBreakBefore w:val="0"/>
              <w:numPr>
                <w:ilvl w:val="0"/>
                <w:numId w:val="4"/>
              </w:numPr>
              <w:kinsoku/>
              <w:wordWrap/>
              <w:overflowPunct/>
              <w:topLinePunct w:val="0"/>
              <w:autoSpaceDE/>
              <w:autoSpaceDN/>
              <w:bidi w:val="0"/>
              <w:adjustRightInd/>
              <w:snapToGrid/>
              <w:spacing w:line="360" w:lineRule="auto"/>
              <w:ind w:right="0" w:rightChars="0"/>
              <w:jc w:val="both"/>
              <w:textAlignment w:val="auto"/>
              <w:outlineLvl w:val="9"/>
              <w:rPr>
                <w:rFonts w:hint="default"/>
                <w:color w:val="auto"/>
                <w:sz w:val="28"/>
                <w:szCs w:val="28"/>
                <w:lang w:eastAsia="zh-CN"/>
              </w:rPr>
            </w:pPr>
            <w:r>
              <w:rPr>
                <w:rFonts w:hint="default" w:ascii="Times New Roman" w:hAnsi="Times New Roman" w:cs="Times New Roman"/>
                <w:b/>
                <w:bCs w:val="0"/>
                <w:color w:val="auto"/>
                <w:kern w:val="10"/>
                <w:sz w:val="28"/>
                <w:szCs w:val="28"/>
                <w:highlight w:val="none"/>
                <w:lang w:eastAsia="zh-CN"/>
              </w:rPr>
              <w:t>企业及项目概况</w:t>
            </w:r>
          </w:p>
          <w:p>
            <w:pPr>
              <w:widowControl/>
              <w:spacing w:line="360" w:lineRule="auto"/>
              <w:ind w:firstLine="480" w:firstLineChars="200"/>
              <w:outlineLvl w:val="9"/>
              <w:rPr>
                <w:rFonts w:hint="default" w:ascii="Times New Roman" w:hAnsi="Times New Roman" w:eastAsia="宋体" w:cs="Times New Roman"/>
                <w:color w:val="auto"/>
                <w:sz w:val="24"/>
                <w:szCs w:val="24"/>
              </w:rPr>
            </w:pPr>
            <w:r>
              <w:rPr>
                <w:rFonts w:hint="eastAsia" w:cs="Times New Roman"/>
                <w:color w:val="auto"/>
                <w:sz w:val="24"/>
                <w:szCs w:val="24"/>
                <w:lang w:eastAsia="zh-CN"/>
              </w:rPr>
              <w:t>莱钢集团</w:t>
            </w:r>
            <w:r>
              <w:rPr>
                <w:rFonts w:hint="default" w:ascii="Times New Roman" w:hAnsi="Times New Roman" w:eastAsia="宋体" w:cs="Times New Roman"/>
                <w:color w:val="auto"/>
                <w:sz w:val="24"/>
                <w:szCs w:val="24"/>
              </w:rPr>
              <w:t>泰东实业有限公司轧钢厂，于1988年由原劳动服务开发公司投资建设，原名潘东轧钢厂。1995年莱芜钢铁总厂</w:t>
            </w:r>
            <w:r>
              <w:rPr>
                <w:rFonts w:hint="eastAsia" w:cs="Times New Roman"/>
                <w:color w:val="auto"/>
                <w:sz w:val="24"/>
                <w:szCs w:val="24"/>
                <w:lang w:eastAsia="zh-CN"/>
              </w:rPr>
              <w:t>（现莱钢集团）</w:t>
            </w:r>
            <w:r>
              <w:rPr>
                <w:rFonts w:hint="default" w:ascii="Times New Roman" w:hAnsi="Times New Roman" w:eastAsia="宋体" w:cs="Times New Roman"/>
                <w:color w:val="auto"/>
                <w:sz w:val="24"/>
                <w:szCs w:val="24"/>
              </w:rPr>
              <w:t>对下属二级单位的集体经济进行统管，与劳动服务开发公司合并，成立莱芜钢铁附属企业公司，潘东轧钢厂随之并入</w:t>
            </w:r>
            <w:r>
              <w:rPr>
                <w:rFonts w:hint="eastAsia" w:cs="Times New Roman"/>
                <w:color w:val="auto"/>
                <w:sz w:val="24"/>
                <w:szCs w:val="24"/>
                <w:lang w:eastAsia="zh-CN"/>
              </w:rPr>
              <w:t>莱钢集团</w:t>
            </w:r>
            <w:r>
              <w:rPr>
                <w:rFonts w:hint="default" w:ascii="Times New Roman" w:hAnsi="Times New Roman" w:eastAsia="宋体" w:cs="Times New Roman"/>
                <w:color w:val="auto"/>
                <w:sz w:val="24"/>
                <w:szCs w:val="24"/>
              </w:rPr>
              <w:t>附属企业公司。2000年</w:t>
            </w:r>
            <w:r>
              <w:rPr>
                <w:rFonts w:hint="eastAsia" w:cs="Times New Roman"/>
                <w:color w:val="auto"/>
                <w:sz w:val="24"/>
                <w:szCs w:val="24"/>
                <w:lang w:eastAsia="zh-CN"/>
              </w:rPr>
              <w:t>莱钢集团</w:t>
            </w:r>
            <w:r>
              <w:rPr>
                <w:rFonts w:hint="default" w:ascii="Times New Roman" w:hAnsi="Times New Roman" w:eastAsia="宋体" w:cs="Times New Roman"/>
                <w:color w:val="auto"/>
                <w:sz w:val="24"/>
                <w:szCs w:val="24"/>
              </w:rPr>
              <w:t>附属企业公司进行改制，并更名为</w:t>
            </w:r>
            <w:r>
              <w:rPr>
                <w:rFonts w:hint="eastAsia" w:cs="Times New Roman"/>
                <w:color w:val="auto"/>
                <w:sz w:val="24"/>
                <w:szCs w:val="24"/>
                <w:lang w:eastAsia="zh-CN"/>
              </w:rPr>
              <w:t>莱钢集团</w:t>
            </w:r>
            <w:r>
              <w:rPr>
                <w:rFonts w:hint="default" w:ascii="Times New Roman" w:hAnsi="Times New Roman" w:eastAsia="宋体" w:cs="Times New Roman"/>
                <w:color w:val="auto"/>
                <w:sz w:val="24"/>
                <w:szCs w:val="24"/>
              </w:rPr>
              <w:t>泰东实业有限公司，同时小轧钢生产线更名为泰东轧钢厂。</w:t>
            </w:r>
          </w:p>
          <w:p>
            <w:pPr>
              <w:widowControl/>
              <w:spacing w:line="360" w:lineRule="auto"/>
              <w:ind w:firstLine="480" w:firstLineChars="200"/>
              <w:outlineLvl w:val="9"/>
              <w:rPr>
                <w:rFonts w:hint="eastAsia" w:ascii="Times New Roman" w:hAnsi="Times New Roman" w:eastAsia="宋体" w:cs="Times New Roman"/>
                <w:color w:val="auto"/>
                <w:sz w:val="24"/>
                <w:lang w:val="en-US" w:eastAsia="zh-CN"/>
              </w:rPr>
            </w:pPr>
            <w:r>
              <w:rPr>
                <w:rFonts w:hint="eastAsia" w:cs="Times New Roman"/>
                <w:color w:val="auto"/>
                <w:sz w:val="24"/>
                <w:szCs w:val="24"/>
                <w:lang w:val="en-US" w:eastAsia="zh-CN"/>
              </w:rPr>
              <w:t>1989年12月，莱芜钢铁总厂以莱钢计字[1989]第502号对潘东轧钢厂（现莱钢集团泰东实业有限公司轧钢厂）大修改造进行了批复，项目对厂内轧钢项目进行设备维修、厂房修建等改造。该项目经过30余年的运行，现有生产设施已不能满足生产的需要，亟需进行技术改造</w:t>
            </w:r>
            <w:r>
              <w:rPr>
                <w:rFonts w:hint="eastAsia" w:ascii="Times New Roman" w:hAnsi="Times New Roman" w:cs="Times New Roman"/>
                <w:color w:val="auto"/>
                <w:sz w:val="24"/>
                <w:szCs w:val="24"/>
                <w:lang w:val="en-US" w:eastAsia="zh-CN"/>
              </w:rPr>
              <w:t>，在保持原有产能不变的前提下，</w:t>
            </w:r>
            <w:r>
              <w:rPr>
                <w:rFonts w:hint="eastAsia" w:ascii="Times New Roman" w:hAnsi="Times New Roman" w:cs="Times New Roman"/>
                <w:color w:val="auto"/>
                <w:sz w:val="24"/>
                <w:szCs w:val="24"/>
                <w:lang w:eastAsia="zh-CN"/>
              </w:rPr>
              <w:t>新建</w:t>
            </w:r>
            <w:r>
              <w:rPr>
                <w:rFonts w:hint="eastAsia" w:ascii="Times New Roman" w:hAnsi="Times New Roman" w:cs="Times New Roman"/>
                <w:color w:val="auto"/>
                <w:sz w:val="24"/>
                <w:szCs w:val="24"/>
              </w:rPr>
              <w:t>4个变压器室，3个高压室，5个整流、低压配电室。利用原有的</w:t>
            </w:r>
            <w:r>
              <w:rPr>
                <w:rFonts w:hint="eastAsia" w:ascii="Times New Roman" w:hAnsi="Times New Roman" w:cs="Times New Roman"/>
                <w:color w:val="auto"/>
                <w:sz w:val="24"/>
                <w:szCs w:val="24"/>
                <w:lang w:eastAsia="zh-CN"/>
              </w:rPr>
              <w:t>轧机</w:t>
            </w:r>
            <w:r>
              <w:rPr>
                <w:rFonts w:hint="eastAsia" w:ascii="Times New Roman" w:hAnsi="Times New Roman" w:cs="Times New Roman"/>
                <w:color w:val="auto"/>
                <w:sz w:val="24"/>
                <w:szCs w:val="24"/>
              </w:rPr>
              <w:t>升级改造为</w:t>
            </w:r>
            <w:r>
              <w:rPr>
                <w:rFonts w:hint="eastAsia" w:ascii="Times New Roman" w:hAnsi="Times New Roman" w:cs="Times New Roman"/>
                <w:color w:val="auto"/>
                <w:sz w:val="24"/>
                <w:szCs w:val="24"/>
                <w:lang w:val="en-US" w:eastAsia="zh-CN"/>
              </w:rPr>
              <w:t>420</w:t>
            </w:r>
            <w:r>
              <w:rPr>
                <w:rFonts w:hint="eastAsia" w:ascii="Times New Roman" w:hAnsi="Times New Roman" w:cs="Times New Roman"/>
                <w:color w:val="auto"/>
                <w:sz w:val="24"/>
                <w:szCs w:val="24"/>
                <w:lang w:eastAsia="zh-CN"/>
              </w:rPr>
              <w:t>连轧机、</w:t>
            </w:r>
            <w:r>
              <w:rPr>
                <w:rFonts w:hint="eastAsia" w:ascii="Times New Roman" w:hAnsi="Times New Roman" w:cs="Times New Roman"/>
                <w:color w:val="auto"/>
                <w:sz w:val="24"/>
                <w:szCs w:val="24"/>
                <w:lang w:val="en-US" w:eastAsia="zh-CN"/>
              </w:rPr>
              <w:t>380连轧机</w:t>
            </w:r>
            <w:r>
              <w:rPr>
                <w:rFonts w:hint="eastAsia" w:ascii="Times New Roman" w:hAnsi="Times New Roman" w:cs="Times New Roman"/>
                <w:color w:val="auto"/>
                <w:sz w:val="24"/>
                <w:szCs w:val="24"/>
                <w:lang w:eastAsia="zh-CN"/>
              </w:rPr>
              <w:t>，淘汰老旧轧机设备，</w:t>
            </w:r>
            <w:r>
              <w:rPr>
                <w:rFonts w:hint="eastAsia" w:ascii="Times New Roman" w:hAnsi="Times New Roman" w:cs="Times New Roman"/>
                <w:color w:val="auto"/>
                <w:sz w:val="24"/>
                <w:szCs w:val="24"/>
              </w:rPr>
              <w:t>新增</w:t>
            </w:r>
            <w:r>
              <w:rPr>
                <w:rFonts w:hint="eastAsia" w:ascii="Times New Roman" w:hAnsi="Times New Roman" w:cs="Times New Roman"/>
                <w:color w:val="auto"/>
                <w:sz w:val="24"/>
                <w:szCs w:val="24"/>
                <w:lang w:eastAsia="zh-CN"/>
              </w:rPr>
              <w:t>520轧机</w:t>
            </w:r>
            <w:r>
              <w:rPr>
                <w:rFonts w:hint="eastAsia" w:ascii="Times New Roman" w:hAnsi="Times New Roman" w:cs="Times New Roman"/>
                <w:color w:val="auto"/>
                <w:sz w:val="24"/>
                <w:szCs w:val="24"/>
                <w:lang w:val="en-US" w:eastAsia="zh-CN"/>
              </w:rPr>
              <w:t>1台、立扎机</w:t>
            </w:r>
            <w:r>
              <w:rPr>
                <w:rFonts w:hint="eastAsia" w:ascii="Times New Roman" w:hAnsi="Times New Roman" w:cs="Times New Roman"/>
                <w:color w:val="auto"/>
                <w:sz w:val="24"/>
                <w:szCs w:val="24"/>
                <w:lang w:eastAsia="zh-CN"/>
              </w:rPr>
              <w:t>2台，万能轧机2台</w:t>
            </w:r>
            <w:r>
              <w:rPr>
                <w:rFonts w:hint="eastAsia" w:ascii="Times New Roman" w:hAnsi="Times New Roman" w:eastAsia="宋体" w:cs="Times New Roman"/>
                <w:color w:val="auto"/>
                <w:sz w:val="24"/>
                <w:lang w:val="en-US" w:eastAsia="zh-CN"/>
              </w:rPr>
              <w:t>。</w:t>
            </w:r>
          </w:p>
          <w:p>
            <w:pPr>
              <w:widowControl/>
              <w:spacing w:line="360" w:lineRule="auto"/>
              <w:ind w:firstLine="480"/>
              <w:outlineLvl w:val="9"/>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由于原有项目建设时间较早，并未进行环境影响评价，本次技改项目环评对全厂产污环节进行梳理，并提出相应的污染治理措施要求，确保项目整体实现达标排放要求。</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cs="Times New Roman"/>
                <w:b/>
                <w:bCs w:val="0"/>
                <w:color w:val="auto"/>
                <w:kern w:val="10"/>
                <w:sz w:val="28"/>
                <w:szCs w:val="28"/>
                <w:highlight w:val="none"/>
                <w:lang w:val="en-US" w:eastAsia="zh-CN"/>
              </w:rPr>
            </w:pPr>
            <w:r>
              <w:rPr>
                <w:rFonts w:hint="default" w:ascii="Times New Roman" w:hAnsi="Times New Roman" w:cs="Times New Roman"/>
                <w:color w:val="auto"/>
                <w:sz w:val="24"/>
              </w:rPr>
              <w:t>根据《中华人民共和国环境保护法》、《中华人民共和国环境影响评价法》和《建设项目环境保护管理条例》以及《建设项目环境影响评价分类管理名录》（环境保护部令第</w:t>
            </w:r>
            <w:r>
              <w:rPr>
                <w:rFonts w:hint="default" w:ascii="Times New Roman" w:hAnsi="Times New Roman" w:cs="Times New Roman"/>
                <w:color w:val="auto"/>
                <w:sz w:val="24"/>
                <w:lang w:val="en-US" w:eastAsia="zh-CN"/>
              </w:rPr>
              <w:t>44</w:t>
            </w:r>
            <w:r>
              <w:rPr>
                <w:rFonts w:hint="default" w:ascii="Times New Roman" w:hAnsi="Times New Roman" w:cs="Times New Roman"/>
                <w:color w:val="auto"/>
                <w:sz w:val="24"/>
              </w:rPr>
              <w:t>号）</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关于修改《建设项目环境影响评价分类管理名录》部分内容的决定（生态环境部令第1号）的有关规定，</w:t>
            </w:r>
            <w:r>
              <w:rPr>
                <w:rFonts w:hint="default" w:ascii="Times New Roman" w:hAnsi="Times New Roman" w:cs="Times New Roman"/>
                <w:color w:val="auto"/>
                <w:sz w:val="24"/>
                <w:lang w:eastAsia="zh-CN"/>
              </w:rPr>
              <w:t>本项目属于“</w:t>
            </w:r>
            <w:r>
              <w:rPr>
                <w:rFonts w:hint="eastAsia" w:cs="Times New Roman"/>
                <w:color w:val="auto"/>
                <w:sz w:val="24"/>
                <w:lang w:val="en-US" w:eastAsia="zh-CN"/>
              </w:rPr>
              <w:t>二十</w:t>
            </w:r>
            <w:r>
              <w:rPr>
                <w:rFonts w:hint="default" w:ascii="Times New Roman" w:hAnsi="Times New Roman" w:cs="Times New Roman"/>
                <w:color w:val="auto"/>
                <w:sz w:val="24"/>
                <w:lang w:eastAsia="zh-CN"/>
              </w:rPr>
              <w:t>、</w:t>
            </w:r>
            <w:r>
              <w:rPr>
                <w:rFonts w:hint="eastAsia" w:cs="Times New Roman"/>
                <w:color w:val="auto"/>
                <w:sz w:val="24"/>
                <w:lang w:val="en-US" w:eastAsia="zh-CN"/>
              </w:rPr>
              <w:t>黑色金属冶炼和压延加工业</w:t>
            </w:r>
            <w:r>
              <w:rPr>
                <w:rFonts w:hint="default" w:ascii="Times New Roman" w:hAnsi="Times New Roman" w:cs="Times New Roman"/>
                <w:color w:val="auto"/>
                <w:sz w:val="24"/>
                <w:lang w:eastAsia="zh-CN"/>
              </w:rPr>
              <w:t>”中的“</w:t>
            </w:r>
            <w:r>
              <w:rPr>
                <w:rFonts w:hint="eastAsia" w:cs="Times New Roman"/>
                <w:color w:val="auto"/>
                <w:sz w:val="24"/>
                <w:lang w:val="en-US" w:eastAsia="zh-CN"/>
              </w:rPr>
              <w:t>61</w:t>
            </w:r>
            <w:r>
              <w:rPr>
                <w:rFonts w:hint="default" w:ascii="Times New Roman" w:hAnsi="Times New Roman" w:cs="Times New Roman"/>
                <w:color w:val="auto"/>
                <w:sz w:val="24"/>
                <w:lang w:val="en-US" w:eastAsia="zh-CN"/>
              </w:rPr>
              <w:t xml:space="preserve">  </w:t>
            </w:r>
            <w:r>
              <w:rPr>
                <w:rFonts w:hint="eastAsia" w:cs="Times New Roman"/>
                <w:color w:val="auto"/>
                <w:sz w:val="24"/>
                <w:lang w:val="en-US" w:eastAsia="zh-CN"/>
              </w:rPr>
              <w:t>压延加工</w:t>
            </w:r>
            <w:r>
              <w:rPr>
                <w:rFonts w:hint="default" w:ascii="Times New Roman" w:hAnsi="Times New Roman" w:cs="Times New Roman"/>
                <w:color w:val="auto"/>
                <w:sz w:val="24"/>
                <w:lang w:eastAsia="zh-CN"/>
              </w:rPr>
              <w:t>”中的“</w:t>
            </w:r>
            <w:r>
              <w:rPr>
                <w:rFonts w:hint="eastAsia" w:cs="Times New Roman"/>
                <w:color w:val="auto"/>
                <w:sz w:val="24"/>
                <w:lang w:eastAsia="zh-CN"/>
              </w:rPr>
              <w:t>其他</w:t>
            </w:r>
            <w:r>
              <w:rPr>
                <w:rFonts w:hint="default" w:ascii="Times New Roman" w:hAnsi="Times New Roman" w:cs="Times New Roman"/>
                <w:color w:val="auto"/>
                <w:sz w:val="24"/>
                <w:lang w:eastAsia="zh-CN"/>
              </w:rPr>
              <w:t>”类</w:t>
            </w:r>
            <w:r>
              <w:rPr>
                <w:rFonts w:hint="default" w:ascii="Times New Roman" w:hAnsi="Times New Roman" w:cs="Times New Roman"/>
                <w:color w:val="auto"/>
                <w:sz w:val="24"/>
              </w:rPr>
              <w:t>，应编制环境影响报告表。</w:t>
            </w:r>
            <w:r>
              <w:rPr>
                <w:rFonts w:hint="eastAsia" w:cs="Times New Roman"/>
                <w:color w:val="auto"/>
                <w:sz w:val="24"/>
                <w:lang w:val="en-US" w:eastAsia="zh-CN"/>
              </w:rPr>
              <w:t>莱芜钢铁集团泰东实业有限公司轧钢厂</w:t>
            </w:r>
            <w:r>
              <w:rPr>
                <w:rFonts w:hint="default" w:ascii="Times New Roman" w:hAnsi="Times New Roman" w:cs="Times New Roman"/>
                <w:color w:val="auto"/>
                <w:sz w:val="24"/>
              </w:rPr>
              <w:t>委托</w:t>
            </w: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公司对该项目进行环境影响评价工作。我单位受委托后，派有关工程技术人员到现场进行调查和资料收集，按照国家有关环评技术规范要求，编制完成该项目环境影响报告表。</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auto"/>
                <w:kern w:val="10"/>
                <w:sz w:val="28"/>
                <w:szCs w:val="28"/>
                <w:highlight w:val="none"/>
              </w:rPr>
            </w:pPr>
            <w:r>
              <w:rPr>
                <w:rFonts w:hint="eastAsia" w:cs="Times New Roman"/>
                <w:b/>
                <w:bCs w:val="0"/>
                <w:color w:val="auto"/>
                <w:kern w:val="10"/>
                <w:sz w:val="28"/>
                <w:szCs w:val="28"/>
                <w:highlight w:val="none"/>
                <w:lang w:val="en-US" w:eastAsia="zh-CN"/>
              </w:rPr>
              <w:t>二</w:t>
            </w:r>
            <w:r>
              <w:rPr>
                <w:rFonts w:hint="default" w:ascii="Times New Roman" w:hAnsi="Times New Roman" w:cs="Times New Roman"/>
                <w:b/>
                <w:bCs w:val="0"/>
                <w:color w:val="auto"/>
                <w:kern w:val="10"/>
                <w:sz w:val="28"/>
                <w:szCs w:val="28"/>
                <w:highlight w:val="none"/>
              </w:rPr>
              <w:t>、</w:t>
            </w:r>
            <w:r>
              <w:rPr>
                <w:rFonts w:hint="default" w:ascii="Times New Roman" w:hAnsi="Times New Roman" w:cs="Times New Roman"/>
                <w:b/>
                <w:bCs w:val="0"/>
                <w:color w:val="auto"/>
                <w:kern w:val="10"/>
                <w:sz w:val="28"/>
                <w:szCs w:val="28"/>
                <w:highlight w:val="none"/>
                <w:lang w:eastAsia="zh-CN"/>
              </w:rPr>
              <w:t>项目</w:t>
            </w:r>
            <w:r>
              <w:rPr>
                <w:rFonts w:hint="default" w:ascii="Times New Roman" w:hAnsi="Times New Roman" w:cs="Times New Roman"/>
                <w:b/>
                <w:bCs w:val="0"/>
                <w:color w:val="auto"/>
                <w:kern w:val="10"/>
                <w:sz w:val="28"/>
                <w:szCs w:val="28"/>
                <w:highlight w:val="none"/>
              </w:rPr>
              <w:t>国家政策及选址合理性分析</w:t>
            </w:r>
          </w:p>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val="0"/>
                <w:color w:val="auto"/>
                <w:kern w:val="2"/>
                <w:szCs w:val="24"/>
              </w:rPr>
            </w:pPr>
            <w:r>
              <w:rPr>
                <w:rFonts w:hint="eastAsia" w:ascii="Times New Roman" w:hAnsi="Times New Roman" w:cs="Times New Roman"/>
                <w:b/>
                <w:bCs w:val="0"/>
                <w:color w:val="auto"/>
                <w:kern w:val="2"/>
                <w:szCs w:val="24"/>
                <w:lang w:val="en-US" w:eastAsia="zh-CN"/>
              </w:rPr>
              <w:t>1、</w:t>
            </w:r>
            <w:r>
              <w:rPr>
                <w:rFonts w:hint="default" w:ascii="Times New Roman" w:hAnsi="Times New Roman" w:cs="Times New Roman"/>
                <w:b/>
                <w:bCs w:val="0"/>
                <w:color w:val="auto"/>
                <w:kern w:val="2"/>
                <w:szCs w:val="24"/>
              </w:rPr>
              <w:t>产业政策符合性</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bCs w:val="0"/>
                <w:color w:val="auto"/>
                <w:kern w:val="2"/>
                <w:szCs w:val="24"/>
              </w:rPr>
            </w:pPr>
            <w:r>
              <w:rPr>
                <w:rFonts w:hint="eastAsia" w:ascii="Times New Roman" w:hAnsi="Times New Roman" w:cs="Times New Roman"/>
                <w:bCs w:val="0"/>
                <w:color w:val="auto"/>
                <w:kern w:val="2"/>
                <w:szCs w:val="24"/>
                <w:lang w:eastAsia="zh-CN"/>
              </w:rPr>
              <w:t>本项目</w:t>
            </w:r>
            <w:r>
              <w:rPr>
                <w:rFonts w:hint="eastAsia" w:ascii="Times New Roman" w:hAnsi="Times New Roman" w:cs="Times New Roman"/>
                <w:bCs w:val="0"/>
                <w:color w:val="auto"/>
                <w:kern w:val="2"/>
                <w:szCs w:val="24"/>
                <w:lang w:val="en-US" w:eastAsia="zh-CN"/>
              </w:rPr>
              <w:t>属于钢压延加工产业，经查找</w:t>
            </w:r>
            <w:r>
              <w:rPr>
                <w:rFonts w:hint="eastAsia" w:ascii="Times New Roman" w:hAnsi="Times New Roman" w:cs="Times New Roman"/>
                <w:bCs w:val="0"/>
                <w:color w:val="auto"/>
                <w:kern w:val="2"/>
                <w:szCs w:val="24"/>
              </w:rPr>
              <w:t>《产业结构调整指导目录（201</w:t>
            </w:r>
            <w:r>
              <w:rPr>
                <w:rFonts w:hint="eastAsia" w:ascii="Times New Roman" w:hAnsi="Times New Roman" w:cs="Times New Roman"/>
                <w:bCs w:val="0"/>
                <w:color w:val="auto"/>
                <w:kern w:val="2"/>
                <w:szCs w:val="24"/>
                <w:lang w:val="en-US" w:eastAsia="zh-CN"/>
              </w:rPr>
              <w:t>9</w:t>
            </w:r>
            <w:r>
              <w:rPr>
                <w:rFonts w:hint="eastAsia" w:ascii="Times New Roman" w:hAnsi="Times New Roman" w:cs="Times New Roman"/>
                <w:bCs w:val="0"/>
                <w:color w:val="auto"/>
                <w:kern w:val="2"/>
                <w:szCs w:val="24"/>
              </w:rPr>
              <w:t>年本）》</w:t>
            </w:r>
            <w:r>
              <w:rPr>
                <w:rFonts w:hint="eastAsia" w:ascii="Times New Roman" w:hAnsi="Times New Roman" w:cs="Times New Roman"/>
                <w:bCs w:val="0"/>
                <w:color w:val="auto"/>
                <w:kern w:val="2"/>
                <w:szCs w:val="24"/>
                <w:lang w:eastAsia="zh-CN"/>
              </w:rPr>
              <w:t>，项目所用轧制工艺和轧制设备不属于淘汰类和限制类，属于</w:t>
            </w:r>
            <w:r>
              <w:rPr>
                <w:rFonts w:hint="eastAsia" w:ascii="Times New Roman" w:hAnsi="Times New Roman" w:cs="Times New Roman"/>
                <w:bCs w:val="0"/>
                <w:color w:val="auto"/>
                <w:kern w:val="2"/>
                <w:szCs w:val="24"/>
                <w:lang w:val="en-US" w:eastAsia="zh-CN"/>
              </w:rPr>
              <w:t>允许类项目</w:t>
            </w:r>
            <w:r>
              <w:rPr>
                <w:rFonts w:hint="eastAsia" w:ascii="Times New Roman" w:hAnsi="Times New Roman" w:cs="Times New Roman"/>
                <w:bCs w:val="0"/>
                <w:color w:val="auto"/>
                <w:kern w:val="2"/>
                <w:szCs w:val="24"/>
              </w:rPr>
              <w:t>，</w:t>
            </w:r>
            <w:r>
              <w:rPr>
                <w:rFonts w:hint="eastAsia" w:ascii="Times New Roman" w:hAnsi="Times New Roman" w:cs="Times New Roman"/>
                <w:bCs w:val="0"/>
                <w:color w:val="auto"/>
                <w:kern w:val="2"/>
                <w:szCs w:val="24"/>
                <w:lang w:eastAsia="zh-CN"/>
              </w:rPr>
              <w:t>且项目为技改项目，不新增产能，项目的建设</w:t>
            </w:r>
            <w:r>
              <w:rPr>
                <w:rFonts w:hint="eastAsia" w:ascii="Times New Roman" w:hAnsi="Times New Roman" w:cs="Times New Roman"/>
                <w:bCs w:val="0"/>
                <w:color w:val="auto"/>
                <w:kern w:val="2"/>
                <w:szCs w:val="24"/>
              </w:rPr>
              <w:t>符合</w:t>
            </w:r>
            <w:r>
              <w:rPr>
                <w:rFonts w:hint="eastAsia" w:ascii="Times New Roman" w:hAnsi="Times New Roman" w:cs="Times New Roman"/>
                <w:bCs w:val="0"/>
                <w:color w:val="auto"/>
                <w:kern w:val="2"/>
                <w:szCs w:val="24"/>
                <w:lang w:eastAsia="zh-CN"/>
              </w:rPr>
              <w:t>《</w:t>
            </w:r>
            <w:r>
              <w:rPr>
                <w:rFonts w:hint="default" w:ascii="Times New Roman" w:hAnsi="Times New Roman" w:cs="Times New Roman"/>
                <w:bCs w:val="0"/>
                <w:color w:val="auto"/>
                <w:kern w:val="2"/>
                <w:szCs w:val="24"/>
                <w:lang w:val="en-US" w:eastAsia="zh-CN"/>
              </w:rPr>
              <w:t>钢铁行业规范条件</w:t>
            </w:r>
            <w:r>
              <w:rPr>
                <w:rFonts w:hint="eastAsia" w:ascii="Times New Roman" w:hAnsi="Times New Roman" w:cs="Times New Roman"/>
                <w:bCs w:val="0"/>
                <w:color w:val="auto"/>
                <w:kern w:val="2"/>
                <w:szCs w:val="24"/>
                <w:lang w:eastAsia="zh-CN"/>
              </w:rPr>
              <w:t>》等</w:t>
            </w:r>
            <w:r>
              <w:rPr>
                <w:rFonts w:hint="eastAsia" w:ascii="Times New Roman" w:hAnsi="Times New Roman" w:cs="Times New Roman"/>
                <w:bCs w:val="0"/>
                <w:color w:val="auto"/>
                <w:kern w:val="2"/>
                <w:szCs w:val="24"/>
              </w:rPr>
              <w:t>国家的产业政策要求。</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bCs w:val="0"/>
                <w:color w:val="auto"/>
                <w:kern w:val="2"/>
                <w:szCs w:val="24"/>
              </w:rPr>
            </w:pPr>
            <w:r>
              <w:rPr>
                <w:rFonts w:hint="eastAsia" w:ascii="Times New Roman" w:hAnsi="Times New Roman" w:cs="Times New Roman"/>
                <w:bCs w:val="0"/>
                <w:color w:val="auto"/>
                <w:kern w:val="2"/>
                <w:szCs w:val="24"/>
              </w:rPr>
              <w:t>项目选用设备型号不在《产业结构调整指导目录(201</w:t>
            </w:r>
            <w:r>
              <w:rPr>
                <w:rFonts w:hint="eastAsia" w:ascii="Times New Roman" w:hAnsi="Times New Roman" w:cs="Times New Roman"/>
                <w:bCs w:val="0"/>
                <w:color w:val="auto"/>
                <w:kern w:val="2"/>
                <w:szCs w:val="24"/>
                <w:lang w:val="en-US" w:eastAsia="zh-CN"/>
              </w:rPr>
              <w:t>9</w:t>
            </w:r>
            <w:r>
              <w:rPr>
                <w:rFonts w:hint="eastAsia" w:ascii="Times New Roman" w:hAnsi="Times New Roman" w:cs="Times New Roman"/>
                <w:bCs w:val="0"/>
                <w:color w:val="auto"/>
                <w:kern w:val="2"/>
                <w:szCs w:val="24"/>
              </w:rPr>
              <w:t>年本)》限制和淘汰类之列。</w:t>
            </w:r>
          </w:p>
          <w:p>
            <w:pPr>
              <w:spacing w:line="360" w:lineRule="auto"/>
              <w:rPr>
                <w:rFonts w:hint="default" w:ascii="Times New Roman" w:hAnsi="Times New Roman" w:cs="Times New Roman"/>
                <w:b/>
                <w:bCs/>
                <w:snapToGrid w:val="0"/>
                <w:color w:val="auto"/>
                <w:kern w:val="0"/>
                <w:sz w:val="24"/>
                <w:highlight w:val="none"/>
              </w:rPr>
            </w:pPr>
            <w:r>
              <w:rPr>
                <w:rFonts w:hint="eastAsia" w:ascii="Times New Roman" w:hAnsi="Times New Roman" w:cs="Times New Roman"/>
                <w:b/>
                <w:bCs/>
                <w:snapToGrid w:val="0"/>
                <w:color w:val="auto"/>
                <w:kern w:val="0"/>
                <w:sz w:val="24"/>
                <w:highlight w:val="none"/>
                <w:lang w:val="en-US" w:eastAsia="zh-CN"/>
              </w:rPr>
              <w:t>2</w:t>
            </w:r>
            <w:r>
              <w:rPr>
                <w:rFonts w:hint="eastAsia" w:cs="Times New Roman"/>
                <w:b/>
                <w:bCs/>
                <w:snapToGrid w:val="0"/>
                <w:color w:val="auto"/>
                <w:kern w:val="0"/>
                <w:sz w:val="24"/>
                <w:highlight w:val="none"/>
                <w:lang w:val="en-US" w:eastAsia="zh-CN"/>
              </w:rPr>
              <w:t>、</w:t>
            </w:r>
            <w:r>
              <w:rPr>
                <w:rFonts w:hint="default" w:ascii="Times New Roman" w:hAnsi="Times New Roman" w:cs="Times New Roman"/>
                <w:b/>
                <w:bCs/>
                <w:snapToGrid w:val="0"/>
                <w:color w:val="auto"/>
                <w:kern w:val="0"/>
                <w:sz w:val="24"/>
                <w:highlight w:val="none"/>
              </w:rPr>
              <w:t>选址合理性</w:t>
            </w:r>
          </w:p>
          <w:p>
            <w:pPr>
              <w:spacing w:line="360" w:lineRule="auto"/>
              <w:ind w:firstLine="480" w:firstLineChars="200"/>
              <w:rPr>
                <w:rFonts w:hint="default" w:ascii="Times New Roman" w:hAnsi="Times New Roman" w:cs="Times New Roman"/>
                <w:b w:val="0"/>
                <w:bCs w:val="0"/>
                <w:color w:val="auto"/>
                <w:sz w:val="24"/>
                <w:highlight w:val="none"/>
              </w:rPr>
            </w:pPr>
            <w:r>
              <w:rPr>
                <w:rFonts w:hint="eastAsia" w:ascii="宋体" w:hAnsi="宋体" w:eastAsia="宋体" w:cs="宋体"/>
                <w:color w:val="auto"/>
                <w:sz w:val="24"/>
                <w:szCs w:val="24"/>
                <w:lang w:val="en-US" w:eastAsia="zh-CN"/>
              </w:rPr>
              <w:t>本项目</w:t>
            </w:r>
            <w:r>
              <w:rPr>
                <w:rFonts w:hint="eastAsia" w:ascii="宋体" w:hAnsi="宋体" w:eastAsia="宋体" w:cs="宋体"/>
                <w:color w:val="auto"/>
                <w:sz w:val="24"/>
                <w:szCs w:val="24"/>
              </w:rPr>
              <w:t>位于</w:t>
            </w:r>
            <w:r>
              <w:rPr>
                <w:rFonts w:hint="eastAsia" w:ascii="宋体" w:hAnsi="宋体" w:cs="宋体"/>
                <w:color w:val="auto"/>
                <w:sz w:val="24"/>
                <w:szCs w:val="24"/>
                <w:lang w:val="en-US" w:eastAsia="zh-CN"/>
              </w:rPr>
              <w:t>济南市钢城区里辛街道北赵村</w:t>
            </w:r>
            <w:r>
              <w:rPr>
                <w:rFonts w:hint="eastAsia" w:ascii="Times New Roman" w:hAnsi="Times New Roman" w:eastAsia="宋体" w:cs="Times New Roman"/>
                <w:bCs w:val="0"/>
                <w:color w:val="auto"/>
                <w:kern w:val="2"/>
                <w:sz w:val="24"/>
                <w:szCs w:val="24"/>
                <w:highlight w:val="none"/>
                <w:lang w:val="zh-TW" w:eastAsia="zh-CN" w:bidi="ar-SA"/>
              </w:rPr>
              <w:t>，</w:t>
            </w:r>
            <w:r>
              <w:rPr>
                <w:rFonts w:hint="eastAsia" w:ascii="Times New Roman" w:hAnsi="Times New Roman" w:eastAsia="宋体" w:cs="Times New Roman"/>
                <w:bCs w:val="0"/>
                <w:color w:val="auto"/>
                <w:kern w:val="2"/>
                <w:sz w:val="24"/>
                <w:szCs w:val="24"/>
                <w:highlight w:val="none"/>
                <w:lang w:val="en-US" w:eastAsia="zh-CN" w:bidi="ar-SA"/>
              </w:rPr>
              <w:t>根据</w:t>
            </w:r>
            <w:r>
              <w:rPr>
                <w:rFonts w:hint="eastAsia" w:cs="Times New Roman"/>
                <w:bCs w:val="0"/>
                <w:color w:val="auto"/>
                <w:kern w:val="2"/>
                <w:sz w:val="24"/>
                <w:szCs w:val="24"/>
                <w:highlight w:val="none"/>
                <w:lang w:val="en-US" w:eastAsia="zh-CN" w:bidi="ar-SA"/>
              </w:rPr>
              <w:t>建设单位提供的规划证和国有土地使用证</w:t>
            </w:r>
            <w:r>
              <w:rPr>
                <w:rFonts w:hint="eastAsia" w:ascii="Times New Roman" w:hAnsi="Times New Roman" w:eastAsia="宋体" w:cs="Times New Roman"/>
                <w:bCs w:val="0"/>
                <w:color w:val="auto"/>
                <w:kern w:val="2"/>
                <w:sz w:val="24"/>
                <w:szCs w:val="24"/>
                <w:highlight w:val="none"/>
                <w:lang w:val="en-US" w:eastAsia="zh-CN" w:bidi="ar-SA"/>
              </w:rPr>
              <w:t>，本项目所用地块性质为工业用地。项目用地符</w:t>
            </w:r>
            <w:r>
              <w:rPr>
                <w:rFonts w:hint="eastAsia" w:ascii="Times New Roman" w:hAnsi="Times New Roman" w:eastAsia="宋体" w:cs="Times New Roman"/>
                <w:bCs w:val="0"/>
                <w:color w:val="auto"/>
                <w:kern w:val="2"/>
                <w:sz w:val="24"/>
                <w:szCs w:val="24"/>
                <w:lang w:val="en-US" w:eastAsia="zh-CN" w:bidi="ar-SA"/>
              </w:rPr>
              <w:t>合</w:t>
            </w:r>
            <w:r>
              <w:rPr>
                <w:rFonts w:hint="eastAsia" w:cs="Times New Roman"/>
                <w:bCs w:val="0"/>
                <w:color w:val="auto"/>
                <w:kern w:val="2"/>
                <w:sz w:val="24"/>
                <w:szCs w:val="24"/>
                <w:lang w:val="en-US" w:eastAsia="zh-CN" w:bidi="ar-SA"/>
              </w:rPr>
              <w:t>济南市钢城区</w:t>
            </w:r>
            <w:r>
              <w:rPr>
                <w:rFonts w:hint="eastAsia" w:ascii="Times New Roman" w:hAnsi="Times New Roman" w:eastAsia="宋体" w:cs="Times New Roman"/>
                <w:bCs w:val="0"/>
                <w:color w:val="auto"/>
                <w:kern w:val="2"/>
                <w:sz w:val="24"/>
                <w:szCs w:val="24"/>
                <w:lang w:val="en-US" w:eastAsia="zh-CN" w:bidi="ar-SA"/>
              </w:rPr>
              <w:t>土地总体利</w:t>
            </w:r>
            <w:r>
              <w:rPr>
                <w:rFonts w:hint="eastAsia" w:ascii="宋体" w:hAnsi="宋体" w:eastAsia="宋体" w:cs="宋体"/>
                <w:color w:val="auto"/>
                <w:sz w:val="24"/>
                <w:szCs w:val="24"/>
                <w:lang w:val="en-US" w:eastAsia="zh-CN"/>
              </w:rPr>
              <w:t>用规划</w:t>
            </w:r>
            <w:r>
              <w:rPr>
                <w:rFonts w:hint="eastAsia" w:ascii="宋体" w:hAnsi="宋体" w:eastAsia="宋体" w:cs="宋体"/>
                <w:color w:val="auto"/>
                <w:sz w:val="24"/>
                <w:szCs w:val="24"/>
                <w:highlight w:val="none"/>
                <w:lang w:val="en-US" w:eastAsia="zh-CN"/>
              </w:rPr>
              <w:t>。因此</w:t>
            </w:r>
            <w:r>
              <w:rPr>
                <w:rFonts w:hint="eastAsia" w:ascii="宋体" w:hAnsi="宋体" w:eastAsia="宋体" w:cs="宋体"/>
                <w:color w:val="auto"/>
                <w:sz w:val="24"/>
                <w:szCs w:val="24"/>
              </w:rPr>
              <w:t>，本项目选址合理</w:t>
            </w:r>
            <w:r>
              <w:rPr>
                <w:rFonts w:hint="default" w:ascii="Times New Roman" w:hAnsi="Times New Roman" w:cs="Times New Roman"/>
                <w:b w:val="0"/>
                <w:bCs w:val="0"/>
                <w:color w:val="auto"/>
                <w:sz w:val="24"/>
                <w:highlight w:val="none"/>
              </w:rPr>
              <w:t>。</w:t>
            </w:r>
          </w:p>
          <w:p>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val="0"/>
                <w:color w:val="auto"/>
                <w:kern w:val="2"/>
                <w:szCs w:val="24"/>
                <w:lang w:val="en-US" w:eastAsia="zh-CN"/>
              </w:rPr>
              <w:t>3、</w:t>
            </w:r>
            <w:r>
              <w:rPr>
                <w:rFonts w:hint="default" w:ascii="Times New Roman" w:hAnsi="Times New Roman" w:cs="Times New Roman"/>
                <w:b/>
                <w:bCs w:val="0"/>
                <w:color w:val="auto"/>
                <w:kern w:val="2"/>
                <w:szCs w:val="24"/>
                <w:highlight w:val="none"/>
                <w:lang w:eastAsia="zh-CN"/>
              </w:rPr>
              <w:t>“</w:t>
            </w:r>
            <w:r>
              <w:rPr>
                <w:rFonts w:hint="default" w:ascii="Times New Roman" w:hAnsi="Times New Roman" w:cs="Times New Roman"/>
                <w:b/>
                <w:bCs w:val="0"/>
                <w:color w:val="auto"/>
                <w:kern w:val="2"/>
                <w:szCs w:val="24"/>
                <w:highlight w:val="none"/>
              </w:rPr>
              <w:t>三线一单</w:t>
            </w:r>
            <w:r>
              <w:rPr>
                <w:rFonts w:hint="default" w:ascii="Times New Roman" w:hAnsi="Times New Roman" w:cs="Times New Roman"/>
                <w:b/>
                <w:bCs w:val="0"/>
                <w:color w:val="auto"/>
                <w:kern w:val="2"/>
                <w:szCs w:val="24"/>
                <w:highlight w:val="none"/>
                <w:lang w:eastAsia="zh-CN"/>
              </w:rPr>
              <w:t>”</w:t>
            </w:r>
            <w:r>
              <w:rPr>
                <w:rFonts w:hint="default" w:ascii="Times New Roman" w:hAnsi="Times New Roman" w:cs="Times New Roman"/>
                <w:b/>
                <w:bCs w:val="0"/>
                <w:color w:val="auto"/>
                <w:kern w:val="2"/>
                <w:szCs w:val="24"/>
                <w:highlight w:val="none"/>
              </w:rPr>
              <w:t>符合性分析</w:t>
            </w:r>
          </w:p>
          <w:p>
            <w:pPr>
              <w:widowControl w:val="0"/>
              <w:adjustRightInd/>
              <w:snapToGrid/>
              <w:ind w:firstLine="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“三线一单”符合性分析</w:t>
            </w:r>
          </w:p>
          <w:tbl>
            <w:tblPr>
              <w:tblStyle w:val="24"/>
              <w:tblW w:w="941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71"/>
              <w:gridCol w:w="5899"/>
              <w:gridCol w:w="284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671" w:type="dxa"/>
                  <w:tcBorders>
                    <w:tl2br w:val="nil"/>
                    <w:tr2bl w:val="nil"/>
                  </w:tcBorders>
                  <w:noWrap w:val="0"/>
                  <w:vAlign w:val="center"/>
                </w:tcPr>
                <w:p>
                  <w:pPr>
                    <w:pStyle w:val="60"/>
                    <w:spacing w:line="320" w:lineRule="exact"/>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内容</w:t>
                  </w:r>
                </w:p>
              </w:tc>
              <w:tc>
                <w:tcPr>
                  <w:tcW w:w="5899" w:type="dxa"/>
                  <w:tcBorders>
                    <w:tl2br w:val="nil"/>
                    <w:tr2bl w:val="nil"/>
                  </w:tcBorders>
                  <w:noWrap w:val="0"/>
                  <w:vAlign w:val="center"/>
                </w:tcPr>
                <w:p>
                  <w:pPr>
                    <w:pStyle w:val="60"/>
                    <w:spacing w:line="320" w:lineRule="exact"/>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符合性分析</w:t>
                  </w:r>
                </w:p>
              </w:tc>
              <w:tc>
                <w:tcPr>
                  <w:tcW w:w="2842" w:type="dxa"/>
                  <w:tcBorders>
                    <w:tl2br w:val="nil"/>
                    <w:tr2bl w:val="nil"/>
                  </w:tcBorders>
                  <w:noWrap w:val="0"/>
                  <w:vAlign w:val="center"/>
                </w:tcPr>
                <w:p>
                  <w:pPr>
                    <w:pStyle w:val="60"/>
                    <w:spacing w:line="320" w:lineRule="exact"/>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46" w:hRule="atLeast"/>
                <w:jc w:val="center"/>
              </w:trPr>
              <w:tc>
                <w:tcPr>
                  <w:tcW w:w="671" w:type="dxa"/>
                  <w:tcBorders>
                    <w:tl2br w:val="nil"/>
                    <w:tr2bl w:val="nil"/>
                  </w:tcBorders>
                  <w:noWrap w:val="0"/>
                  <w:vAlign w:val="center"/>
                </w:tcPr>
                <w:p>
                  <w:pPr>
                    <w:pStyle w:val="6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899" w:type="dxa"/>
                  <w:tcBorders>
                    <w:tl2br w:val="nil"/>
                    <w:tr2bl w:val="nil"/>
                  </w:tcBorders>
                  <w:noWrap w:val="0"/>
                  <w:vAlign w:val="center"/>
                </w:tcPr>
                <w:p>
                  <w:pPr>
                    <w:autoSpaceDE w:val="0"/>
                    <w:autoSpaceDN w:val="0"/>
                    <w:adjustRightInd w:val="0"/>
                    <w:spacing w:line="320" w:lineRule="exact"/>
                    <w:jc w:val="left"/>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本项目位于</w:t>
                  </w:r>
                  <w:r>
                    <w:rPr>
                      <w:rFonts w:hint="eastAsia" w:cs="Times New Roman"/>
                      <w:color w:val="auto"/>
                      <w:sz w:val="21"/>
                      <w:szCs w:val="21"/>
                      <w:highlight w:val="none"/>
                      <w:lang w:val="zh-CN"/>
                    </w:rPr>
                    <w:t>济南市钢城区里辛街道北赵村</w:t>
                  </w:r>
                  <w:r>
                    <w:rPr>
                      <w:rFonts w:hint="default" w:ascii="Times New Roman" w:hAnsi="Times New Roman" w:eastAsia="宋体" w:cs="Times New Roman"/>
                      <w:bCs/>
                      <w:color w:val="auto"/>
                      <w:sz w:val="21"/>
                      <w:szCs w:val="21"/>
                      <w:highlight w:val="none"/>
                      <w:lang w:val="zh-CN"/>
                    </w:rPr>
                    <w:t>，</w:t>
                  </w:r>
                  <w:r>
                    <w:rPr>
                      <w:rFonts w:hint="default" w:ascii="Times New Roman" w:hAnsi="Times New Roman" w:eastAsia="宋体" w:cs="Times New Roman"/>
                      <w:bCs/>
                      <w:color w:val="auto"/>
                      <w:sz w:val="21"/>
                      <w:szCs w:val="21"/>
                      <w:highlight w:val="none"/>
                    </w:rPr>
                    <w:t>周边无自然保护区、饮用水源保护区等生态保护目标，符合生态保护红线要求。</w:t>
                  </w:r>
                </w:p>
              </w:tc>
              <w:tc>
                <w:tcPr>
                  <w:tcW w:w="2842" w:type="dxa"/>
                  <w:vMerge w:val="restart"/>
                  <w:tcBorders>
                    <w:tl2br w:val="nil"/>
                    <w:tr2bl w:val="nil"/>
                  </w:tcBorders>
                  <w:noWrap w:val="0"/>
                  <w:vAlign w:val="center"/>
                </w:tcPr>
                <w:p>
                  <w:pPr>
                    <w:autoSpaceDE w:val="0"/>
                    <w:autoSpaceDN w:val="0"/>
                    <w:adjustRightInd w:val="0"/>
                    <w:spacing w:line="320" w:lineRule="exact"/>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离厂区最近的生态保护红线区为</w:t>
                  </w:r>
                  <w:r>
                    <w:rPr>
                      <w:rFonts w:hint="eastAsia" w:ascii="Times New Roman" w:hAnsi="Times New Roman" w:cs="Times New Roman"/>
                      <w:color w:val="auto"/>
                      <w:sz w:val="21"/>
                      <w:szCs w:val="21"/>
                      <w:highlight w:val="none"/>
                      <w:lang w:val="en-US" w:eastAsia="zh-CN"/>
                    </w:rPr>
                    <w:t>黄羊山水土保持生态红线区</w:t>
                  </w:r>
                  <w:r>
                    <w:rPr>
                      <w:rFonts w:hint="default" w:ascii="Times New Roman" w:hAnsi="Times New Roman" w:eastAsia="宋体" w:cs="Times New Roman"/>
                      <w:color w:val="auto"/>
                      <w:sz w:val="21"/>
                      <w:szCs w:val="21"/>
                      <w:highlight w:val="none"/>
                      <w:lang w:val="zh-CN" w:eastAsia="zh-CN"/>
                    </w:rPr>
                    <w:t>（代码</w:t>
                  </w:r>
                  <w:r>
                    <w:rPr>
                      <w:rFonts w:hint="default" w:ascii="Times New Roman" w:hAnsi="Times New Roman" w:eastAsia="宋体" w:cs="Times New Roman"/>
                      <w:color w:val="auto"/>
                      <w:sz w:val="21"/>
                      <w:szCs w:val="21"/>
                      <w:highlight w:val="none"/>
                      <w:lang w:val="en-US" w:eastAsia="zh-CN"/>
                    </w:rPr>
                    <w:t>SD-12-B</w:t>
                  </w:r>
                  <w:r>
                    <w:rPr>
                      <w:rFonts w:hint="eastAsia" w:ascii="Times New Roman" w:hAnsi="Times New Roman" w:cs="Times New Roman"/>
                      <w:color w:val="auto"/>
                      <w:sz w:val="21"/>
                      <w:szCs w:val="21"/>
                      <w:highlight w:val="none"/>
                      <w:lang w:val="en-US" w:eastAsia="zh-CN"/>
                    </w:rPr>
                    <w:t>2-002</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zh-CN"/>
                    </w:rPr>
                    <w:t>。距离本项目所在地约</w:t>
                  </w:r>
                  <w:r>
                    <w:rPr>
                      <w:rFonts w:hint="eastAsia" w:cs="Times New Roman"/>
                      <w:color w:val="auto"/>
                      <w:sz w:val="21"/>
                      <w:szCs w:val="21"/>
                      <w:highlight w:val="none"/>
                      <w:lang w:val="en-US" w:eastAsia="zh-CN"/>
                    </w:rPr>
                    <w:t>210</w:t>
                  </w:r>
                  <w:r>
                    <w:rPr>
                      <w:rFonts w:hint="default" w:ascii="Times New Roman" w:hAnsi="Times New Roman" w:eastAsia="宋体" w:cs="Times New Roman"/>
                      <w:color w:val="auto"/>
                      <w:sz w:val="21"/>
                      <w:szCs w:val="21"/>
                      <w:highlight w:val="none"/>
                      <w:lang w:val="zh-CN"/>
                    </w:rPr>
                    <w:t>m，不在其生态保护红线区内。</w:t>
                  </w:r>
                </w:p>
                <w:p>
                  <w:pPr>
                    <w:autoSpaceDE w:val="0"/>
                    <w:autoSpaceDN w:val="0"/>
                    <w:adjustRightInd w:val="0"/>
                    <w:spacing w:line="320" w:lineRule="exact"/>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 xml:space="preserve"> </w:t>
                  </w:r>
                  <w:r>
                    <w:rPr>
                      <w:rFonts w:hint="eastAsia" w:cs="Times New Roman"/>
                      <w:color w:val="auto"/>
                      <w:sz w:val="21"/>
                      <w:szCs w:val="21"/>
                      <w:highlight w:val="none"/>
                      <w:lang w:val="en-US" w:eastAsia="zh-CN"/>
                    </w:rPr>
                    <w:t>钢城区</w:t>
                  </w:r>
                  <w:r>
                    <w:rPr>
                      <w:rFonts w:hint="default" w:ascii="Times New Roman" w:hAnsi="Times New Roman" w:eastAsia="宋体" w:cs="Times New Roman"/>
                      <w:color w:val="auto"/>
                      <w:sz w:val="21"/>
                      <w:szCs w:val="21"/>
                      <w:highlight w:val="none"/>
                      <w:lang w:val="zh-CN"/>
                    </w:rPr>
                    <w:t>省级生态红线区分布见附图</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671" w:type="dxa"/>
                  <w:tcBorders>
                    <w:tl2br w:val="nil"/>
                    <w:tr2bl w:val="nil"/>
                  </w:tcBorders>
                  <w:noWrap w:val="0"/>
                  <w:vAlign w:val="center"/>
                </w:tcPr>
                <w:p>
                  <w:pPr>
                    <w:pStyle w:val="6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w:t>
                  </w:r>
                </w:p>
              </w:tc>
              <w:tc>
                <w:tcPr>
                  <w:tcW w:w="5899" w:type="dxa"/>
                  <w:tcBorders>
                    <w:tl2br w:val="nil"/>
                    <w:tr2bl w:val="nil"/>
                  </w:tcBorders>
                  <w:noWrap w:val="0"/>
                  <w:vAlign w:val="center"/>
                </w:tcPr>
                <w:p>
                  <w:pPr>
                    <w:autoSpaceDE w:val="0"/>
                    <w:autoSpaceDN w:val="0"/>
                    <w:adjustRightInd w:val="0"/>
                    <w:spacing w:line="320" w:lineRule="exact"/>
                    <w:jc w:val="left"/>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本项目运营过程中消耗电力、</w:t>
                  </w:r>
                  <w:r>
                    <w:rPr>
                      <w:rFonts w:hint="eastAsia" w:cs="Times New Roman"/>
                      <w:color w:val="auto"/>
                      <w:sz w:val="21"/>
                      <w:szCs w:val="21"/>
                      <w:highlight w:val="none"/>
                      <w:lang w:val="en-US" w:eastAsia="zh-CN"/>
                    </w:rPr>
                    <w:t>焦炉煤气</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rPr>
                    <w:t>水资源，资源消耗量相对区域资源利用总量较少，符合资源利用上限要求。</w:t>
                  </w:r>
                </w:p>
              </w:tc>
              <w:tc>
                <w:tcPr>
                  <w:tcW w:w="2842" w:type="dxa"/>
                  <w:vMerge w:val="continue"/>
                  <w:tcBorders>
                    <w:tl2br w:val="nil"/>
                    <w:tr2bl w:val="nil"/>
                  </w:tcBorders>
                  <w:noWrap w:val="0"/>
                  <w:vAlign w:val="center"/>
                </w:tcPr>
                <w:p>
                  <w:pPr>
                    <w:autoSpaceDE w:val="0"/>
                    <w:autoSpaceDN w:val="0"/>
                    <w:adjustRightInd w:val="0"/>
                    <w:spacing w:line="320" w:lineRule="exact"/>
                    <w:jc w:val="center"/>
                    <w:rPr>
                      <w:rFonts w:hint="default" w:ascii="Times New Roman" w:hAnsi="Times New Roman" w:eastAsia="宋体" w:cs="Times New Roman"/>
                      <w:color w:val="auto"/>
                      <w:sz w:val="21"/>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671" w:type="dxa"/>
                  <w:tcBorders>
                    <w:tl2br w:val="nil"/>
                    <w:tr2bl w:val="nil"/>
                  </w:tcBorders>
                  <w:noWrap w:val="0"/>
                  <w:vAlign w:val="center"/>
                </w:tcPr>
                <w:p>
                  <w:pPr>
                    <w:pStyle w:val="6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899" w:type="dxa"/>
                  <w:tcBorders>
                    <w:tl2br w:val="nil"/>
                    <w:tr2bl w:val="nil"/>
                  </w:tcBorders>
                  <w:noWrap w:val="0"/>
                  <w:vAlign w:val="center"/>
                </w:tcPr>
                <w:p>
                  <w:pPr>
                    <w:autoSpaceDE w:val="0"/>
                    <w:autoSpaceDN w:val="0"/>
                    <w:adjustRightInd w:val="0"/>
                    <w:spacing w:line="320" w:lineRule="exact"/>
                    <w:jc w:val="left"/>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本项目附近地表水环境、声环境质量均满足相应的质量标准要求，大气环境不能稳定达到环境空气质量标准要求，</w:t>
                  </w:r>
                  <w:r>
                    <w:rPr>
                      <w:rFonts w:hint="eastAsia" w:cs="Times New Roman"/>
                      <w:color w:val="auto"/>
                      <w:sz w:val="21"/>
                      <w:szCs w:val="21"/>
                      <w:highlight w:val="none"/>
                      <w:lang w:val="zh-CN"/>
                    </w:rPr>
                    <w:t>钢城区</w:t>
                  </w:r>
                  <w:r>
                    <w:rPr>
                      <w:rFonts w:hint="default" w:ascii="Times New Roman" w:hAnsi="Times New Roman" w:eastAsia="宋体" w:cs="Times New Roman"/>
                      <w:color w:val="auto"/>
                      <w:sz w:val="21"/>
                      <w:szCs w:val="21"/>
                      <w:highlight w:val="none"/>
                      <w:lang w:val="zh-CN"/>
                    </w:rPr>
                    <w:t>已制定改善政策，现正在好转。项目产生的废气经治理后对周边环境影响很小；废水</w:t>
                  </w:r>
                  <w:r>
                    <w:rPr>
                      <w:rFonts w:hint="eastAsia" w:cs="Times New Roman"/>
                      <w:color w:val="auto"/>
                      <w:sz w:val="21"/>
                      <w:szCs w:val="21"/>
                      <w:highlight w:val="none"/>
                      <w:lang w:val="en-US" w:eastAsia="zh-CN"/>
                    </w:rPr>
                    <w:t>经地埋式一体化污水处理设备处理后用于厂区绿化和热轧用水</w:t>
                  </w:r>
                  <w:r>
                    <w:rPr>
                      <w:rFonts w:hint="default" w:ascii="Times New Roman" w:hAnsi="Times New Roman" w:eastAsia="宋体" w:cs="Times New Roman"/>
                      <w:color w:val="auto"/>
                      <w:sz w:val="21"/>
                      <w:szCs w:val="21"/>
                      <w:highlight w:val="none"/>
                      <w:lang w:val="zh-CN"/>
                    </w:rPr>
                    <w:t>，</w:t>
                  </w:r>
                  <w:r>
                    <w:rPr>
                      <w:rFonts w:hint="eastAsia" w:cs="Times New Roman"/>
                      <w:color w:val="auto"/>
                      <w:sz w:val="21"/>
                      <w:szCs w:val="21"/>
                      <w:highlight w:val="none"/>
                      <w:lang w:val="en-US" w:eastAsia="zh-CN"/>
                    </w:rPr>
                    <w:t>不外排，</w:t>
                  </w:r>
                  <w:r>
                    <w:rPr>
                      <w:rFonts w:hint="default" w:ascii="Times New Roman" w:hAnsi="Times New Roman" w:eastAsia="宋体" w:cs="Times New Roman"/>
                      <w:color w:val="auto"/>
                      <w:sz w:val="21"/>
                      <w:szCs w:val="21"/>
                      <w:highlight w:val="none"/>
                      <w:lang w:val="zh-CN"/>
                    </w:rPr>
                    <w:t>符合环境质量底线要求</w:t>
                  </w:r>
                  <w:r>
                    <w:rPr>
                      <w:rFonts w:hint="eastAsia" w:cs="Times New Roman"/>
                      <w:color w:val="auto"/>
                      <w:sz w:val="21"/>
                      <w:szCs w:val="21"/>
                      <w:highlight w:val="none"/>
                      <w:lang w:val="zh-CN"/>
                    </w:rPr>
                    <w:t>。</w:t>
                  </w:r>
                </w:p>
              </w:tc>
              <w:tc>
                <w:tcPr>
                  <w:tcW w:w="2842" w:type="dxa"/>
                  <w:vMerge w:val="continue"/>
                  <w:tcBorders>
                    <w:tl2br w:val="nil"/>
                    <w:tr2bl w:val="nil"/>
                  </w:tcBorders>
                  <w:noWrap w:val="0"/>
                  <w:vAlign w:val="center"/>
                </w:tcPr>
                <w:p>
                  <w:pPr>
                    <w:autoSpaceDE w:val="0"/>
                    <w:autoSpaceDN w:val="0"/>
                    <w:adjustRightInd w:val="0"/>
                    <w:spacing w:line="320" w:lineRule="exact"/>
                    <w:jc w:val="center"/>
                    <w:rPr>
                      <w:rFonts w:hint="default" w:ascii="Times New Roman" w:hAnsi="Times New Roman" w:eastAsia="宋体" w:cs="Times New Roman"/>
                      <w:color w:val="auto"/>
                      <w:sz w:val="21"/>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963" w:hRule="atLeast"/>
                <w:jc w:val="center"/>
              </w:trPr>
              <w:tc>
                <w:tcPr>
                  <w:tcW w:w="671" w:type="dxa"/>
                  <w:tcBorders>
                    <w:tl2br w:val="nil"/>
                    <w:tr2bl w:val="nil"/>
                  </w:tcBorders>
                  <w:noWrap w:val="0"/>
                  <w:vAlign w:val="center"/>
                </w:tcPr>
                <w:p>
                  <w:pPr>
                    <w:pStyle w:val="6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负面清单</w:t>
                  </w:r>
                </w:p>
              </w:tc>
              <w:tc>
                <w:tcPr>
                  <w:tcW w:w="5899" w:type="dxa"/>
                  <w:tcBorders>
                    <w:tl2br w:val="nil"/>
                    <w:tr2bl w:val="nil"/>
                  </w:tcBorders>
                  <w:noWrap w:val="0"/>
                  <w:vAlign w:val="center"/>
                </w:tcPr>
                <w:p>
                  <w:pPr>
                    <w:autoSpaceDE w:val="0"/>
                    <w:autoSpaceDN w:val="0"/>
                    <w:adjustRightInd w:val="0"/>
                    <w:spacing w:line="320" w:lineRule="exact"/>
                    <w:jc w:val="left"/>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本项目位于</w:t>
                  </w:r>
                  <w:r>
                    <w:rPr>
                      <w:rFonts w:hint="eastAsia" w:cs="Times New Roman"/>
                      <w:color w:val="auto"/>
                      <w:sz w:val="21"/>
                      <w:szCs w:val="21"/>
                      <w:highlight w:val="none"/>
                      <w:lang w:val="zh-CN"/>
                    </w:rPr>
                    <w:t>济南市钢城区里辛街道北赵村</w:t>
                  </w:r>
                  <w:r>
                    <w:rPr>
                      <w:rFonts w:hint="default" w:ascii="Times New Roman" w:hAnsi="Times New Roman" w:eastAsia="宋体" w:cs="Times New Roman"/>
                      <w:bCs/>
                      <w:color w:val="auto"/>
                      <w:sz w:val="21"/>
                      <w:szCs w:val="21"/>
                      <w:highlight w:val="none"/>
                      <w:lang w:val="zh-CN"/>
                    </w:rPr>
                    <w:t>，</w:t>
                  </w:r>
                  <w:r>
                    <w:rPr>
                      <w:rFonts w:hint="default" w:ascii="Times New Roman" w:hAnsi="Times New Roman" w:cs="Times New Roman"/>
                      <w:color w:val="auto"/>
                      <w:sz w:val="21"/>
                      <w:szCs w:val="21"/>
                      <w:highlight w:val="none"/>
                      <w:lang w:eastAsia="zh-CN"/>
                    </w:rPr>
                    <w:t>项目已在发改委备案，不属于产业负面清单</w:t>
                  </w:r>
                  <w:r>
                    <w:rPr>
                      <w:rFonts w:hint="default" w:ascii="Times New Roman" w:hAnsi="Times New Roman" w:eastAsia="宋体" w:cs="Times New Roman"/>
                      <w:color w:val="auto"/>
                      <w:sz w:val="21"/>
                      <w:szCs w:val="21"/>
                      <w:highlight w:val="none"/>
                    </w:rPr>
                    <w:t>。</w:t>
                  </w:r>
                </w:p>
              </w:tc>
              <w:tc>
                <w:tcPr>
                  <w:tcW w:w="2842" w:type="dxa"/>
                  <w:vMerge w:val="continue"/>
                  <w:tcBorders>
                    <w:tl2br w:val="nil"/>
                    <w:tr2bl w:val="nil"/>
                  </w:tcBorders>
                  <w:noWrap w:val="0"/>
                  <w:vAlign w:val="center"/>
                </w:tcPr>
                <w:p>
                  <w:pPr>
                    <w:autoSpaceDE w:val="0"/>
                    <w:autoSpaceDN w:val="0"/>
                    <w:adjustRightInd w:val="0"/>
                    <w:spacing w:line="320" w:lineRule="exact"/>
                    <w:jc w:val="center"/>
                    <w:rPr>
                      <w:rFonts w:hint="default" w:ascii="Times New Roman" w:hAnsi="Times New Roman" w:eastAsia="宋体" w:cs="Times New Roman"/>
                      <w:color w:val="auto"/>
                      <w:sz w:val="21"/>
                      <w:szCs w:val="21"/>
                      <w:highlight w:val="none"/>
                      <w:lang w:val="zh-CN"/>
                    </w:rPr>
                  </w:pPr>
                </w:p>
              </w:tc>
            </w:tr>
          </w:tbl>
          <w:p>
            <w:pPr>
              <w:numPr>
                <w:ilvl w:val="0"/>
                <w:numId w:val="0"/>
              </w:num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bCs/>
                <w:color w:val="auto"/>
                <w:kern w:val="10"/>
                <w:sz w:val="24"/>
                <w:szCs w:val="21"/>
                <w:highlight w:val="none"/>
                <w:lang w:val="en-US" w:eastAsia="zh-CN"/>
              </w:rPr>
              <w:t>综上所述，项目选址符合“三线一单”要求。</w:t>
            </w:r>
            <w:bookmarkStart w:id="0" w:name="OLE_LINK1"/>
          </w:p>
          <w:p>
            <w:pPr>
              <w:adjustRightInd/>
              <w:spacing w:line="360" w:lineRule="auto"/>
              <w:rPr>
                <w:rFonts w:hint="eastAsia"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4、</w:t>
            </w:r>
            <w:r>
              <w:rPr>
                <w:rFonts w:hint="eastAsia" w:ascii="Times New Roman" w:hAnsi="Times New Roman" w:cs="Times New Roman"/>
                <w:b/>
                <w:bCs/>
                <w:color w:val="auto"/>
                <w:sz w:val="24"/>
                <w:highlight w:val="none"/>
                <w:lang w:val="en-US" w:eastAsia="zh-CN"/>
              </w:rPr>
              <w:t>与“蓝天保卫战”的符合性分析</w:t>
            </w:r>
          </w:p>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Cs w:val="0"/>
                <w:color w:val="auto"/>
                <w:kern w:val="2"/>
                <w:sz w:val="24"/>
                <w:szCs w:val="24"/>
                <w:highlight w:val="none"/>
                <w:lang w:val="en-US" w:eastAsia="zh-CN" w:bidi="ar-SA"/>
              </w:rPr>
            </w:pPr>
            <w:r>
              <w:rPr>
                <w:rFonts w:hint="default" w:ascii="Times New Roman" w:hAnsi="Times New Roman" w:eastAsia="宋体" w:cs="Times New Roman"/>
                <w:bCs w:val="0"/>
                <w:color w:val="auto"/>
                <w:kern w:val="2"/>
                <w:sz w:val="24"/>
                <w:szCs w:val="24"/>
                <w:highlight w:val="none"/>
                <w:lang w:val="en-US" w:eastAsia="zh-CN" w:bidi="ar-SA"/>
              </w:rPr>
              <w:t>与《关于印发山东省打赢蓝天保卫战作战方案暨2013—2020年大气污染防治规划三期行动计划（2018—2020年）的通知》（鲁政发〔2018〕17号）符合性</w:t>
            </w:r>
            <w:r>
              <w:rPr>
                <w:rFonts w:hint="eastAsia" w:ascii="Times New Roman" w:hAnsi="Times New Roman" w:cs="Times New Roman"/>
                <w:bCs w:val="0"/>
                <w:color w:val="auto"/>
                <w:kern w:val="2"/>
                <w:sz w:val="24"/>
                <w:szCs w:val="24"/>
                <w:highlight w:val="none"/>
                <w:lang w:val="en-US" w:eastAsia="zh-CN" w:bidi="ar-SA"/>
              </w:rPr>
              <w:t>。</w:t>
            </w:r>
          </w:p>
          <w:p>
            <w:pPr>
              <w:widowControl w:val="0"/>
              <w:adjustRightInd/>
              <w:snapToGrid/>
              <w:ind w:firstLine="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与鲁政发〔2018〕17号符合性分析</w:t>
            </w:r>
          </w:p>
          <w:tbl>
            <w:tblPr>
              <w:tblStyle w:val="25"/>
              <w:tblW w:w="93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2"/>
              <w:gridCol w:w="3122"/>
              <w:gridCol w:w="1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top"/>
                </w:tcPr>
                <w:p>
                  <w:pPr>
                    <w:jc w:val="center"/>
                    <w:rPr>
                      <w:rFonts w:hint="default" w:ascii="Times New Roman" w:hAnsi="Times New Roman" w:cs="Times New Roman"/>
                      <w:b/>
                      <w:bCs w:val="0"/>
                      <w:color w:val="auto"/>
                      <w:highlight w:val="none"/>
                      <w:vertAlign w:val="baseline"/>
                      <w:lang w:val="en-US" w:eastAsia="zh-CN"/>
                    </w:rPr>
                  </w:pPr>
                  <w:r>
                    <w:rPr>
                      <w:rFonts w:hint="default" w:ascii="Times New Roman" w:hAnsi="Times New Roman" w:cs="Times New Roman"/>
                      <w:b/>
                      <w:bCs w:val="0"/>
                      <w:color w:val="auto"/>
                      <w:kern w:val="2"/>
                      <w:szCs w:val="24"/>
                      <w:highlight w:val="none"/>
                      <w:lang w:val="en-US" w:eastAsia="zh-CN"/>
                    </w:rPr>
                    <w:t>鲁政发〔2018〕17号要求</w:t>
                  </w:r>
                </w:p>
              </w:tc>
              <w:tc>
                <w:tcPr>
                  <w:tcW w:w="3122" w:type="dxa"/>
                  <w:tcBorders>
                    <w:tl2br w:val="nil"/>
                    <w:tr2bl w:val="nil"/>
                  </w:tcBorders>
                  <w:noWrap w:val="0"/>
                  <w:vAlign w:val="top"/>
                </w:tcPr>
                <w:p>
                  <w:pPr>
                    <w:jc w:val="center"/>
                    <w:rPr>
                      <w:rFonts w:hint="default" w:ascii="Times New Roman" w:hAnsi="Times New Roman" w:cs="Times New Roman"/>
                      <w:b/>
                      <w:bCs w:val="0"/>
                      <w:color w:val="auto"/>
                      <w:highlight w:val="none"/>
                      <w:vertAlign w:val="baseline"/>
                      <w:lang w:val="en-US" w:eastAsia="zh-CN"/>
                    </w:rPr>
                  </w:pPr>
                  <w:r>
                    <w:rPr>
                      <w:rFonts w:hint="default" w:ascii="Times New Roman" w:hAnsi="Times New Roman" w:cs="Times New Roman"/>
                      <w:b/>
                      <w:bCs w:val="0"/>
                      <w:color w:val="auto"/>
                      <w:highlight w:val="none"/>
                      <w:vertAlign w:val="baseline"/>
                      <w:lang w:val="en-US" w:eastAsia="zh-CN"/>
                    </w:rPr>
                    <w:t>企业情况</w:t>
                  </w:r>
                </w:p>
              </w:tc>
              <w:tc>
                <w:tcPr>
                  <w:tcW w:w="1818" w:type="dxa"/>
                  <w:tcBorders>
                    <w:tl2br w:val="nil"/>
                    <w:tr2bl w:val="nil"/>
                  </w:tcBorders>
                  <w:noWrap w:val="0"/>
                  <w:vAlign w:val="top"/>
                </w:tcPr>
                <w:p>
                  <w:pPr>
                    <w:jc w:val="center"/>
                    <w:rPr>
                      <w:rFonts w:hint="default" w:ascii="Times New Roman" w:hAnsi="Times New Roman" w:cs="Times New Roman"/>
                      <w:b/>
                      <w:bCs w:val="0"/>
                      <w:color w:val="auto"/>
                      <w:highlight w:val="none"/>
                      <w:vertAlign w:val="baseline"/>
                      <w:lang w:val="en-US" w:eastAsia="zh-CN"/>
                    </w:rPr>
                  </w:pPr>
                  <w:r>
                    <w:rPr>
                      <w:rFonts w:hint="default" w:ascii="Times New Roman" w:hAnsi="Times New Roman" w:cs="Times New Roman"/>
                      <w:b/>
                      <w:bCs w:val="0"/>
                      <w:color w:val="auto"/>
                      <w:highlight w:val="none"/>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持续实施“散乱污”企业整治。巩固全省“散乱污”企业整治工作成果，坚决杜绝“散乱污”企业项目和已取缔的“散乱污”企业异地转移、死灰复燃。</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根据《关于“散乱污”提升改造类建设项目完善环保手续的通知》</w:t>
                  </w:r>
                  <w:r>
                    <w:rPr>
                      <w:rFonts w:hint="eastAsia" w:ascii="Times New Roman" w:hAnsi="Times New Roman" w:cs="Times New Roman"/>
                      <w:color w:val="auto"/>
                      <w:highlight w:val="none"/>
                      <w:vertAlign w:val="baseline"/>
                      <w:lang w:val="en-US" w:eastAsia="zh-CN"/>
                    </w:rPr>
                    <w:t>，</w:t>
                  </w:r>
                  <w:r>
                    <w:rPr>
                      <w:rFonts w:hint="default" w:ascii="Times New Roman" w:hAnsi="Times New Roman" w:cs="Times New Roman"/>
                      <w:color w:val="auto"/>
                      <w:highlight w:val="none"/>
                      <w:vertAlign w:val="baseline"/>
                      <w:lang w:val="en-US" w:eastAsia="zh-CN"/>
                    </w:rPr>
                    <w:t>本项目</w:t>
                  </w:r>
                  <w:r>
                    <w:rPr>
                      <w:rFonts w:hint="eastAsia" w:ascii="Times New Roman" w:hAnsi="Times New Roman" w:cs="Times New Roman"/>
                      <w:color w:val="auto"/>
                      <w:highlight w:val="none"/>
                      <w:vertAlign w:val="baseline"/>
                      <w:lang w:val="en-US" w:eastAsia="zh-CN"/>
                    </w:rPr>
                    <w:t>不属于此类</w:t>
                  </w:r>
                  <w:r>
                    <w:rPr>
                      <w:rFonts w:hint="default" w:ascii="Times New Roman" w:hAnsi="Times New Roman" w:cs="Times New Roman"/>
                      <w:color w:val="auto"/>
                      <w:highlight w:val="none"/>
                      <w:vertAlign w:val="baseline"/>
                      <w:lang w:val="en-US" w:eastAsia="zh-CN"/>
                    </w:rPr>
                    <w:t>项目。</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rPr>
                    <w:t>严格控制“两高”行业新增产能。严禁新增钢铁、焦化、电解铝、铸造、水泥和平板玻璃等产能；严格执行钢铁、水泥、平板玻璃等行业产能置换实施办法。</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本项目不属于所列行业。</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rPr>
                    <w:t>强力推进燃煤锅炉综合整治。全面淘汰10蒸吨/小时及以下燃煤锅炉。县级及以上城市建成区基本淘汰茶水炉、经营性炉灶、储粮烘干设备等燃煤设施，不再新建35蒸吨/小时以下的燃煤锅炉。</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w:t>
                  </w:r>
                  <w:r>
                    <w:rPr>
                      <w:rFonts w:hint="eastAsia" w:cs="Times New Roman"/>
                      <w:color w:val="auto"/>
                      <w:highlight w:val="none"/>
                      <w:vertAlign w:val="baseline"/>
                      <w:lang w:val="en-US" w:eastAsia="zh-CN"/>
                    </w:rPr>
                    <w:t>项目不设锅炉。</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rPr>
                    <w:t>强化工业企业无组织排放控制管理。对钢铁、建材、有色、火电、焦化、铸造等重点行业及燃煤锅炉开展无组织排放排查，建立管理台账，制定无组织排放改造规范方案。</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w:t>
                  </w:r>
                  <w:r>
                    <w:rPr>
                      <w:rFonts w:hint="eastAsia" w:cs="Times New Roman"/>
                      <w:color w:val="auto"/>
                      <w:highlight w:val="none"/>
                      <w:vertAlign w:val="baseline"/>
                      <w:lang w:val="en-US" w:eastAsia="zh-CN"/>
                    </w:rPr>
                    <w:t>不属于所列行业</w:t>
                  </w:r>
                  <w:r>
                    <w:rPr>
                      <w:rFonts w:hint="default" w:ascii="Times New Roman" w:hAnsi="Times New Roman" w:cs="Times New Roman"/>
                      <w:color w:val="auto"/>
                      <w:highlight w:val="none"/>
                      <w:vertAlign w:val="baseline"/>
                      <w:lang w:val="en-US" w:eastAsia="zh-CN"/>
                    </w:rPr>
                    <w:t>。</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bl>
          <w:p>
            <w:pPr>
              <w:spacing w:line="360" w:lineRule="auto"/>
              <w:ind w:firstLine="480" w:firstLineChars="200"/>
              <w:rPr>
                <w:rFonts w:hint="eastAsia"/>
                <w:color w:val="auto"/>
                <w:highlight w:val="none"/>
                <w:lang w:val="en-US" w:eastAsia="zh-CN"/>
              </w:rPr>
            </w:pPr>
            <w:r>
              <w:rPr>
                <w:rFonts w:hint="eastAsia" w:ascii="Times New Roman" w:hAnsi="Times New Roman" w:cs="Times New Roman"/>
                <w:b w:val="0"/>
                <w:bCs w:val="0"/>
                <w:color w:val="auto"/>
                <w:sz w:val="24"/>
                <w:highlight w:val="none"/>
                <w:lang w:val="en-US" w:eastAsia="zh-CN"/>
              </w:rPr>
              <w:t>综上，项目符合“蓝天保卫战”相关要求。</w:t>
            </w:r>
          </w:p>
          <w:p>
            <w:pPr>
              <w:spacing w:line="360" w:lineRule="auto"/>
              <w:rPr>
                <w:rFonts w:hint="eastAsia"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5、</w:t>
            </w:r>
            <w:r>
              <w:rPr>
                <w:rFonts w:hint="eastAsia" w:ascii="Times New Roman" w:hAnsi="Times New Roman" w:cs="Times New Roman"/>
                <w:b/>
                <w:bCs/>
                <w:color w:val="auto"/>
                <w:sz w:val="24"/>
                <w:highlight w:val="none"/>
                <w:lang w:val="en-US" w:eastAsia="zh-CN"/>
              </w:rPr>
              <w:t>与“四减四增”的符合性分析</w:t>
            </w:r>
          </w:p>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rPr>
            </w:pPr>
            <w:r>
              <w:rPr>
                <w:rFonts w:hint="default" w:ascii="Times New Roman" w:hAnsi="Times New Roman" w:cs="Times New Roman"/>
                <w:b w:val="0"/>
                <w:bCs/>
                <w:color w:val="auto"/>
                <w:kern w:val="2"/>
                <w:sz w:val="24"/>
                <w:szCs w:val="24"/>
                <w:highlight w:val="none"/>
                <w:lang w:val="en-US" w:eastAsia="zh-CN"/>
              </w:rPr>
              <w:t>与《山东省加强污染源头防治推进“四减四增”三年行动方案（2018-2020年）》符合性</w:t>
            </w:r>
            <w:r>
              <w:rPr>
                <w:rFonts w:hint="eastAsia" w:ascii="Times New Roman" w:hAnsi="Times New Roman" w:cs="Times New Roman"/>
                <w:b w:val="0"/>
                <w:bCs/>
                <w:color w:val="auto"/>
                <w:kern w:val="2"/>
                <w:sz w:val="24"/>
                <w:szCs w:val="24"/>
                <w:highlight w:val="none"/>
                <w:lang w:val="en-US" w:eastAsia="zh-CN"/>
              </w:rPr>
              <w:t>见下表。</w:t>
            </w:r>
          </w:p>
          <w:p>
            <w:pPr>
              <w:numPr>
                <w:ilvl w:val="0"/>
                <w:numId w:val="0"/>
              </w:num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与《山东省加强污染源头防治推进“四减四增”三年行动方案（2018-2020年）》符合性分析</w:t>
            </w:r>
          </w:p>
          <w:tbl>
            <w:tblPr>
              <w:tblStyle w:val="25"/>
              <w:tblW w:w="93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2"/>
              <w:gridCol w:w="3122"/>
              <w:gridCol w:w="1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top"/>
                </w:tcPr>
                <w:p>
                  <w:pPr>
                    <w:jc w:val="center"/>
                    <w:rPr>
                      <w:rFonts w:hint="default" w:ascii="Times New Roman" w:hAnsi="Times New Roman" w:cs="Times New Roman"/>
                      <w:b/>
                      <w:bCs w:val="0"/>
                      <w:color w:val="auto"/>
                      <w:highlight w:val="none"/>
                      <w:vertAlign w:val="baseline"/>
                      <w:lang w:val="en-US" w:eastAsia="zh-CN"/>
                    </w:rPr>
                  </w:pPr>
                  <w:r>
                    <w:rPr>
                      <w:rFonts w:hint="default" w:ascii="Times New Roman" w:hAnsi="Times New Roman" w:cs="Times New Roman"/>
                      <w:b/>
                      <w:bCs w:val="0"/>
                      <w:color w:val="auto"/>
                      <w:kern w:val="2"/>
                      <w:szCs w:val="24"/>
                      <w:highlight w:val="none"/>
                      <w:lang w:val="en-US" w:eastAsia="zh-CN"/>
                    </w:rPr>
                    <w:t>规划要求</w:t>
                  </w:r>
                </w:p>
              </w:tc>
              <w:tc>
                <w:tcPr>
                  <w:tcW w:w="3122" w:type="dxa"/>
                  <w:tcBorders>
                    <w:tl2br w:val="nil"/>
                    <w:tr2bl w:val="nil"/>
                  </w:tcBorders>
                  <w:noWrap w:val="0"/>
                  <w:vAlign w:val="top"/>
                </w:tcPr>
                <w:p>
                  <w:pPr>
                    <w:jc w:val="center"/>
                    <w:rPr>
                      <w:rFonts w:hint="default" w:ascii="Times New Roman" w:hAnsi="Times New Roman" w:cs="Times New Roman"/>
                      <w:b/>
                      <w:bCs w:val="0"/>
                      <w:color w:val="auto"/>
                      <w:highlight w:val="none"/>
                      <w:vertAlign w:val="baseline"/>
                      <w:lang w:val="en-US" w:eastAsia="zh-CN"/>
                    </w:rPr>
                  </w:pPr>
                  <w:r>
                    <w:rPr>
                      <w:rFonts w:hint="default" w:ascii="Times New Roman" w:hAnsi="Times New Roman" w:cs="Times New Roman"/>
                      <w:b/>
                      <w:bCs w:val="0"/>
                      <w:color w:val="auto"/>
                      <w:highlight w:val="none"/>
                      <w:vertAlign w:val="baseline"/>
                      <w:lang w:val="en-US" w:eastAsia="zh-CN"/>
                    </w:rPr>
                    <w:t>企业情况</w:t>
                  </w:r>
                </w:p>
              </w:tc>
              <w:tc>
                <w:tcPr>
                  <w:tcW w:w="1818" w:type="dxa"/>
                  <w:tcBorders>
                    <w:tl2br w:val="nil"/>
                    <w:tr2bl w:val="nil"/>
                  </w:tcBorders>
                  <w:noWrap w:val="0"/>
                  <w:vAlign w:val="center"/>
                </w:tcPr>
                <w:p>
                  <w:pPr>
                    <w:jc w:val="center"/>
                    <w:rPr>
                      <w:rFonts w:hint="default" w:ascii="Times New Roman" w:hAnsi="Times New Roman" w:cs="Times New Roman"/>
                      <w:b/>
                      <w:bCs w:val="0"/>
                      <w:color w:val="auto"/>
                      <w:highlight w:val="none"/>
                      <w:vertAlign w:val="baseline"/>
                      <w:lang w:val="en-US" w:eastAsia="zh-CN"/>
                    </w:rPr>
                  </w:pPr>
                  <w:r>
                    <w:rPr>
                      <w:rFonts w:hint="default" w:ascii="Times New Roman" w:hAnsi="Times New Roman" w:cs="Times New Roman"/>
                      <w:b/>
                      <w:bCs w:val="0"/>
                      <w:color w:val="auto"/>
                      <w:highlight w:val="none"/>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top"/>
                </w:tcPr>
                <w:p>
                  <w:pPr>
                    <w:jc w:val="both"/>
                    <w:rPr>
                      <w:rFonts w:hint="default" w:ascii="Times New Roman" w:hAnsi="Times New Roman" w:cs="Times New Roman"/>
                      <w:b w:val="0"/>
                      <w:bCs/>
                      <w:color w:val="auto"/>
                      <w:kern w:val="2"/>
                      <w:szCs w:val="24"/>
                      <w:highlight w:val="none"/>
                      <w:lang w:val="en-US" w:eastAsia="zh-CN"/>
                    </w:rPr>
                  </w:pPr>
                  <w:r>
                    <w:rPr>
                      <w:rFonts w:hint="default" w:ascii="Times New Roman" w:hAnsi="Times New Roman" w:cs="Times New Roman"/>
                      <w:b w:val="0"/>
                      <w:bCs/>
                      <w:color w:val="auto"/>
                      <w:kern w:val="2"/>
                      <w:szCs w:val="24"/>
                      <w:highlight w:val="none"/>
                      <w:lang w:val="en-US" w:eastAsia="zh-CN"/>
                    </w:rPr>
                    <w:t>一、调整产业结构</w:t>
                  </w:r>
                </w:p>
              </w:tc>
              <w:tc>
                <w:tcPr>
                  <w:tcW w:w="3122" w:type="dxa"/>
                  <w:tcBorders>
                    <w:tl2br w:val="nil"/>
                    <w:tr2bl w:val="nil"/>
                  </w:tcBorders>
                  <w:noWrap w:val="0"/>
                  <w:vAlign w:val="top"/>
                </w:tcPr>
                <w:p>
                  <w:pPr>
                    <w:jc w:val="center"/>
                    <w:rPr>
                      <w:rFonts w:hint="default" w:ascii="Times New Roman" w:hAnsi="Times New Roman" w:cs="Times New Roman"/>
                      <w:color w:val="auto"/>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top"/>
                </w:tcPr>
                <w:p>
                  <w:pPr>
                    <w:jc w:val="both"/>
                    <w:rPr>
                      <w:rFonts w:hint="default" w:ascii="Times New Roman" w:hAnsi="Times New Roman" w:cs="Times New Roman"/>
                      <w:b w:val="0"/>
                      <w:bCs/>
                      <w:color w:val="auto"/>
                      <w:kern w:val="2"/>
                      <w:szCs w:val="24"/>
                      <w:highlight w:val="none"/>
                      <w:lang w:val="en-US" w:eastAsia="zh-CN"/>
                    </w:rPr>
                  </w:pPr>
                  <w:r>
                    <w:rPr>
                      <w:rFonts w:hint="default" w:ascii="Times New Roman" w:hAnsi="Times New Roman" w:cs="Times New Roman"/>
                      <w:b w:val="0"/>
                      <w:bCs/>
                      <w:color w:val="auto"/>
                      <w:kern w:val="2"/>
                      <w:szCs w:val="24"/>
                      <w:highlight w:val="none"/>
                      <w:lang w:val="en-US" w:eastAsia="zh-CN"/>
                    </w:rPr>
                    <w:t>（一）减少落后和过剩产能</w:t>
                  </w:r>
                </w:p>
              </w:tc>
              <w:tc>
                <w:tcPr>
                  <w:tcW w:w="3122" w:type="dxa"/>
                  <w:tcBorders>
                    <w:tl2br w:val="nil"/>
                    <w:tr2bl w:val="nil"/>
                  </w:tcBorders>
                  <w:noWrap w:val="0"/>
                  <w:vAlign w:val="top"/>
                </w:tcPr>
                <w:p>
                  <w:pPr>
                    <w:jc w:val="center"/>
                    <w:rPr>
                      <w:rFonts w:hint="default" w:ascii="Times New Roman" w:hAnsi="Times New Roman" w:cs="Times New Roman"/>
                      <w:color w:val="auto"/>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属于国务院经济综合宏观调控部门会同国务院有关部门发布的产业政策目录中明令淘汰或者立即淘汰的落后生产工艺装备、落后产品的，不予核发排污许可证</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本项目符合国家产业政策</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严格执行环境保护法律法规，对超过大气和水等污染物排放标准排污、违反固体废物管理法律法规，以及超过重点污染物总量控制指标排污的企业，责令采取限制生产、停产整治等措施；情节严重的，责令停业、关闭</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w:t>
                  </w:r>
                  <w:r>
                    <w:rPr>
                      <w:rFonts w:hint="eastAsia" w:cs="Times New Roman"/>
                      <w:color w:val="auto"/>
                      <w:highlight w:val="none"/>
                      <w:vertAlign w:val="baseline"/>
                      <w:lang w:val="en-US" w:eastAsia="zh-CN"/>
                    </w:rPr>
                    <w:t>生产用水循环使用，不外排；生活污水经自建的污水处理设施处理后回用，不外排；加热炉废气经SCR脱硝+双碱法脱硫+湿式静电除尘设施处理达标后经排气筒排放；</w:t>
                  </w:r>
                  <w:r>
                    <w:rPr>
                      <w:rFonts w:hint="default" w:ascii="Times New Roman" w:hAnsi="Times New Roman" w:cs="Times New Roman"/>
                      <w:color w:val="auto"/>
                      <w:highlight w:val="none"/>
                      <w:vertAlign w:val="baseline"/>
                      <w:lang w:val="en-US" w:eastAsia="zh-CN"/>
                    </w:rPr>
                    <w:t>固废废物妥善处置</w:t>
                  </w:r>
                  <w:r>
                    <w:rPr>
                      <w:rFonts w:hint="eastAsia" w:cs="Times New Roman"/>
                      <w:color w:val="auto"/>
                      <w:highlight w:val="none"/>
                      <w:vertAlign w:val="baseline"/>
                      <w:lang w:val="en-US" w:eastAsia="zh-CN"/>
                    </w:rPr>
                    <w:t>。</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rPr>
                    <w:t>遵循产业发展和市场经济运行规律，把钢铁、地炼、电解铝、焦化、轮胎、化肥、氯碱等高耗能行业转型升级作为加快新旧动能转换的重要举措和突破口，着力破除瓶颈制约，努力实现高耗能行业布局优化、质量提升，推动绿色发展、高质量发展。</w:t>
                  </w:r>
                </w:p>
              </w:tc>
              <w:tc>
                <w:tcPr>
                  <w:tcW w:w="3122" w:type="dxa"/>
                  <w:tcBorders>
                    <w:tl2br w:val="nil"/>
                    <w:tr2bl w:val="nil"/>
                  </w:tcBorders>
                  <w:noWrap w:val="0"/>
                  <w:vAlign w:val="center"/>
                </w:tcPr>
                <w:p>
                  <w:pPr>
                    <w:jc w:val="both"/>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本项目不属于所列行业</w:t>
                  </w:r>
                </w:p>
              </w:tc>
              <w:tc>
                <w:tcPr>
                  <w:tcW w:w="1818" w:type="dxa"/>
                  <w:tcBorders>
                    <w:tl2br w:val="nil"/>
                    <w:tr2bl w:val="nil"/>
                  </w:tcBorders>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加大已淘汰落后产能和化解过剩产能监管力度，采取“两断三清”等措施，严防已淘汰和化解的落后和过剩产能异地复产。清理整顿中央环保督察发现的各类违规产能和替代产能。</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本项目不属于中央环保督查发现的违规产能</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严禁钢铁、水泥、平板玻璃、电解铝、焦化、铸造等行业新增产能，对确有必要新建的必须实施等量或减量置换。2018年年底前，原则上不再审批新建煤矿项目、新增产能的技术改造项目和产能核增项目，确需新建、技改提能和核增产能的，一律实行减量置换。</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本项目不属于所列行业</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（二）增加新的增长动能</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采取“产能总量和污染物总量双平衡法”，优化整合钢铁、电解铝、地炼、焦化、轮胎、造纸、化肥、氯碱等行业产能布局。产能总量采取全省（或全市）平衡，优化整合过程中相关产能总量不能增加；污染物总量采取新产能落地市（或县）区域内平衡，通过减量或等量替代，优化整合过程中不能增加新产能落地区域的污染物排放总量。</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szCs w:val="22"/>
                      <w:highlight w:val="none"/>
                      <w:lang w:val="en-US" w:eastAsia="zh-CN"/>
                    </w:rPr>
                    <w:t>本项目不属于所列行业</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二、调整能源结构</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按照控增量、减存量、提效率的系统治理思路，进一步加大煤炭消费减量替代工作力度，增加清洁能源使用</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本项目不涉及煤炭使用</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三、调整运输结构</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压缩公路货物运输量，提升公路运输效率，实施公路运输绿色化改造，加大多式联运货物运输量，提升铁路货运能力，着力控制移动源污染。</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本项目积极配合实施</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四、调整农业投入结构</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充分发挥重大示范工程的带动作用，减少化肥农药使用量，提高化肥农药利用率，增加有机肥使用量和生产能力，推进农业投入结构优化调整，同时确保化肥农药减量与农业产品产量质量不下降相统一。</w:t>
                  </w:r>
                </w:p>
              </w:tc>
              <w:tc>
                <w:tcPr>
                  <w:tcW w:w="3122" w:type="dxa"/>
                  <w:tcBorders>
                    <w:tl2br w:val="nil"/>
                    <w:tr2bl w:val="nil"/>
                  </w:tcBorders>
                  <w:noWrap w:val="0"/>
                  <w:vAlign w:val="center"/>
                </w:tcPr>
                <w:p>
                  <w:pPr>
                    <w:jc w:val="both"/>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本项目不涉及</w:t>
                  </w:r>
                </w:p>
              </w:tc>
              <w:tc>
                <w:tcPr>
                  <w:tcW w:w="1818"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bl>
          <w:p>
            <w:pPr>
              <w:numPr>
                <w:ilvl w:val="0"/>
                <w:numId w:val="0"/>
              </w:numPr>
              <w:adjustRightInd/>
              <w:spacing w:line="360" w:lineRule="auto"/>
              <w:rPr>
                <w:rFonts w:hint="eastAsia" w:ascii="Times New Roman" w:hAnsi="Times New Roman" w:eastAsia="宋体" w:cs="Times New Roman"/>
                <w:b/>
                <w:bCs/>
                <w:color w:val="auto"/>
                <w:sz w:val="24"/>
                <w:highlight w:val="none"/>
                <w:shd w:val="clear" w:color="auto" w:fill="auto"/>
                <w:lang w:val="en-US" w:eastAsia="zh-CN"/>
              </w:rPr>
            </w:pPr>
            <w:r>
              <w:rPr>
                <w:rFonts w:hint="eastAsia" w:cs="Times New Roman"/>
                <w:b/>
                <w:bCs/>
                <w:color w:val="auto"/>
                <w:sz w:val="24"/>
                <w:highlight w:val="none"/>
                <w:shd w:val="clear" w:color="auto" w:fill="auto"/>
                <w:lang w:val="en-US" w:eastAsia="zh-CN"/>
              </w:rPr>
              <w:t>6、</w:t>
            </w:r>
            <w:r>
              <w:rPr>
                <w:rFonts w:hint="eastAsia" w:ascii="Times New Roman" w:hAnsi="Times New Roman" w:eastAsia="宋体" w:cs="Times New Roman"/>
                <w:b/>
                <w:bCs/>
                <w:color w:val="auto"/>
                <w:sz w:val="24"/>
                <w:highlight w:val="none"/>
                <w:shd w:val="clear" w:color="auto" w:fill="auto"/>
                <w:lang w:val="en-US" w:eastAsia="zh-CN"/>
              </w:rPr>
              <w:t>与《山东省大气污染防治条例》符合性分析</w:t>
            </w:r>
          </w:p>
          <w:p>
            <w:pPr>
              <w:numPr>
                <w:ilvl w:val="0"/>
                <w:numId w:val="0"/>
              </w:numPr>
              <w:adjustRightInd/>
              <w:spacing w:line="360" w:lineRule="auto"/>
              <w:jc w:val="center"/>
              <w:rPr>
                <w:rFonts w:hint="eastAsia" w:ascii="Times New Roman" w:hAnsi="Times New Roman" w:eastAsia="宋体" w:cs="Times New Roman"/>
                <w:b/>
                <w:bCs/>
                <w:color w:val="auto"/>
                <w:sz w:val="21"/>
                <w:szCs w:val="21"/>
                <w:highlight w:val="none"/>
                <w:shd w:val="clear" w:color="auto" w:fill="auto"/>
                <w:lang w:val="en-US" w:eastAsia="zh-CN"/>
              </w:rPr>
            </w:pPr>
            <w:r>
              <w:rPr>
                <w:rFonts w:hint="eastAsia" w:ascii="Times New Roman" w:hAnsi="Times New Roman" w:eastAsia="宋体" w:cs="Times New Roman"/>
                <w:b/>
                <w:bCs/>
                <w:color w:val="auto"/>
                <w:sz w:val="21"/>
                <w:szCs w:val="21"/>
                <w:highlight w:val="none"/>
                <w:shd w:val="clear" w:color="auto" w:fill="auto"/>
                <w:lang w:val="en-US" w:eastAsia="zh-CN"/>
              </w:rPr>
              <w:t>表1-</w:t>
            </w:r>
            <w:r>
              <w:rPr>
                <w:rFonts w:hint="eastAsia" w:cs="Times New Roman"/>
                <w:b/>
                <w:bCs/>
                <w:color w:val="auto"/>
                <w:sz w:val="21"/>
                <w:szCs w:val="21"/>
                <w:highlight w:val="none"/>
                <w:shd w:val="clear" w:color="auto" w:fill="auto"/>
                <w:lang w:val="en-US" w:eastAsia="zh-CN"/>
              </w:rPr>
              <w:t>4</w:t>
            </w:r>
            <w:r>
              <w:rPr>
                <w:rFonts w:hint="eastAsia" w:ascii="Times New Roman" w:hAnsi="Times New Roman" w:eastAsia="宋体" w:cs="Times New Roman"/>
                <w:b/>
                <w:bCs/>
                <w:color w:val="auto"/>
                <w:sz w:val="21"/>
                <w:szCs w:val="21"/>
                <w:highlight w:val="none"/>
                <w:shd w:val="clear" w:color="auto" w:fill="auto"/>
                <w:lang w:val="en-US" w:eastAsia="zh-CN"/>
              </w:rPr>
              <w:t xml:space="preserve">  与《山东省大气污染防治条例》符合性分析</w:t>
            </w:r>
          </w:p>
          <w:tbl>
            <w:tblPr>
              <w:tblStyle w:val="25"/>
              <w:tblW w:w="93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3783"/>
              <w:gridCol w:w="3640"/>
              <w:gridCol w:w="13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b/>
                      <w:bCs w:val="0"/>
                      <w:color w:val="auto"/>
                      <w:kern w:val="2"/>
                      <w:szCs w:val="24"/>
                      <w:highlight w:val="none"/>
                      <w:lang w:val="en-US" w:eastAsia="zh-CN"/>
                    </w:rPr>
                  </w:pPr>
                  <w:r>
                    <w:rPr>
                      <w:rFonts w:hint="eastAsia" w:ascii="Times New Roman" w:hAnsi="Times New Roman" w:cs="Times New Roman"/>
                      <w:b/>
                      <w:bCs w:val="0"/>
                      <w:color w:val="auto"/>
                      <w:kern w:val="2"/>
                      <w:szCs w:val="24"/>
                      <w:highlight w:val="none"/>
                      <w:lang w:val="en-US" w:eastAsia="zh-CN"/>
                    </w:rPr>
                    <w:t>序号</w:t>
                  </w:r>
                </w:p>
              </w:tc>
              <w:tc>
                <w:tcPr>
                  <w:tcW w:w="3783" w:type="dxa"/>
                  <w:tcBorders>
                    <w:tl2br w:val="nil"/>
                    <w:tr2bl w:val="nil"/>
                  </w:tcBorders>
                  <w:noWrap w:val="0"/>
                  <w:vAlign w:val="center"/>
                </w:tcPr>
                <w:p>
                  <w:pPr>
                    <w:jc w:val="center"/>
                    <w:rPr>
                      <w:rFonts w:hint="default" w:ascii="Times New Roman" w:hAnsi="Times New Roman" w:cs="Times New Roman"/>
                      <w:b/>
                      <w:bCs w:val="0"/>
                      <w:color w:val="auto"/>
                      <w:highlight w:val="none"/>
                      <w:vertAlign w:val="baseline"/>
                      <w:lang w:val="en-US" w:eastAsia="zh-CN"/>
                    </w:rPr>
                  </w:pPr>
                  <w:r>
                    <w:rPr>
                      <w:rFonts w:hint="default" w:ascii="Times New Roman" w:hAnsi="Times New Roman" w:cs="Times New Roman"/>
                      <w:b/>
                      <w:bCs w:val="0"/>
                      <w:color w:val="auto"/>
                      <w:kern w:val="2"/>
                      <w:szCs w:val="24"/>
                      <w:highlight w:val="none"/>
                      <w:lang w:val="en-US" w:eastAsia="zh-CN"/>
                    </w:rPr>
                    <w:t>规划要求</w:t>
                  </w:r>
                </w:p>
              </w:tc>
              <w:tc>
                <w:tcPr>
                  <w:tcW w:w="3640" w:type="dxa"/>
                  <w:tcBorders>
                    <w:tl2br w:val="nil"/>
                    <w:tr2bl w:val="nil"/>
                  </w:tcBorders>
                  <w:noWrap w:val="0"/>
                  <w:vAlign w:val="center"/>
                </w:tcPr>
                <w:p>
                  <w:pPr>
                    <w:jc w:val="center"/>
                    <w:rPr>
                      <w:rFonts w:hint="default" w:ascii="Times New Roman" w:hAnsi="Times New Roman" w:cs="Times New Roman"/>
                      <w:b/>
                      <w:bCs w:val="0"/>
                      <w:color w:val="auto"/>
                      <w:highlight w:val="none"/>
                      <w:vertAlign w:val="baseline"/>
                      <w:lang w:val="en-US" w:eastAsia="zh-CN"/>
                    </w:rPr>
                  </w:pPr>
                  <w:r>
                    <w:rPr>
                      <w:rFonts w:hint="default" w:ascii="Times New Roman" w:hAnsi="Times New Roman" w:cs="Times New Roman"/>
                      <w:b/>
                      <w:bCs w:val="0"/>
                      <w:color w:val="auto"/>
                      <w:highlight w:val="none"/>
                      <w:vertAlign w:val="baseline"/>
                      <w:lang w:val="en-US" w:eastAsia="zh-CN"/>
                    </w:rPr>
                    <w:t>企业情况</w:t>
                  </w:r>
                </w:p>
              </w:tc>
              <w:tc>
                <w:tcPr>
                  <w:tcW w:w="1303" w:type="dxa"/>
                  <w:tcBorders>
                    <w:tl2br w:val="nil"/>
                    <w:tr2bl w:val="nil"/>
                  </w:tcBorders>
                  <w:noWrap w:val="0"/>
                  <w:vAlign w:val="center"/>
                </w:tcPr>
                <w:p>
                  <w:pPr>
                    <w:jc w:val="center"/>
                    <w:rPr>
                      <w:rFonts w:hint="default" w:ascii="Times New Roman" w:hAnsi="Times New Roman" w:cs="Times New Roman"/>
                      <w:b/>
                      <w:bCs w:val="0"/>
                      <w:color w:val="auto"/>
                      <w:highlight w:val="none"/>
                      <w:vertAlign w:val="baseline"/>
                      <w:lang w:val="en-US" w:eastAsia="zh-CN"/>
                    </w:rPr>
                  </w:pPr>
                  <w:r>
                    <w:rPr>
                      <w:rFonts w:hint="default" w:ascii="Times New Roman" w:hAnsi="Times New Roman" w:cs="Times New Roman"/>
                      <w:b/>
                      <w:bCs w:val="0"/>
                      <w:color w:val="auto"/>
                      <w:highlight w:val="none"/>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b w:val="0"/>
                      <w:bCs/>
                      <w:color w:val="auto"/>
                      <w:kern w:val="2"/>
                      <w:szCs w:val="24"/>
                      <w:highlight w:val="none"/>
                      <w:lang w:val="en-US" w:eastAsia="zh-CN"/>
                    </w:rPr>
                  </w:pPr>
                  <w:r>
                    <w:rPr>
                      <w:rFonts w:hint="eastAsia" w:ascii="Times New Roman" w:hAnsi="Times New Roman" w:cs="Times New Roman"/>
                      <w:b w:val="0"/>
                      <w:bCs/>
                      <w:color w:val="auto"/>
                      <w:kern w:val="2"/>
                      <w:szCs w:val="24"/>
                      <w:highlight w:val="none"/>
                      <w:lang w:val="en-US" w:eastAsia="zh-CN"/>
                    </w:rPr>
                    <w:t>1</w:t>
                  </w:r>
                </w:p>
              </w:tc>
              <w:tc>
                <w:tcPr>
                  <w:tcW w:w="3783" w:type="dxa"/>
                  <w:tcBorders>
                    <w:tl2br w:val="nil"/>
                    <w:tr2bl w:val="nil"/>
                  </w:tcBorders>
                  <w:noWrap w:val="0"/>
                  <w:vAlign w:val="center"/>
                </w:tcPr>
                <w:p>
                  <w:pPr>
                    <w:jc w:val="left"/>
                    <w:rPr>
                      <w:rFonts w:hint="default" w:ascii="Times New Roman" w:hAnsi="Times New Roman" w:cs="Times New Roman"/>
                      <w:b w:val="0"/>
                      <w:bCs/>
                      <w:color w:val="auto"/>
                      <w:kern w:val="2"/>
                      <w:szCs w:val="24"/>
                      <w:highlight w:val="none"/>
                      <w:lang w:val="en-US" w:eastAsia="zh-CN"/>
                    </w:rPr>
                  </w:pPr>
                  <w:r>
                    <w:rPr>
                      <w:rFonts w:hint="eastAsia" w:ascii="Times New Roman" w:hAnsi="Times New Roman" w:cs="Times New Roman"/>
                      <w:b w:val="0"/>
                      <w:bCs/>
                      <w:color w:val="auto"/>
                      <w:kern w:val="2"/>
                      <w:szCs w:val="24"/>
                      <w:highlight w:val="none"/>
                      <w:lang w:val="en-US" w:eastAsia="zh-CN"/>
                    </w:rPr>
                    <w:t>排污单位的重点大气污染物排放总量指标，由县级以上人民政府环境保护主管部门根据本行政区域重点大气污染物总量控制指标、排污单位现有排放量和改善大气环境质量的需要核定。</w:t>
                  </w:r>
                </w:p>
              </w:tc>
              <w:tc>
                <w:tcPr>
                  <w:tcW w:w="3640" w:type="dxa"/>
                  <w:tcBorders>
                    <w:tl2br w:val="nil"/>
                    <w:tr2bl w:val="nil"/>
                  </w:tcBorders>
                  <w:noWrap w:val="0"/>
                  <w:vAlign w:val="center"/>
                </w:tcPr>
                <w:p>
                  <w:pPr>
                    <w:jc w:val="both"/>
                    <w:rPr>
                      <w:rFonts w:hint="default" w:ascii="Times New Roman" w:hAnsi="Times New Roman" w:cs="Times New Roman"/>
                      <w:color w:val="auto"/>
                      <w:highlight w:val="yellow"/>
                      <w:vertAlign w:val="baseline"/>
                      <w:lang w:val="en-US" w:eastAsia="zh-CN"/>
                    </w:rPr>
                  </w:pPr>
                  <w:r>
                    <w:rPr>
                      <w:rFonts w:hint="eastAsia" w:cs="Times New Roman"/>
                      <w:color w:val="auto"/>
                      <w:highlight w:val="none"/>
                      <w:vertAlign w:val="baseline"/>
                      <w:lang w:val="en-US" w:eastAsia="zh-CN"/>
                    </w:rPr>
                    <w:t>项目排放颗粒物0.4642t/a，NOx2.07t/a，SO</w:t>
                  </w:r>
                  <w:r>
                    <w:rPr>
                      <w:rFonts w:hint="eastAsia" w:cs="Times New Roman"/>
                      <w:color w:val="auto"/>
                      <w:highlight w:val="none"/>
                      <w:vertAlign w:val="subscript"/>
                      <w:lang w:val="en-US" w:eastAsia="zh-CN"/>
                    </w:rPr>
                    <w:t>2</w:t>
                  </w:r>
                  <w:r>
                    <w:rPr>
                      <w:rFonts w:hint="eastAsia" w:cs="Times New Roman"/>
                      <w:color w:val="auto"/>
                      <w:highlight w:val="none"/>
                      <w:vertAlign w:val="baseline"/>
                      <w:lang w:val="en-US" w:eastAsia="zh-CN"/>
                    </w:rPr>
                    <w:t>0.61t/a，本项目总量已取得总量审核确认书。</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b w:val="0"/>
                      <w:bCs/>
                      <w:color w:val="auto"/>
                      <w:kern w:val="2"/>
                      <w:szCs w:val="24"/>
                      <w:highlight w:val="none"/>
                      <w:lang w:val="en-US" w:eastAsia="zh-CN"/>
                    </w:rPr>
                  </w:pPr>
                  <w:r>
                    <w:rPr>
                      <w:rFonts w:hint="eastAsia" w:ascii="Times New Roman" w:hAnsi="Times New Roman" w:cs="Times New Roman"/>
                      <w:b w:val="0"/>
                      <w:bCs/>
                      <w:color w:val="auto"/>
                      <w:kern w:val="2"/>
                      <w:szCs w:val="24"/>
                      <w:highlight w:val="none"/>
                      <w:lang w:val="en-US" w:eastAsia="zh-CN"/>
                    </w:rPr>
                    <w:t>2</w:t>
                  </w:r>
                </w:p>
              </w:tc>
              <w:tc>
                <w:tcPr>
                  <w:tcW w:w="3783" w:type="dxa"/>
                  <w:tcBorders>
                    <w:tl2br w:val="nil"/>
                    <w:tr2bl w:val="nil"/>
                  </w:tcBorders>
                  <w:noWrap w:val="0"/>
                  <w:vAlign w:val="center"/>
                </w:tcPr>
                <w:p>
                  <w:pPr>
                    <w:jc w:val="left"/>
                    <w:rPr>
                      <w:rFonts w:hint="default" w:ascii="Times New Roman" w:hAnsi="Times New Roman" w:cs="Times New Roman"/>
                      <w:b w:val="0"/>
                      <w:bCs/>
                      <w:color w:val="auto"/>
                      <w:kern w:val="2"/>
                      <w:szCs w:val="24"/>
                      <w:highlight w:val="none"/>
                      <w:lang w:val="en-US" w:eastAsia="zh-CN"/>
                    </w:rPr>
                  </w:pPr>
                  <w:r>
                    <w:rPr>
                      <w:rFonts w:hint="eastAsia" w:ascii="Times New Roman" w:hAnsi="Times New Roman" w:cs="Times New Roman"/>
                      <w:b w:val="0"/>
                      <w:bCs/>
                      <w:color w:val="auto"/>
                      <w:kern w:val="2"/>
                      <w:szCs w:val="24"/>
                      <w:highlight w:val="none"/>
                      <w:lang w:val="en-US" w:eastAsia="zh-CN"/>
                    </w:rPr>
                    <w:t>企业事业单位和其他经营者排放的大气污染物，不得超过国家和省规定的排放标准，不得超过核定的重点大气污染物总量控制指标。</w:t>
                  </w:r>
                </w:p>
              </w:tc>
              <w:tc>
                <w:tcPr>
                  <w:tcW w:w="3640" w:type="dxa"/>
                  <w:tcBorders>
                    <w:tl2br w:val="nil"/>
                    <w:tr2bl w:val="nil"/>
                  </w:tcBorders>
                  <w:noWrap w:val="0"/>
                  <w:vAlign w:val="center"/>
                </w:tcPr>
                <w:p>
                  <w:pPr>
                    <w:jc w:val="left"/>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项目</w:t>
                  </w:r>
                  <w:r>
                    <w:rPr>
                      <w:rFonts w:hint="eastAsia" w:cs="Times New Roman"/>
                      <w:color w:val="auto"/>
                      <w:highlight w:val="none"/>
                      <w:vertAlign w:val="baseline"/>
                      <w:lang w:val="en-US" w:eastAsia="zh-CN"/>
                    </w:rPr>
                    <w:t>生产用水循环使用，不外排；生活污水经自建的污水处理站处理后回用，不外排，</w:t>
                  </w:r>
                  <w:r>
                    <w:rPr>
                      <w:rFonts w:hint="eastAsia" w:ascii="Times New Roman" w:hAnsi="Times New Roman" w:cs="Times New Roman"/>
                      <w:color w:val="auto"/>
                      <w:highlight w:val="none"/>
                      <w:vertAlign w:val="baseline"/>
                      <w:lang w:val="en-US" w:eastAsia="zh-CN"/>
                    </w:rPr>
                    <w:t>无需申请总量。</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3</w:t>
                  </w:r>
                </w:p>
              </w:tc>
              <w:tc>
                <w:tcPr>
                  <w:tcW w:w="3783" w:type="dxa"/>
                  <w:tcBorders>
                    <w:tl2br w:val="nil"/>
                    <w:tr2bl w:val="nil"/>
                  </w:tcBorders>
                  <w:noWrap w:val="0"/>
                  <w:vAlign w:val="center"/>
                </w:tcPr>
                <w:p>
                  <w:pPr>
                    <w:jc w:val="left"/>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企业事业单位和其他生产经营者应当在规定期限内，淘汰列入前款名录的生产工艺、设备和产品。</w:t>
                  </w:r>
                </w:p>
              </w:tc>
              <w:tc>
                <w:tcPr>
                  <w:tcW w:w="3640" w:type="dxa"/>
                  <w:tcBorders>
                    <w:tl2br w:val="nil"/>
                    <w:tr2bl w:val="nil"/>
                  </w:tcBorders>
                  <w:noWrap w:val="0"/>
                  <w:vAlign w:val="center"/>
                </w:tcPr>
                <w:p>
                  <w:pPr>
                    <w:jc w:val="left"/>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项目不存在列入前款名录的生产工艺、设备和产品。</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4</w:t>
                  </w:r>
                </w:p>
              </w:tc>
              <w:tc>
                <w:tcPr>
                  <w:tcW w:w="3783" w:type="dxa"/>
                  <w:tcBorders>
                    <w:tl2br w:val="nil"/>
                    <w:tr2bl w:val="nil"/>
                  </w:tcBorders>
                  <w:noWrap w:val="0"/>
                  <w:vAlign w:val="center"/>
                </w:tcPr>
                <w:p>
                  <w:pPr>
                    <w:jc w:val="left"/>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对不经过排气筒集中排放的大气污染物，排污单位应当采取密闭、封闭、集中收集、吸附、分解等处理措施，严格控制生产过程以及内部物料堆存、传输、装卸等环节产生的粉尘和气态污染物的排放。</w:t>
                  </w:r>
                </w:p>
              </w:tc>
              <w:tc>
                <w:tcPr>
                  <w:tcW w:w="3640" w:type="dxa"/>
                  <w:tcBorders>
                    <w:tl2br w:val="nil"/>
                    <w:tr2bl w:val="nil"/>
                  </w:tcBorders>
                  <w:noWrap w:val="0"/>
                  <w:vAlign w:val="center"/>
                </w:tcPr>
                <w:p>
                  <w:pPr>
                    <w:jc w:val="left"/>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项目生产过程均在密闭车间内进行，加强各部位废气收集效率，降低无组织废气的排放</w:t>
                  </w:r>
                  <w:r>
                    <w:rPr>
                      <w:rFonts w:hint="eastAsia" w:ascii="Times New Roman" w:hAnsi="Times New Roman" w:cs="Times New Roman"/>
                      <w:color w:val="auto"/>
                      <w:highlight w:val="none"/>
                      <w:vertAlign w:val="baseline"/>
                      <w:lang w:val="en-US" w:eastAsia="zh-CN"/>
                    </w:rPr>
                    <w:t>。</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5</w:t>
                  </w:r>
                </w:p>
              </w:tc>
              <w:tc>
                <w:tcPr>
                  <w:tcW w:w="3783" w:type="dxa"/>
                  <w:tcBorders>
                    <w:tl2br w:val="nil"/>
                    <w:tr2bl w:val="nil"/>
                  </w:tcBorders>
                  <w:noWrap w:val="0"/>
                  <w:vAlign w:val="center"/>
                </w:tcPr>
                <w:p>
                  <w:pPr>
                    <w:jc w:val="left"/>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石化、重点有机化工等工业企业应当建立泄露检测与修复体系，对管道、设备等进行日常检修、维护，及时收集处理泄露物料。</w:t>
                  </w:r>
                </w:p>
              </w:tc>
              <w:tc>
                <w:tcPr>
                  <w:tcW w:w="3640" w:type="dxa"/>
                  <w:tcBorders>
                    <w:tl2br w:val="nil"/>
                    <w:tr2bl w:val="nil"/>
                  </w:tcBorders>
                  <w:noWrap w:val="0"/>
                  <w:vAlign w:val="center"/>
                </w:tcPr>
                <w:p>
                  <w:pPr>
                    <w:jc w:val="left"/>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项目不属于此类行业。</w:t>
                  </w:r>
                </w:p>
              </w:tc>
              <w:tc>
                <w:tcPr>
                  <w:tcW w:w="1303" w:type="dxa"/>
                  <w:tcBorders>
                    <w:tl2br w:val="nil"/>
                    <w:tr2bl w:val="nil"/>
                  </w:tcBorders>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6</w:t>
                  </w:r>
                </w:p>
              </w:tc>
              <w:tc>
                <w:tcPr>
                  <w:tcW w:w="3783" w:type="dxa"/>
                  <w:tcBorders>
                    <w:tl2br w:val="nil"/>
                    <w:tr2bl w:val="nil"/>
                  </w:tcBorders>
                  <w:noWrap w:val="0"/>
                  <w:vAlign w:val="center"/>
                </w:tcPr>
                <w:p>
                  <w:pPr>
                    <w:jc w:val="left"/>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生产、销售、使用含挥发性有机物的原材料和产品的，其挥发性有机物含量应当符合质量标准或者要求。</w:t>
                  </w:r>
                </w:p>
              </w:tc>
              <w:tc>
                <w:tcPr>
                  <w:tcW w:w="3640" w:type="dxa"/>
                  <w:tcBorders>
                    <w:tl2br w:val="nil"/>
                    <w:tr2bl w:val="nil"/>
                  </w:tcBorders>
                  <w:noWrap w:val="0"/>
                  <w:vAlign w:val="center"/>
                </w:tcPr>
                <w:p>
                  <w:pPr>
                    <w:jc w:val="left"/>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项目生产过程不使用含挥发性有机物的原材料及产品，不涉及挥发性有机物排放。</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7</w:t>
                  </w:r>
                </w:p>
              </w:tc>
              <w:tc>
                <w:tcPr>
                  <w:tcW w:w="3783" w:type="dxa"/>
                  <w:tcBorders>
                    <w:tl2br w:val="nil"/>
                    <w:tr2bl w:val="nil"/>
                  </w:tcBorders>
                  <w:noWrap w:val="0"/>
                  <w:vAlign w:val="center"/>
                </w:tcPr>
                <w:p>
                  <w:pPr>
                    <w:jc w:val="left"/>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向大气排放有毒有害污染物和持久性有机污染物的排污单位，应当按照国家规定采取有利于减少污染物排放的技术方法和工艺，配备有效的净化装置并保持正常运行，实现达标排放。</w:t>
                  </w:r>
                </w:p>
              </w:tc>
              <w:tc>
                <w:tcPr>
                  <w:tcW w:w="3640" w:type="dxa"/>
                  <w:tcBorders>
                    <w:tl2br w:val="nil"/>
                    <w:tr2bl w:val="nil"/>
                  </w:tcBorders>
                  <w:noWrap w:val="0"/>
                  <w:vAlign w:val="center"/>
                </w:tcPr>
                <w:p>
                  <w:pPr>
                    <w:jc w:val="left"/>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项目生产过程不涉及挥发性有机物排放。</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8</w:t>
                  </w:r>
                </w:p>
              </w:tc>
              <w:tc>
                <w:tcPr>
                  <w:tcW w:w="3783" w:type="dxa"/>
                  <w:tcBorders>
                    <w:tl2br w:val="nil"/>
                    <w:tr2bl w:val="nil"/>
                  </w:tcBorders>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省人民政府工业和信息化部门应当会同有关部门，定期制定、调整严重污染大气环境的生产工艺、设备和产品淘汰名录，报省人民政府批准后公布实施。</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cs="Times New Roman"/>
                      <w:color w:val="auto"/>
                      <w:highlight w:val="none"/>
                      <w:vertAlign w:val="baseline"/>
                      <w:lang w:val="en-US" w:eastAsia="zh-CN"/>
                    </w:rPr>
                  </w:pPr>
                  <w:r>
                    <w:rPr>
                      <w:rFonts w:hint="default" w:ascii="Times New Roman" w:hAnsi="Times New Roman" w:cs="Times New Roman"/>
                      <w:color w:val="auto"/>
                      <w:kern w:val="2"/>
                      <w:sz w:val="21"/>
                      <w:szCs w:val="21"/>
                      <w:vertAlign w:val="baseline"/>
                      <w:lang w:val="en-US" w:eastAsia="zh-CN" w:bidi="ar-SA"/>
                    </w:rPr>
                    <w:t>企业事业单位和其他生产经营者应当在规定期限内，淘汰列入前款名录的生产工艺、设备和产品。</w:t>
                  </w:r>
                </w:p>
              </w:tc>
              <w:tc>
                <w:tcPr>
                  <w:tcW w:w="3640" w:type="dxa"/>
                  <w:tcBorders>
                    <w:tl2br w:val="nil"/>
                    <w:tr2bl w:val="nil"/>
                  </w:tcBorders>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kern w:val="2"/>
                      <w:sz w:val="21"/>
                      <w:szCs w:val="21"/>
                      <w:vertAlign w:val="baseline"/>
                      <w:lang w:val="en-US" w:eastAsia="zh-CN" w:bidi="ar-SA"/>
                    </w:rPr>
                    <w:t>本项目</w:t>
                  </w:r>
                  <w:r>
                    <w:rPr>
                      <w:rFonts w:hint="eastAsia" w:ascii="Times New Roman" w:hAnsi="Times New Roman" w:cs="Times New Roman"/>
                      <w:color w:val="auto"/>
                      <w:kern w:val="2"/>
                      <w:sz w:val="21"/>
                      <w:szCs w:val="21"/>
                      <w:highlight w:val="none"/>
                      <w:vertAlign w:val="baseline"/>
                      <w:lang w:val="en-US" w:eastAsia="zh-CN" w:bidi="ar-SA"/>
                    </w:rPr>
                    <w:t>无列入前款名录的生产工艺、设备和产品</w:t>
                  </w:r>
                  <w:r>
                    <w:rPr>
                      <w:rFonts w:hint="eastAsia" w:cs="Times New Roman"/>
                      <w:color w:val="auto"/>
                      <w:kern w:val="2"/>
                      <w:sz w:val="21"/>
                      <w:szCs w:val="21"/>
                      <w:highlight w:val="none"/>
                      <w:vertAlign w:val="baseline"/>
                      <w:lang w:val="en-US" w:eastAsia="zh-CN" w:bidi="ar-SA"/>
                    </w:rPr>
                    <w:t>。</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9</w:t>
                  </w:r>
                </w:p>
              </w:tc>
              <w:tc>
                <w:tcPr>
                  <w:tcW w:w="3783" w:type="dxa"/>
                  <w:tcBorders>
                    <w:tl2br w:val="nil"/>
                    <w:tr2bl w:val="nil"/>
                  </w:tcBorders>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县级以上人民政府应当合理确定产业布局和发展规模，制定产业投资项目负面清单，严格控制新建、扩建钢铁、石化、化工、有色金属冶炼、水泥、平板玻璃、建筑陶瓷等工业项目，鼓励、支持现有的工业企业进行技术升级改造。</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cs="Times New Roman"/>
                      <w:color w:val="auto"/>
                      <w:highlight w:val="none"/>
                      <w:vertAlign w:val="baseline"/>
                      <w:lang w:val="en-US" w:eastAsia="zh-CN"/>
                    </w:rPr>
                  </w:pPr>
                  <w:r>
                    <w:rPr>
                      <w:rFonts w:hint="default" w:ascii="Times New Roman" w:hAnsi="Times New Roman" w:cs="Times New Roman"/>
                      <w:color w:val="auto"/>
                      <w:kern w:val="2"/>
                      <w:sz w:val="21"/>
                      <w:szCs w:val="21"/>
                      <w:vertAlign w:val="baseline"/>
                      <w:lang w:val="en-US" w:eastAsia="zh-CN" w:bidi="ar-SA"/>
                    </w:rPr>
                    <w:t>　　在城市建成区及其周边的重污染企业，应当逐步进行搬迁改造或者转型退出。</w:t>
                  </w:r>
                </w:p>
              </w:tc>
              <w:tc>
                <w:tcPr>
                  <w:tcW w:w="3640" w:type="dxa"/>
                  <w:tcBorders>
                    <w:tl2br w:val="nil"/>
                    <w:tr2bl w:val="nil"/>
                  </w:tcBorders>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kern w:val="2"/>
                      <w:sz w:val="21"/>
                      <w:szCs w:val="21"/>
                      <w:vertAlign w:val="baseline"/>
                      <w:lang w:val="en-US" w:eastAsia="zh-CN" w:bidi="ar-SA"/>
                    </w:rPr>
                    <w:t>项目</w:t>
                  </w:r>
                  <w:r>
                    <w:rPr>
                      <w:rFonts w:hint="eastAsia" w:cs="Times New Roman"/>
                      <w:color w:val="auto"/>
                      <w:kern w:val="2"/>
                      <w:sz w:val="21"/>
                      <w:szCs w:val="21"/>
                      <w:vertAlign w:val="baseline"/>
                      <w:lang w:val="en-US" w:eastAsia="zh-CN" w:bidi="ar-SA"/>
                    </w:rPr>
                    <w:t>不属于上述行业</w:t>
                  </w:r>
                  <w:r>
                    <w:rPr>
                      <w:rFonts w:hint="eastAsia" w:ascii="Times New Roman" w:hAnsi="Times New Roman" w:cs="Times New Roman"/>
                      <w:color w:val="auto"/>
                      <w:kern w:val="2"/>
                      <w:sz w:val="21"/>
                      <w:szCs w:val="21"/>
                      <w:vertAlign w:val="baseline"/>
                      <w:lang w:val="en-US" w:eastAsia="zh-CN" w:bidi="ar-SA"/>
                    </w:rPr>
                    <w:t xml:space="preserve">。 </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10</w:t>
                  </w:r>
                </w:p>
              </w:tc>
              <w:tc>
                <w:tcPr>
                  <w:tcW w:w="3783" w:type="dxa"/>
                  <w:tcBorders>
                    <w:tl2br w:val="nil"/>
                    <w:tr2bl w:val="nil"/>
                  </w:tcBorders>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设区的市人民政府应当建立民用散煤管理制度，加强民用散煤质量监督和节能炉具的推广，并制定奖励或者补贴政策，推进清洁煤炭、优质型煤的供应、使用和其他清洁能源的开发、利用。</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cs="Times New Roman"/>
                      <w:color w:val="auto"/>
                      <w:highlight w:val="none"/>
                      <w:vertAlign w:val="baseline"/>
                      <w:lang w:val="en-US" w:eastAsia="zh-CN"/>
                    </w:rPr>
                  </w:pPr>
                  <w:r>
                    <w:rPr>
                      <w:rFonts w:hint="default" w:ascii="Times New Roman" w:hAnsi="Times New Roman" w:cs="Times New Roman"/>
                      <w:color w:val="auto"/>
                      <w:kern w:val="2"/>
                      <w:sz w:val="21"/>
                      <w:szCs w:val="21"/>
                      <w:vertAlign w:val="baseline"/>
                      <w:lang w:val="en-US" w:eastAsia="zh-CN" w:bidi="ar-SA"/>
                    </w:rPr>
                    <w:t>　禁止销售不符合质量标准的民用散煤。</w:t>
                  </w:r>
                </w:p>
              </w:tc>
              <w:tc>
                <w:tcPr>
                  <w:tcW w:w="3640" w:type="dxa"/>
                  <w:tcBorders>
                    <w:tl2br w:val="nil"/>
                    <w:tr2bl w:val="nil"/>
                  </w:tcBorders>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kern w:val="2"/>
                      <w:sz w:val="21"/>
                      <w:szCs w:val="21"/>
                      <w:vertAlign w:val="baseline"/>
                      <w:lang w:val="en-US" w:eastAsia="zh-CN" w:bidi="ar-SA"/>
                    </w:rPr>
                    <w:t>本项目能源使用</w:t>
                  </w:r>
                  <w:r>
                    <w:rPr>
                      <w:rFonts w:hint="eastAsia" w:cs="Times New Roman"/>
                      <w:color w:val="auto"/>
                      <w:kern w:val="2"/>
                      <w:sz w:val="21"/>
                      <w:szCs w:val="21"/>
                      <w:vertAlign w:val="baseline"/>
                      <w:lang w:val="en-US" w:eastAsia="zh-CN" w:bidi="ar-SA"/>
                    </w:rPr>
                    <w:t>莱钢集团的焦炉煤气</w:t>
                  </w:r>
                  <w:r>
                    <w:rPr>
                      <w:rFonts w:hint="eastAsia" w:ascii="Times New Roman" w:hAnsi="Times New Roman" w:cs="Times New Roman"/>
                      <w:color w:val="auto"/>
                      <w:kern w:val="2"/>
                      <w:sz w:val="21"/>
                      <w:szCs w:val="21"/>
                      <w:vertAlign w:val="baseline"/>
                      <w:lang w:val="en-US" w:eastAsia="zh-CN" w:bidi="ar-SA"/>
                    </w:rPr>
                    <w:t>。</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11</w:t>
                  </w:r>
                </w:p>
              </w:tc>
              <w:tc>
                <w:tcPr>
                  <w:tcW w:w="3783" w:type="dxa"/>
                  <w:tcBorders>
                    <w:tl2br w:val="nil"/>
                    <w:tr2bl w:val="nil"/>
                  </w:tcBorders>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设区的市、县（市、区）人民政府应当制定本行政区域锅炉整治计划，按照国家和省有关规定要求淘汰、拆除燃煤小锅炉、分散燃煤锅炉和不能达标排放的其他燃煤锅炉，并对现有的燃煤锅炉进行超低排放改造。</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cs="Times New Roman"/>
                      <w:color w:val="auto"/>
                      <w:highlight w:val="none"/>
                      <w:vertAlign w:val="baseline"/>
                      <w:lang w:val="en-US" w:eastAsia="zh-CN"/>
                    </w:rPr>
                  </w:pPr>
                  <w:r>
                    <w:rPr>
                      <w:rFonts w:hint="default" w:ascii="Times New Roman" w:hAnsi="Times New Roman" w:cs="Times New Roman"/>
                      <w:color w:val="auto"/>
                      <w:kern w:val="2"/>
                      <w:sz w:val="21"/>
                      <w:szCs w:val="21"/>
                      <w:vertAlign w:val="baseline"/>
                      <w:lang w:val="en-US" w:eastAsia="zh-CN" w:bidi="ar-SA"/>
                    </w:rPr>
                    <w:t>除国家和省另有规定外，在城市建成区、开发区、工业园区内不得新建额定蒸发量二十吨以下的直接燃煤、重油、渣油锅炉以及直接燃用生物质的锅炉。</w:t>
                  </w:r>
                </w:p>
              </w:tc>
              <w:tc>
                <w:tcPr>
                  <w:tcW w:w="3640" w:type="dxa"/>
                  <w:tcBorders>
                    <w:tl2br w:val="nil"/>
                    <w:tr2bl w:val="nil"/>
                  </w:tcBorders>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kern w:val="2"/>
                      <w:sz w:val="21"/>
                      <w:szCs w:val="21"/>
                      <w:vertAlign w:val="baseline"/>
                      <w:lang w:val="en-US" w:eastAsia="zh-CN" w:bidi="ar-SA"/>
                    </w:rPr>
                    <w:t>本项目</w:t>
                  </w:r>
                  <w:r>
                    <w:rPr>
                      <w:rFonts w:hint="eastAsia" w:cs="Times New Roman"/>
                      <w:color w:val="auto"/>
                      <w:kern w:val="2"/>
                      <w:sz w:val="21"/>
                      <w:szCs w:val="21"/>
                      <w:vertAlign w:val="baseline"/>
                      <w:lang w:val="en-US" w:eastAsia="zh-CN" w:bidi="ar-SA"/>
                    </w:rPr>
                    <w:t>不使用锅炉</w:t>
                  </w:r>
                  <w:r>
                    <w:rPr>
                      <w:rFonts w:hint="eastAsia" w:ascii="Times New Roman" w:hAnsi="Times New Roman" w:cs="Times New Roman"/>
                      <w:color w:val="auto"/>
                      <w:kern w:val="2"/>
                      <w:sz w:val="21"/>
                      <w:szCs w:val="21"/>
                      <w:vertAlign w:val="baseline"/>
                      <w:lang w:val="en-US" w:eastAsia="zh-CN" w:bidi="ar-SA"/>
                    </w:rPr>
                    <w:t>。</w:t>
                  </w:r>
                </w:p>
              </w:tc>
              <w:tc>
                <w:tcPr>
                  <w:tcW w:w="1303"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bl>
          <w:p>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7、</w:t>
            </w:r>
            <w:r>
              <w:rPr>
                <w:rFonts w:hint="eastAsia" w:ascii="Times New Roman" w:hAnsi="Times New Roman" w:cs="Times New Roman"/>
                <w:b/>
                <w:bCs/>
                <w:color w:val="auto"/>
                <w:kern w:val="2"/>
                <w:sz w:val="24"/>
                <w:szCs w:val="24"/>
                <w:lang w:val="en-US" w:eastAsia="zh-CN" w:bidi="ar-SA"/>
              </w:rPr>
              <w:t>与《山东省环境保护条例》符合性分析</w:t>
            </w:r>
          </w:p>
          <w:p>
            <w:pPr>
              <w:numPr>
                <w:ilvl w:val="0"/>
                <w:numId w:val="0"/>
              </w:num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与《山东省环境保护条例》符合性分析</w:t>
            </w:r>
          </w:p>
          <w:tbl>
            <w:tblPr>
              <w:tblStyle w:val="25"/>
              <w:tblW w:w="93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78"/>
              <w:gridCol w:w="2701"/>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78"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2"/>
                      <w:sz w:val="21"/>
                      <w:szCs w:val="21"/>
                      <w:vertAlign w:val="baseline"/>
                      <w:lang w:val="en-US" w:eastAsia="zh-CN" w:bidi="ar-SA"/>
                    </w:rPr>
                  </w:pPr>
                  <w:r>
                    <w:rPr>
                      <w:rFonts w:hint="eastAsia" w:ascii="Times New Roman" w:hAnsi="Times New Roman" w:cs="Times New Roman"/>
                      <w:b/>
                      <w:bCs/>
                      <w:color w:val="auto"/>
                      <w:kern w:val="2"/>
                      <w:sz w:val="21"/>
                      <w:szCs w:val="21"/>
                      <w:lang w:val="en-US" w:eastAsia="zh-CN" w:bidi="ar-SA"/>
                    </w:rPr>
                    <w:t>《山东省环境保护条例》要求</w:t>
                  </w:r>
                </w:p>
              </w:tc>
              <w:tc>
                <w:tcPr>
                  <w:tcW w:w="2701"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2"/>
                      <w:sz w:val="21"/>
                      <w:szCs w:val="21"/>
                      <w:vertAlign w:val="baseline"/>
                      <w:lang w:val="en-US" w:eastAsia="zh-CN" w:bidi="ar-SA"/>
                    </w:rPr>
                  </w:pPr>
                  <w:r>
                    <w:rPr>
                      <w:rFonts w:hint="eastAsia" w:ascii="Times New Roman" w:hAnsi="Times New Roman" w:cs="Times New Roman"/>
                      <w:b/>
                      <w:bCs/>
                      <w:color w:val="auto"/>
                      <w:kern w:val="2"/>
                      <w:sz w:val="21"/>
                      <w:szCs w:val="21"/>
                      <w:vertAlign w:val="baseline"/>
                      <w:lang w:val="en-US" w:eastAsia="zh-CN" w:bidi="ar-SA"/>
                    </w:rPr>
                    <w:t>企业情况</w:t>
                  </w:r>
                </w:p>
              </w:tc>
              <w:tc>
                <w:tcPr>
                  <w:tcW w:w="131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2"/>
                      <w:sz w:val="21"/>
                      <w:szCs w:val="21"/>
                      <w:vertAlign w:val="baseline"/>
                      <w:lang w:val="en-US" w:eastAsia="zh-CN" w:bidi="ar-SA"/>
                    </w:rPr>
                  </w:pPr>
                  <w:r>
                    <w:rPr>
                      <w:rFonts w:hint="eastAsia" w:ascii="Times New Roman" w:hAnsi="Times New Roman" w:cs="Times New Roman"/>
                      <w:b/>
                      <w:bCs/>
                      <w:color w:val="auto"/>
                      <w:kern w:val="2"/>
                      <w:sz w:val="21"/>
                      <w:szCs w:val="21"/>
                      <w:vertAlign w:val="baseline"/>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78"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第四十四条</w:t>
                  </w:r>
                  <w:r>
                    <w:rPr>
                      <w:rFonts w:hint="eastAsia" w:ascii="Times New Roman" w:hAnsi="Times New Roman" w:cs="Times New Roman"/>
                      <w:color w:val="auto"/>
                      <w:kern w:val="2"/>
                      <w:sz w:val="21"/>
                      <w:szCs w:val="21"/>
                      <w:vertAlign w:val="baseline"/>
                      <w:lang w:val="en-US" w:eastAsia="zh-CN" w:bidi="ar-SA"/>
                    </w:rPr>
                    <w:t xml:space="preserve">  </w:t>
                  </w:r>
                  <w:r>
                    <w:rPr>
                      <w:rFonts w:hint="default" w:ascii="Times New Roman" w:hAnsi="Times New Roman" w:cs="Times New Roman"/>
                      <w:color w:val="auto"/>
                      <w:kern w:val="2"/>
                      <w:sz w:val="21"/>
                      <w:szCs w:val="21"/>
                      <w:vertAlign w:val="baseline"/>
                      <w:lang w:val="en-US" w:eastAsia="zh-CN" w:bidi="ar-SA"/>
                    </w:rPr>
                    <w:t>各级人民政府及其有关部门、园区管理机构应当做好环境基础设施规划，配套建设污水处理设施及配套管网、固体废物的收集处置设施、危险废物集中处置设施以及其他环境基础设施，建立环境基础设施的运行、维护制度，并保障其正常运行。</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2701"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本项目</w:t>
                  </w:r>
                  <w:r>
                    <w:rPr>
                      <w:rFonts w:hint="eastAsia" w:ascii="Times New Roman" w:hAnsi="Times New Roman" w:cs="Times New Roman"/>
                      <w:color w:val="auto"/>
                      <w:kern w:val="2"/>
                      <w:sz w:val="21"/>
                      <w:szCs w:val="21"/>
                      <w:highlight w:val="none"/>
                      <w:vertAlign w:val="baseline"/>
                      <w:lang w:val="en-US" w:eastAsia="zh-CN" w:bidi="ar-SA"/>
                    </w:rPr>
                    <w:t>位于</w:t>
                  </w:r>
                  <w:r>
                    <w:rPr>
                      <w:rFonts w:hint="eastAsia" w:cs="Times New Roman"/>
                      <w:color w:val="auto"/>
                      <w:kern w:val="2"/>
                      <w:sz w:val="21"/>
                      <w:szCs w:val="21"/>
                      <w:highlight w:val="none"/>
                      <w:vertAlign w:val="baseline"/>
                      <w:lang w:val="en-US" w:eastAsia="zh-CN" w:bidi="ar-SA"/>
                    </w:rPr>
                    <w:t>济南市钢城区里辛街道北赵村，项目位于莱钢集团建设用地，项目所在位置属于工业聚集区</w:t>
                  </w:r>
                  <w:r>
                    <w:rPr>
                      <w:rFonts w:hint="eastAsia" w:ascii="Times New Roman" w:hAnsi="Times New Roman" w:cs="Times New Roman"/>
                      <w:color w:val="auto"/>
                      <w:kern w:val="2"/>
                      <w:sz w:val="21"/>
                      <w:szCs w:val="21"/>
                      <w:vertAlign w:val="baseline"/>
                      <w:lang w:val="en-US" w:eastAsia="zh-CN" w:bidi="ar-SA"/>
                    </w:rPr>
                    <w:t>。</w:t>
                  </w:r>
                  <w:r>
                    <w:rPr>
                      <w:rFonts w:hint="eastAsia" w:cs="Times New Roman"/>
                      <w:color w:val="auto"/>
                      <w:kern w:val="2"/>
                      <w:sz w:val="21"/>
                      <w:szCs w:val="21"/>
                      <w:vertAlign w:val="baseline"/>
                      <w:lang w:val="en-US" w:eastAsia="zh-CN" w:bidi="ar-SA"/>
                    </w:rPr>
                    <w:t>项目位置见附图1，租赁合同见附件。</w:t>
                  </w:r>
                </w:p>
              </w:tc>
              <w:tc>
                <w:tcPr>
                  <w:tcW w:w="131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bl>
          <w:p>
            <w:pPr>
              <w:adjustRightInd/>
              <w:spacing w:line="360" w:lineRule="auto"/>
              <w:ind w:firstLine="0" w:firstLineChars="0"/>
              <w:rPr>
                <w:rFonts w:hint="default" w:ascii="Times New Roman" w:hAnsi="Times New Roman" w:eastAsia="宋体" w:cs="Times New Roman"/>
                <w:b/>
                <w:bCs/>
                <w:color w:val="auto"/>
                <w:sz w:val="21"/>
                <w:szCs w:val="21"/>
                <w:lang w:val="en-US" w:eastAsia="zh-CN"/>
              </w:rPr>
            </w:pPr>
            <w:r>
              <w:rPr>
                <w:rFonts w:hint="eastAsia" w:cs="Times New Roman"/>
                <w:b/>
                <w:bCs w:val="0"/>
                <w:color w:val="auto"/>
                <w:sz w:val="24"/>
                <w:highlight w:val="none"/>
                <w:lang w:val="en-US" w:eastAsia="zh-CN"/>
              </w:rPr>
              <w:t>8、</w:t>
            </w:r>
            <w:r>
              <w:rPr>
                <w:rFonts w:hint="eastAsia" w:ascii="Times New Roman" w:hAnsi="Times New Roman" w:eastAsia="宋体" w:cs="Times New Roman"/>
                <w:b/>
                <w:bCs/>
                <w:color w:val="auto"/>
                <w:sz w:val="24"/>
                <w:highlight w:val="none"/>
                <w:shd w:val="clear" w:color="auto" w:fill="auto"/>
                <w:lang w:val="en-US" w:eastAsia="zh-CN"/>
              </w:rPr>
              <w:t>与《济南市大气污染防治条例》有关要求符合性分析</w:t>
            </w:r>
          </w:p>
          <w:p>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与《济南市大气污染防治条例》符合性分析</w:t>
            </w:r>
          </w:p>
          <w:tbl>
            <w:tblPr>
              <w:tblStyle w:val="25"/>
              <w:tblW w:w="93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51"/>
              <w:gridCol w:w="2028"/>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1"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2"/>
                      <w:sz w:val="21"/>
                      <w:szCs w:val="21"/>
                      <w:vertAlign w:val="baseline"/>
                      <w:lang w:val="en-US" w:eastAsia="zh-CN" w:bidi="ar-SA"/>
                    </w:rPr>
                  </w:pPr>
                  <w:r>
                    <w:rPr>
                      <w:rFonts w:hint="eastAsia" w:ascii="Times New Roman" w:hAnsi="Times New Roman" w:cs="Times New Roman"/>
                      <w:b/>
                      <w:bCs/>
                      <w:color w:val="auto"/>
                      <w:kern w:val="2"/>
                      <w:sz w:val="21"/>
                      <w:szCs w:val="21"/>
                      <w:lang w:val="en-US" w:eastAsia="zh-CN" w:bidi="ar-SA"/>
                    </w:rPr>
                    <w:t>《</w:t>
                  </w:r>
                  <w:r>
                    <w:rPr>
                      <w:rFonts w:hint="default" w:ascii="Times New Roman" w:hAnsi="Times New Roman" w:eastAsia="宋体" w:cs="Times New Roman"/>
                      <w:b/>
                      <w:bCs/>
                      <w:color w:val="auto"/>
                      <w:sz w:val="21"/>
                      <w:szCs w:val="21"/>
                      <w:lang w:val="en-US" w:eastAsia="zh-CN"/>
                    </w:rPr>
                    <w:t>济南市大气污染防治条例</w:t>
                  </w:r>
                  <w:r>
                    <w:rPr>
                      <w:rFonts w:hint="eastAsia" w:ascii="Times New Roman" w:hAnsi="Times New Roman" w:cs="Times New Roman"/>
                      <w:b/>
                      <w:bCs/>
                      <w:color w:val="auto"/>
                      <w:kern w:val="2"/>
                      <w:sz w:val="21"/>
                      <w:szCs w:val="21"/>
                      <w:lang w:val="en-US" w:eastAsia="zh-CN" w:bidi="ar-SA"/>
                    </w:rPr>
                    <w:t>》要求</w:t>
                  </w:r>
                </w:p>
              </w:tc>
              <w:tc>
                <w:tcPr>
                  <w:tcW w:w="2028"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2"/>
                      <w:sz w:val="21"/>
                      <w:szCs w:val="21"/>
                      <w:vertAlign w:val="baseline"/>
                      <w:lang w:val="en-US" w:eastAsia="zh-CN" w:bidi="ar-SA"/>
                    </w:rPr>
                  </w:pPr>
                  <w:r>
                    <w:rPr>
                      <w:rFonts w:hint="eastAsia" w:ascii="Times New Roman" w:hAnsi="Times New Roman" w:cs="Times New Roman"/>
                      <w:b/>
                      <w:bCs/>
                      <w:color w:val="auto"/>
                      <w:kern w:val="2"/>
                      <w:sz w:val="21"/>
                      <w:szCs w:val="21"/>
                      <w:vertAlign w:val="baseline"/>
                      <w:lang w:val="en-US" w:eastAsia="zh-CN" w:bidi="ar-SA"/>
                    </w:rPr>
                    <w:t>企业情况</w:t>
                  </w:r>
                </w:p>
              </w:tc>
              <w:tc>
                <w:tcPr>
                  <w:tcW w:w="131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2"/>
                      <w:sz w:val="21"/>
                      <w:szCs w:val="21"/>
                      <w:vertAlign w:val="baseline"/>
                      <w:lang w:val="en-US" w:eastAsia="zh-CN" w:bidi="ar-SA"/>
                    </w:rPr>
                  </w:pPr>
                  <w:r>
                    <w:rPr>
                      <w:rFonts w:hint="eastAsia" w:ascii="Times New Roman" w:hAnsi="Times New Roman" w:cs="Times New Roman"/>
                      <w:b/>
                      <w:bCs/>
                      <w:color w:val="auto"/>
                      <w:kern w:val="2"/>
                      <w:sz w:val="21"/>
                      <w:szCs w:val="21"/>
                      <w:vertAlign w:val="baseline"/>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51"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第四十三条  在本市行政区域内禁止新建、扩建钢铁、石化等高污染项目。</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列入国家产业结构调整目录中淘汰类的钢铁、炼油、制革、染料、电镀、农药以及生产石棉制品、防水卷材、塑料加工等生产企业或者相关设备，由所在地县（市、区）人民政府责令限期关闭或者逐步淘汰；对限制类项目的新建、扩建不再予以审批。</w:t>
                  </w:r>
                </w:p>
              </w:tc>
              <w:tc>
                <w:tcPr>
                  <w:tcW w:w="2028"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项目属</w:t>
                  </w:r>
                  <w:r>
                    <w:rPr>
                      <w:rFonts w:hint="default" w:ascii="Times New Roman" w:hAnsi="Times New Roman" w:cs="Times New Roman"/>
                      <w:color w:val="auto"/>
                      <w:kern w:val="2"/>
                      <w:sz w:val="21"/>
                      <w:szCs w:val="21"/>
                      <w:vertAlign w:val="baseline"/>
                      <w:lang w:val="en-US" w:eastAsia="zh-CN" w:bidi="ar-SA"/>
                    </w:rPr>
                    <w:t>于</w:t>
                  </w:r>
                  <w:r>
                    <w:rPr>
                      <w:rFonts w:hint="default" w:ascii="Times New Roman" w:hAnsi="Times New Roman" w:cs="Times New Roman"/>
                      <w:b w:val="0"/>
                      <w:bCs w:val="0"/>
                      <w:snapToGrid/>
                      <w:color w:val="auto"/>
                      <w:spacing w:val="0"/>
                      <w:kern w:val="2"/>
                      <w:sz w:val="21"/>
                      <w:szCs w:val="21"/>
                      <w:lang w:val="en-US" w:eastAsia="zh-CN"/>
                    </w:rPr>
                    <w:t>C</w:t>
                  </w:r>
                  <w:r>
                    <w:rPr>
                      <w:rFonts w:hint="eastAsia" w:cs="Times New Roman"/>
                      <w:b w:val="0"/>
                      <w:bCs w:val="0"/>
                      <w:snapToGrid/>
                      <w:color w:val="auto"/>
                      <w:spacing w:val="0"/>
                      <w:kern w:val="2"/>
                      <w:sz w:val="21"/>
                      <w:szCs w:val="21"/>
                      <w:lang w:val="en-US" w:eastAsia="zh-CN"/>
                    </w:rPr>
                    <w:t>3130 钢压延加工</w:t>
                  </w:r>
                  <w:r>
                    <w:rPr>
                      <w:rFonts w:hint="default" w:ascii="Times New Roman" w:hAnsi="Times New Roman" w:cs="Times New Roman"/>
                      <w:color w:val="auto"/>
                      <w:kern w:val="2"/>
                      <w:sz w:val="21"/>
                      <w:szCs w:val="21"/>
                      <w:vertAlign w:val="baseline"/>
                      <w:lang w:val="en-US" w:eastAsia="zh-CN" w:bidi="ar-SA"/>
                    </w:rPr>
                    <w:t>，不</w:t>
                  </w:r>
                  <w:r>
                    <w:rPr>
                      <w:rFonts w:hint="eastAsia" w:ascii="Times New Roman" w:hAnsi="Times New Roman" w:cs="Times New Roman"/>
                      <w:color w:val="auto"/>
                      <w:kern w:val="2"/>
                      <w:sz w:val="21"/>
                      <w:szCs w:val="21"/>
                      <w:highlight w:val="none"/>
                      <w:vertAlign w:val="baseline"/>
                      <w:lang w:val="en-US" w:eastAsia="zh-CN" w:bidi="ar-SA"/>
                    </w:rPr>
                    <w:t>属于所列项目。</w:t>
                  </w:r>
                </w:p>
              </w:tc>
              <w:tc>
                <w:tcPr>
                  <w:tcW w:w="131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bookmarkEnd w:id="0"/>
          </w:tbl>
          <w:p>
            <w:pPr>
              <w:keepNext w:val="0"/>
              <w:keepLines w:val="0"/>
              <w:pageBreakBefore w:val="0"/>
              <w:widowControl w:val="0"/>
              <w:numPr>
                <w:ilvl w:val="0"/>
                <w:numId w:val="0"/>
              </w:numPr>
              <w:tabs>
                <w:tab w:val="left" w:pos="6615"/>
              </w:tabs>
              <w:kinsoku/>
              <w:wordWrap/>
              <w:overflowPunct/>
              <w:topLinePunct w:val="0"/>
              <w:autoSpaceDE/>
              <w:autoSpaceDN/>
              <w:bidi w:val="0"/>
              <w:adjustRightInd/>
              <w:snapToGrid/>
              <w:spacing w:line="360" w:lineRule="auto"/>
              <w:ind w:firstLine="0"/>
              <w:jc w:val="both"/>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9、</w:t>
            </w:r>
            <w:r>
              <w:rPr>
                <w:rFonts w:hint="eastAsia" w:ascii="Times New Roman" w:hAnsi="Times New Roman" w:cs="Times New Roman"/>
                <w:b/>
                <w:bCs/>
                <w:color w:val="auto"/>
                <w:kern w:val="2"/>
                <w:sz w:val="24"/>
                <w:szCs w:val="24"/>
                <w:highlight w:val="none"/>
                <w:lang w:val="en-US" w:eastAsia="zh-CN" w:bidi="ar-SA"/>
              </w:rPr>
              <w:t>与</w:t>
            </w:r>
            <w:r>
              <w:rPr>
                <w:rFonts w:hint="eastAsia" w:ascii="Times New Roman" w:hAnsi="Times New Roman" w:eastAsia="宋体" w:cs="Times New Roman"/>
                <w:b/>
                <w:bCs/>
                <w:i w:val="0"/>
                <w:caps w:val="0"/>
                <w:color w:val="auto"/>
                <w:spacing w:val="0"/>
                <w:sz w:val="24"/>
                <w:szCs w:val="24"/>
                <w:highlight w:val="none"/>
                <w:shd w:val="clear"/>
              </w:rPr>
              <w:t>《京津冀及周边地区2019-2020年秋冬季大气污染综合治理攻坚行动方案》</w:t>
            </w:r>
            <w:r>
              <w:rPr>
                <w:rFonts w:hint="eastAsia" w:ascii="Times New Roman" w:hAnsi="Times New Roman" w:cs="Times New Roman"/>
                <w:b/>
                <w:bCs/>
                <w:i w:val="0"/>
                <w:caps w:val="0"/>
                <w:color w:val="auto"/>
                <w:spacing w:val="0"/>
                <w:sz w:val="24"/>
                <w:szCs w:val="24"/>
                <w:highlight w:val="none"/>
                <w:shd w:val="clear"/>
                <w:lang w:val="en-US" w:eastAsia="zh-CN"/>
              </w:rPr>
              <w:t>符合性分析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与《</w:t>
            </w:r>
            <w:r>
              <w:rPr>
                <w:rFonts w:hint="default" w:ascii="Times New Roman" w:hAnsi="Times New Roman" w:eastAsia="宋体" w:cs="Times New Roman"/>
                <w:b/>
                <w:bCs/>
                <w:i w:val="0"/>
                <w:caps w:val="0"/>
                <w:color w:val="auto"/>
                <w:spacing w:val="0"/>
                <w:sz w:val="21"/>
                <w:szCs w:val="21"/>
                <w:shd w:val="clear"/>
              </w:rPr>
              <w:t>京津冀及周边地区2019-2020年秋冬季大气污染综合治理攻坚行动方案</w:t>
            </w:r>
            <w:r>
              <w:rPr>
                <w:rFonts w:hint="default" w:ascii="Times New Roman" w:hAnsi="Times New Roman" w:eastAsia="宋体" w:cs="Times New Roman"/>
                <w:b/>
                <w:bCs/>
                <w:color w:val="auto"/>
                <w:sz w:val="21"/>
                <w:szCs w:val="21"/>
                <w:lang w:val="en-US" w:eastAsia="zh-CN"/>
              </w:rPr>
              <w:t>》符合性分析</w:t>
            </w:r>
          </w:p>
          <w:tbl>
            <w:tblPr>
              <w:tblStyle w:val="25"/>
              <w:tblW w:w="93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42"/>
              <w:gridCol w:w="1430"/>
              <w:gridCol w:w="1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8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方案要求</w:t>
                  </w:r>
                </w:p>
              </w:tc>
              <w:tc>
                <w:tcPr>
                  <w:tcW w:w="135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企业情况</w:t>
                  </w:r>
                </w:p>
              </w:tc>
              <w:tc>
                <w:tcPr>
                  <w:tcW w:w="1250"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628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i w:val="0"/>
                      <w:caps w:val="0"/>
                      <w:color w:val="auto"/>
                      <w:spacing w:val="0"/>
                      <w:sz w:val="21"/>
                      <w:szCs w:val="21"/>
                      <w:highlight w:val="none"/>
                      <w:shd w:val="clear"/>
                    </w:rPr>
                    <w:t>深入推进重污染行业产业结构调整。各地要按照本地已出台的钢铁、建材、焦化、化工等行业产业结构调整、高质量发展等方案要求，细化分解2019年度任务，明确与淘汰产能对应的主要设备，确保按时完成，取得阶段性进展</w:t>
                  </w: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35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本项目不属于所列行业</w:t>
                  </w:r>
                </w:p>
              </w:tc>
              <w:tc>
                <w:tcPr>
                  <w:tcW w:w="1250"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8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i w:val="0"/>
                      <w:caps w:val="0"/>
                      <w:color w:val="auto"/>
                      <w:spacing w:val="0"/>
                      <w:sz w:val="21"/>
                      <w:szCs w:val="21"/>
                      <w:highlight w:val="none"/>
                      <w:shd w:val="clear" w:fill="F0F8FF"/>
                      <w:lang w:eastAsia="zh-CN"/>
                    </w:rPr>
                  </w:pPr>
                  <w:r>
                    <w:rPr>
                      <w:rFonts w:hint="eastAsia" w:ascii="Times New Roman" w:hAnsi="Times New Roman" w:eastAsia="宋体" w:cs="Times New Roman"/>
                      <w:i w:val="0"/>
                      <w:caps w:val="0"/>
                      <w:color w:val="auto"/>
                      <w:spacing w:val="0"/>
                      <w:sz w:val="21"/>
                      <w:szCs w:val="21"/>
                      <w:highlight w:val="none"/>
                      <w:shd w:val="clear"/>
                    </w:rPr>
                    <w:t>推进企业集群升级改造。主要企业集群包括铸造、砖瓦、陶瓷、玻璃、耐火材料、石灰、矿物棉、独立轧钢、铁合金、有色金属再生、炭素、化工、煤炭洗选、包装印刷、家具、人造板、橡胶制品、塑料制品、制鞋、制革等</w:t>
                  </w:r>
                  <w:r>
                    <w:rPr>
                      <w:rFonts w:hint="eastAsia" w:ascii="Times New Roman" w:hAnsi="Times New Roman" w:eastAsia="宋体" w:cs="Times New Roman"/>
                      <w:i w:val="0"/>
                      <w:caps w:val="0"/>
                      <w:color w:val="auto"/>
                      <w:spacing w:val="0"/>
                      <w:sz w:val="21"/>
                      <w:szCs w:val="21"/>
                      <w:highlight w:val="none"/>
                      <w:shd w:val="clear"/>
                      <w:lang w:eastAsia="zh-CN"/>
                    </w:rPr>
                    <w:t>。</w:t>
                  </w:r>
                </w:p>
              </w:tc>
              <w:tc>
                <w:tcPr>
                  <w:tcW w:w="135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本项目不属于所列行业</w:t>
                  </w:r>
                </w:p>
              </w:tc>
              <w:tc>
                <w:tcPr>
                  <w:tcW w:w="1250"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8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i w:val="0"/>
                      <w:caps w:val="0"/>
                      <w:color w:val="auto"/>
                      <w:spacing w:val="0"/>
                      <w:sz w:val="21"/>
                      <w:szCs w:val="21"/>
                      <w:highlight w:val="none"/>
                      <w:shd w:val="clear" w:fill="F0F8FF"/>
                      <w:lang w:eastAsia="zh-CN"/>
                    </w:rPr>
                  </w:pPr>
                  <w:r>
                    <w:rPr>
                      <w:rFonts w:hint="eastAsia" w:ascii="Times New Roman" w:hAnsi="Times New Roman" w:eastAsia="宋体" w:cs="Times New Roman"/>
                      <w:i w:val="0"/>
                      <w:caps w:val="0"/>
                      <w:color w:val="auto"/>
                      <w:spacing w:val="0"/>
                      <w:sz w:val="21"/>
                      <w:szCs w:val="21"/>
                      <w:highlight w:val="none"/>
                      <w:shd w:val="clear"/>
                    </w:rPr>
                    <w:t>坚决治理“散乱污”企业。各省（市）统一“散乱污”企业认定标准和整治要求</w:t>
                  </w:r>
                  <w:r>
                    <w:rPr>
                      <w:rFonts w:hint="eastAsia" w:ascii="Times New Roman" w:hAnsi="Times New Roman" w:eastAsia="宋体" w:cs="Times New Roman"/>
                      <w:i w:val="0"/>
                      <w:caps w:val="0"/>
                      <w:color w:val="auto"/>
                      <w:spacing w:val="0"/>
                      <w:sz w:val="21"/>
                      <w:szCs w:val="21"/>
                      <w:highlight w:val="none"/>
                      <w:shd w:val="clear"/>
                      <w:lang w:eastAsia="zh-CN"/>
                    </w:rPr>
                    <w:t>。</w:t>
                  </w:r>
                </w:p>
              </w:tc>
              <w:tc>
                <w:tcPr>
                  <w:tcW w:w="135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本项目不属于散乱污</w:t>
                  </w:r>
                </w:p>
              </w:tc>
              <w:tc>
                <w:tcPr>
                  <w:tcW w:w="1250"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8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ascii="Times New Roman" w:hAnsi="Times New Roman" w:eastAsia="宋体" w:cs="宋体"/>
                      <w:i w:val="0"/>
                      <w:caps w:val="0"/>
                      <w:color w:val="auto"/>
                      <w:spacing w:val="0"/>
                      <w:sz w:val="21"/>
                      <w:szCs w:val="21"/>
                      <w:highlight w:val="none"/>
                      <w:shd w:val="clear" w:fill="F0F8FF"/>
                    </w:rPr>
                  </w:pPr>
                  <w:r>
                    <w:rPr>
                      <w:rFonts w:hint="eastAsia" w:ascii="Times New Roman" w:hAnsi="Times New Roman" w:eastAsia="宋体" w:cs="Times New Roman"/>
                      <w:i w:val="0"/>
                      <w:caps w:val="0"/>
                      <w:color w:val="auto"/>
                      <w:spacing w:val="0"/>
                      <w:sz w:val="21"/>
                      <w:szCs w:val="21"/>
                      <w:highlight w:val="none"/>
                      <w:shd w:val="clear"/>
                    </w:rPr>
                    <w:t>提升VOCs综合治理水平。各地要加强对企业帮扶指导，对本地VOCs排放量较大的企业，组织编制“一厂一策”方案。</w:t>
                  </w:r>
                </w:p>
              </w:tc>
              <w:tc>
                <w:tcPr>
                  <w:tcW w:w="1352"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w:t>
                  </w:r>
                  <w:r>
                    <w:rPr>
                      <w:rFonts w:hint="eastAsia" w:cs="Times New Roman"/>
                      <w:color w:val="auto"/>
                      <w:kern w:val="2"/>
                      <w:sz w:val="21"/>
                      <w:szCs w:val="21"/>
                      <w:highlight w:val="none"/>
                      <w:vertAlign w:val="baseline"/>
                      <w:lang w:val="en-US" w:eastAsia="zh-CN" w:bidi="ar-SA"/>
                    </w:rPr>
                    <w:t>不涉及</w:t>
                  </w:r>
                </w:p>
              </w:tc>
              <w:tc>
                <w:tcPr>
                  <w:tcW w:w="1250"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符合</w:t>
                  </w:r>
                </w:p>
              </w:tc>
            </w:tr>
          </w:tbl>
          <w:p>
            <w:pPr>
              <w:widowControl/>
              <w:snapToGrid w:val="0"/>
              <w:spacing w:line="360" w:lineRule="auto"/>
              <w:jc w:val="left"/>
              <w:rPr>
                <w:rFonts w:hint="eastAsia" w:cs="Times New Roman"/>
                <w:b/>
                <w:color w:val="auto"/>
                <w:sz w:val="24"/>
                <w:szCs w:val="24"/>
                <w:lang w:val="en-US" w:eastAsia="zh-CN"/>
              </w:rPr>
            </w:pPr>
            <w:r>
              <w:rPr>
                <w:rFonts w:hint="eastAsia" w:cs="Times New Roman"/>
                <w:b/>
                <w:color w:val="auto"/>
                <w:sz w:val="24"/>
                <w:szCs w:val="24"/>
                <w:lang w:val="en-US" w:eastAsia="zh-CN"/>
              </w:rPr>
              <w:t>10、与《钢铁行业规范条件》（2015年修订）的符合性分析</w:t>
            </w:r>
          </w:p>
          <w:p>
            <w:pPr>
              <w:pStyle w:val="2"/>
              <w:jc w:val="center"/>
              <w:rPr>
                <w:rFonts w:hint="default" w:cs="Times New Roman"/>
                <w:b/>
                <w:bCs/>
                <w:color w:val="auto"/>
                <w:sz w:val="21"/>
                <w:szCs w:val="21"/>
                <w:lang w:val="en-US" w:eastAsia="zh-CN" w:bidi="ar-SA"/>
              </w:rPr>
            </w:pPr>
            <w:r>
              <w:rPr>
                <w:rFonts w:hint="default" w:cs="Times New Roman"/>
                <w:b/>
                <w:bCs/>
                <w:color w:val="auto"/>
                <w:sz w:val="21"/>
                <w:szCs w:val="21"/>
                <w:lang w:val="en-US" w:eastAsia="zh-CN" w:bidi="ar-SA"/>
              </w:rPr>
              <w:t>表1-8  项目与《钢铁行业规范条件》的符合性分析</w:t>
            </w:r>
          </w:p>
          <w:tbl>
            <w:tblPr>
              <w:tblStyle w:val="25"/>
              <w:tblW w:w="93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23"/>
              <w:gridCol w:w="2256"/>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582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lang w:val="en-US" w:eastAsia="zh-CN" w:bidi="ar-SA"/>
                    </w:rPr>
                    <w:t>《钢铁行业规范条件》</w:t>
                  </w:r>
                  <w:r>
                    <w:rPr>
                      <w:rFonts w:hint="eastAsia" w:ascii="Times New Roman" w:hAnsi="Times New Roman" w:eastAsia="宋体" w:cs="Times New Roman"/>
                      <w:b/>
                      <w:bCs/>
                      <w:color w:val="auto"/>
                      <w:kern w:val="2"/>
                      <w:sz w:val="21"/>
                      <w:szCs w:val="21"/>
                      <w:lang w:val="en-US" w:eastAsia="zh-CN" w:bidi="ar-SA"/>
                    </w:rPr>
                    <w:t>要求</w:t>
                  </w:r>
                </w:p>
              </w:tc>
              <w:tc>
                <w:tcPr>
                  <w:tcW w:w="2256"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企业情况</w:t>
                  </w:r>
                </w:p>
              </w:tc>
              <w:tc>
                <w:tcPr>
                  <w:tcW w:w="131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新建、改造钢铁企业应按照全流程及经济规模设计和生产，实现生产流程各工序间的合理衔接和匹配。不得新建独立炼铁、炼钢、热轧企业；现有钢</w:t>
                  </w:r>
                  <w:r>
                    <w:rPr>
                      <w:rFonts w:hint="eastAsia" w:ascii="Times New Roman" w:hAnsi="Times New Roman" w:eastAsia="宋体" w:cs="Times New Roman"/>
                      <w:color w:val="auto"/>
                      <w:kern w:val="2"/>
                      <w:sz w:val="21"/>
                      <w:szCs w:val="21"/>
                      <w:highlight w:val="none"/>
                      <w:vertAlign w:val="baseline"/>
                      <w:lang w:val="en-US" w:eastAsia="zh-CN" w:bidi="ar-SA"/>
                    </w:rPr>
                    <w:t>铁企业不得装备属于《产业</w:t>
                  </w:r>
                  <w:r>
                    <w:rPr>
                      <w:rFonts w:hint="eastAsia" w:ascii="Times New Roman" w:hAnsi="Times New Roman" w:eastAsia="宋体" w:cs="Times New Roman"/>
                      <w:color w:val="auto"/>
                      <w:kern w:val="2"/>
                      <w:sz w:val="21"/>
                      <w:szCs w:val="21"/>
                      <w:vertAlign w:val="baseline"/>
                      <w:lang w:val="en-US" w:eastAsia="zh-CN" w:bidi="ar-SA"/>
                    </w:rPr>
                    <w:t>结构调整目录》、《部分工业行业淘汰落后生产工艺装备和产品指导目录》中需淘汰的落后工艺装备。</w:t>
                  </w:r>
                </w:p>
              </w:tc>
              <w:tc>
                <w:tcPr>
                  <w:tcW w:w="2256"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项目不属于新建项目，且为莱钢集团附属单位，为莱钢集团配套产业，项目使用设备不属于淘汰落后设备。</w:t>
                  </w:r>
                </w:p>
              </w:tc>
              <w:tc>
                <w:tcPr>
                  <w:tcW w:w="131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钢铁企业需具备健全的环境保护管理制度，配套建设污染治理设施，烧结机头、球团焙烧、焦炉、自备电站排气筒需安装颗粒物、二氧化硫、氮氧化物在线自动监控系统，</w:t>
                  </w:r>
                  <w:r>
                    <w:rPr>
                      <w:rFonts w:hint="eastAsia" w:ascii="Times New Roman" w:hAnsi="Times New Roman" w:eastAsia="宋体" w:cs="Times New Roman"/>
                      <w:color w:val="FF0000"/>
                      <w:kern w:val="2"/>
                      <w:sz w:val="21"/>
                      <w:szCs w:val="21"/>
                      <w:vertAlign w:val="baseline"/>
                      <w:lang w:val="en-US" w:eastAsia="zh-CN" w:bidi="ar-SA"/>
                    </w:rPr>
                    <w:t>全</w:t>
                  </w:r>
                  <w:r>
                    <w:rPr>
                      <w:rFonts w:hint="eastAsia" w:cs="Times New Roman"/>
                      <w:color w:val="FF0000"/>
                      <w:kern w:val="2"/>
                      <w:sz w:val="21"/>
                      <w:szCs w:val="21"/>
                      <w:vertAlign w:val="baseline"/>
                      <w:lang w:val="en-US" w:eastAsia="zh-CN" w:bidi="ar-SA"/>
                    </w:rPr>
                    <w:t>厂</w:t>
                  </w:r>
                  <w:r>
                    <w:rPr>
                      <w:rFonts w:hint="eastAsia" w:ascii="Times New Roman" w:hAnsi="Times New Roman" w:eastAsia="宋体" w:cs="Times New Roman"/>
                      <w:color w:val="auto"/>
                      <w:kern w:val="2"/>
                      <w:sz w:val="21"/>
                      <w:szCs w:val="21"/>
                      <w:vertAlign w:val="baseline"/>
                      <w:lang w:val="en-US" w:eastAsia="zh-CN" w:bidi="ar-SA"/>
                    </w:rPr>
                    <w:t>废水总排口需安装在线自动监控系统，并与地方环保部门联网。新建、改造钢铁企业还需取得环境影响评价审批手续，配套建设的环境保护设施须与主体工程同时设计、同时施工、同时投入生产和使用，完成环境保护竣工验收手续。近两年内未发生重大环境污染事故或重大生态破坏时间。</w:t>
                  </w:r>
                </w:p>
              </w:tc>
              <w:tc>
                <w:tcPr>
                  <w:tcW w:w="2256"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项目为轧钢项目，无烧结机头、球团焙烧、焦炉和自备电站，项目加热炉已配套建设SCR脱硝+双碱法脱硫+湿式静电除尘设施。项目废水全部回用不外排。项目按照左栏要求进行三同时建设。</w:t>
                  </w:r>
                </w:p>
              </w:tc>
              <w:tc>
                <w:tcPr>
                  <w:tcW w:w="131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钢铁企业需做到达标排放。大气污染物排放须符合《钢铁烧结、球团工业大气污染物排放标准》（GB28662）、《炼铁工业大气污染物排放标准》（GB28663）、《炼钢工业大气污染物排放标准》（GB28664）、《轧钢工业大气污染物排放标准》（GB28665）和《炼焦化学工业污染物排放标准》（GB16171）的规定。</w:t>
                  </w:r>
                </w:p>
                <w:p>
                  <w:pPr>
                    <w:pStyle w:val="33"/>
                    <w:numPr>
                      <w:ilvl w:val="0"/>
                      <w:numId w:val="0"/>
                    </w:numPr>
                    <w:autoSpaceDE/>
                    <w:autoSpaceDN/>
                    <w:adjustRightInd/>
                    <w:jc w:val="both"/>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水污染物排放须符合《钢铁工业水污染物排放标准》（GB13456）的规定。</w:t>
                  </w:r>
                </w:p>
                <w:p>
                  <w:pPr>
                    <w:pStyle w:val="32"/>
                    <w:jc w:val="both"/>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固体废物污染控制须符合《一般工业固体废物贮存、处置场污染控制标准》（GB18599），危险废物污染控制须符合《危险废物贮存污染控制标准》（GB18597）的规定。</w:t>
                  </w:r>
                </w:p>
                <w:p>
                  <w:pPr>
                    <w:pStyle w:val="32"/>
                    <w:jc w:val="both"/>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噪声排放须符合《工业企业厂界环境噪声排放标准》（GB12348）的规定</w:t>
                  </w:r>
                </w:p>
              </w:tc>
              <w:tc>
                <w:tcPr>
                  <w:tcW w:w="2256"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项目为轧钢项目，项目废气排放符合《钢铁工业大气污染物排放标准》（DB</w:t>
                  </w:r>
                  <w:r>
                    <w:rPr>
                      <w:rFonts w:hint="eastAsia"/>
                      <w:color w:val="auto"/>
                      <w:sz w:val="21"/>
                      <w:lang w:val="en-US" w:eastAsia="zh-CN"/>
                    </w:rPr>
                    <w:t>37/990</w:t>
                  </w:r>
                  <w:r>
                    <w:rPr>
                      <w:rFonts w:hint="eastAsia" w:ascii="Times New Roman" w:hAnsi="Times New Roman" w:eastAsia="宋体"/>
                      <w:color w:val="auto"/>
                      <w:sz w:val="21"/>
                      <w:lang w:val="en-US" w:eastAsia="zh-CN"/>
                    </w:rPr>
                    <w:t>-2019）的规定。</w:t>
                  </w:r>
                </w:p>
                <w:p>
                  <w:pPr>
                    <w:pStyle w:val="32"/>
                    <w:jc w:val="both"/>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项目废水全部回用不外排。</w:t>
                  </w:r>
                </w:p>
                <w:p>
                  <w:pPr>
                    <w:pStyle w:val="32"/>
                    <w:jc w:val="both"/>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项目固废和噪声污染控制符合左栏要求</w:t>
                  </w:r>
                </w:p>
              </w:tc>
              <w:tc>
                <w:tcPr>
                  <w:tcW w:w="131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钢铁企业须持有排污许可证。企业污染物排放总量不得超过环保部门核定的总量控制指标。有污染物减排任务的企业，须落实减排措施，满足减排指标要求。</w:t>
                  </w:r>
                </w:p>
              </w:tc>
              <w:tc>
                <w:tcPr>
                  <w:tcW w:w="2256"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建设单位已申请排污许可证，证书编号913712007582741520001</w:t>
                  </w:r>
                  <w:r>
                    <w:rPr>
                      <w:rFonts w:hint="eastAsia" w:ascii="Times New Roman" w:hAnsi="Times New Roman" w:eastAsia="宋体" w:cs="Times New Roman"/>
                      <w:color w:val="auto"/>
                      <w:kern w:val="2"/>
                      <w:sz w:val="21"/>
                      <w:szCs w:val="21"/>
                      <w:highlight w:val="none"/>
                      <w:vertAlign w:val="baseline"/>
                      <w:lang w:val="en-US" w:eastAsia="zh-CN" w:bidi="ar-SA"/>
                    </w:rPr>
                    <w:t>R。项目已取得总量核准确认书</w:t>
                  </w:r>
                  <w:r>
                    <w:rPr>
                      <w:rFonts w:hint="eastAsia" w:cs="Times New Roman"/>
                      <w:color w:val="auto"/>
                      <w:kern w:val="2"/>
                      <w:sz w:val="21"/>
                      <w:szCs w:val="21"/>
                      <w:highlight w:val="none"/>
                      <w:vertAlign w:val="baseline"/>
                      <w:lang w:val="en-US" w:eastAsia="zh-CN" w:bidi="ar-SA"/>
                    </w:rPr>
                    <w:t>。</w:t>
                  </w:r>
                </w:p>
              </w:tc>
              <w:tc>
                <w:tcPr>
                  <w:tcW w:w="1313" w:type="dxa"/>
                  <w:noWrap w:val="0"/>
                  <w:vAlign w:val="center"/>
                </w:tcPr>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bl>
          <w:p>
            <w:pPr>
              <w:widowControl/>
              <w:snapToGrid w:val="0"/>
              <w:spacing w:line="360" w:lineRule="auto"/>
              <w:jc w:val="left"/>
              <w:rPr>
                <w:rFonts w:hint="default" w:ascii="Times New Roman" w:hAnsi="Times New Roman" w:cs="Times New Roman"/>
                <w:b/>
                <w:color w:val="auto"/>
                <w:sz w:val="28"/>
                <w:szCs w:val="28"/>
              </w:rPr>
            </w:pPr>
            <w:r>
              <w:rPr>
                <w:rFonts w:hint="eastAsia" w:cs="Times New Roman"/>
                <w:b/>
                <w:color w:val="auto"/>
                <w:sz w:val="28"/>
                <w:szCs w:val="28"/>
                <w:lang w:val="en-US" w:eastAsia="zh-CN"/>
              </w:rPr>
              <w:t>三</w:t>
            </w: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eastAsia="zh-CN"/>
              </w:rPr>
              <w:t>项目</w:t>
            </w:r>
            <w:r>
              <w:rPr>
                <w:rFonts w:hint="default" w:ascii="Times New Roman" w:hAnsi="Times New Roman" w:cs="Times New Roman"/>
                <w:b/>
                <w:color w:val="auto"/>
                <w:sz w:val="28"/>
                <w:szCs w:val="28"/>
              </w:rPr>
              <w:t>工程概况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1、项目建设地点</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2"/>
                <w:sz w:val="24"/>
                <w:szCs w:val="24"/>
              </w:rPr>
            </w:pPr>
            <w:r>
              <w:rPr>
                <w:rFonts w:hint="eastAsia" w:ascii="Times New Roman" w:hAnsi="Times New Roman" w:cs="Times New Roman"/>
                <w:bCs/>
                <w:color w:val="auto"/>
                <w:kern w:val="2"/>
                <w:sz w:val="24"/>
                <w:szCs w:val="24"/>
                <w:lang w:val="en-US" w:eastAsia="zh-CN"/>
              </w:rPr>
              <w:t>本</w:t>
            </w:r>
            <w:r>
              <w:rPr>
                <w:rFonts w:hint="default" w:ascii="Times New Roman" w:hAnsi="Times New Roman" w:cs="Times New Roman"/>
                <w:bCs/>
                <w:color w:val="auto"/>
                <w:kern w:val="2"/>
                <w:sz w:val="24"/>
                <w:szCs w:val="24"/>
              </w:rPr>
              <w:t>项目位</w:t>
            </w:r>
            <w:r>
              <w:rPr>
                <w:rFonts w:hint="default" w:ascii="Times New Roman" w:hAnsi="Times New Roman" w:cs="Times New Roman"/>
                <w:bCs/>
                <w:color w:val="auto"/>
                <w:kern w:val="2"/>
                <w:sz w:val="24"/>
                <w:szCs w:val="24"/>
                <w:highlight w:val="none"/>
              </w:rPr>
              <w:t>于</w:t>
            </w:r>
            <w:r>
              <w:rPr>
                <w:rFonts w:hint="eastAsia" w:ascii="Times New Roman" w:hAnsi="Times New Roman" w:cs="Times New Roman"/>
                <w:bCs w:val="0"/>
                <w:color w:val="auto"/>
                <w:kern w:val="2"/>
                <w:sz w:val="24"/>
                <w:szCs w:val="24"/>
                <w:highlight w:val="none"/>
                <w:lang w:val="en-US" w:eastAsia="zh-CN" w:bidi="ar-SA"/>
              </w:rPr>
              <w:t>济南市钢城区里辛街道北赵村</w:t>
            </w:r>
            <w:r>
              <w:rPr>
                <w:rFonts w:hint="default" w:ascii="Times New Roman" w:hAnsi="Times New Roman" w:cs="Times New Roman"/>
                <w:bCs w:val="0"/>
                <w:color w:val="auto"/>
                <w:kern w:val="2"/>
                <w:sz w:val="24"/>
                <w:szCs w:val="24"/>
                <w:lang w:val="en-US" w:eastAsia="zh-CN" w:bidi="ar-SA"/>
              </w:rPr>
              <w:t>，</w:t>
            </w:r>
            <w:r>
              <w:rPr>
                <w:rFonts w:hint="eastAsia" w:ascii="Times New Roman" w:hAnsi="Times New Roman" w:cs="Times New Roman"/>
                <w:bCs/>
                <w:color w:val="auto"/>
                <w:kern w:val="2"/>
                <w:sz w:val="24"/>
                <w:szCs w:val="24"/>
                <w:lang w:val="en-US" w:eastAsia="zh-CN"/>
              </w:rPr>
              <w:t>占地面积约28000平方米</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地理坐标</w:t>
            </w:r>
            <w:r>
              <w:rPr>
                <w:rFonts w:hint="default" w:ascii="Times New Roman" w:hAnsi="Times New Roman" w:cs="Times New Roman"/>
                <w:color w:val="auto"/>
                <w:sz w:val="24"/>
                <w:szCs w:val="24"/>
                <w:highlight w:val="none"/>
                <w:lang w:eastAsia="zh-CN"/>
              </w:rPr>
              <w:t>东经</w:t>
            </w:r>
            <w:r>
              <w:rPr>
                <w:rFonts w:hint="eastAsia" w:ascii="Times New Roman" w:hAnsi="Times New Roman" w:cs="Times New Roman"/>
                <w:color w:val="auto"/>
                <w:sz w:val="24"/>
                <w:szCs w:val="24"/>
                <w:highlight w:val="none"/>
                <w:lang w:val="en-US" w:eastAsia="zh-CN"/>
              </w:rPr>
              <w:t>117.799</w:t>
            </w:r>
            <w:r>
              <w:rPr>
                <w:rFonts w:hint="default" w:ascii="Times New Roman" w:hAnsi="Times New Roman" w:cs="Times New Roman"/>
                <w:color w:val="auto"/>
                <w:sz w:val="24"/>
                <w:szCs w:val="24"/>
                <w:highlight w:val="none"/>
                <w:lang w:val="en-US" w:eastAsia="zh-CN"/>
              </w:rPr>
              <w:t>°，北纬</w:t>
            </w:r>
            <w:r>
              <w:rPr>
                <w:rFonts w:hint="eastAsia" w:ascii="Times New Roman" w:hAnsi="Times New Roman" w:cs="Times New Roman"/>
                <w:color w:val="auto"/>
                <w:sz w:val="24"/>
                <w:szCs w:val="24"/>
                <w:highlight w:val="none"/>
                <w:lang w:val="en-US" w:eastAsia="zh-CN"/>
              </w:rPr>
              <w:t>36.096</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bCs/>
                <w:color w:val="auto"/>
                <w:kern w:val="2"/>
                <w:sz w:val="24"/>
                <w:szCs w:val="24"/>
              </w:rPr>
              <w:t>项目具体位置详见附图1。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2、项目建设性质</w:t>
            </w:r>
          </w:p>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2"/>
                <w:szCs w:val="24"/>
              </w:rPr>
            </w:pPr>
            <w:r>
              <w:rPr>
                <w:rFonts w:hint="eastAsia" w:ascii="Times New Roman" w:hAnsi="Times New Roman" w:cs="Times New Roman"/>
                <w:bCs/>
                <w:color w:val="auto"/>
                <w:kern w:val="2"/>
                <w:szCs w:val="24"/>
                <w:lang w:val="en-US" w:eastAsia="zh-CN"/>
              </w:rPr>
              <w:t>新建</w:t>
            </w:r>
            <w:r>
              <w:rPr>
                <w:rFonts w:hint="default" w:ascii="Times New Roman" w:hAnsi="Times New Roman" w:cs="Times New Roman"/>
                <w:bCs/>
                <w:color w:val="auto"/>
                <w:kern w:val="2"/>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3、</w:t>
            </w:r>
            <w:r>
              <w:rPr>
                <w:rFonts w:hint="eastAsia" w:cs="Times New Roman"/>
                <w:b/>
                <w:bCs/>
                <w:color w:val="auto"/>
                <w:kern w:val="0"/>
                <w:sz w:val="24"/>
                <w:lang w:val="en-US" w:eastAsia="zh-CN"/>
              </w:rPr>
              <w:t>项目</w:t>
            </w:r>
            <w:r>
              <w:rPr>
                <w:rFonts w:hint="default" w:ascii="Times New Roman" w:hAnsi="Times New Roman" w:cs="Times New Roman"/>
                <w:b/>
                <w:bCs/>
                <w:color w:val="auto"/>
                <w:kern w:val="0"/>
                <w:sz w:val="24"/>
                <w:lang w:val="en-US" w:eastAsia="zh-CN"/>
              </w:rPr>
              <w:t>生产规模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项目建设热轧生产线1条，机加工生产线1条，年生产各种型号热轧钢20万吨。</w:t>
            </w:r>
          </w:p>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8</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w:t>
            </w:r>
            <w:r>
              <w:rPr>
                <w:rFonts w:hint="eastAsia" w:ascii="Times New Roman" w:hAnsi="Times New Roman" w:cs="Times New Roman"/>
                <w:b/>
                <w:bCs/>
                <w:color w:val="auto"/>
                <w:sz w:val="21"/>
                <w:szCs w:val="21"/>
                <w:lang w:val="en-US" w:eastAsia="zh-CN"/>
              </w:rPr>
              <w:t>产品方案</w:t>
            </w:r>
            <w:r>
              <w:rPr>
                <w:rFonts w:hint="default" w:ascii="Times New Roman" w:hAnsi="Times New Roman" w:eastAsia="宋体" w:cs="Times New Roman"/>
                <w:b/>
                <w:bCs/>
                <w:color w:val="auto"/>
                <w:sz w:val="21"/>
                <w:szCs w:val="21"/>
                <w:lang w:val="en-US" w:eastAsia="zh-CN"/>
              </w:rPr>
              <w:t>组成一览表</w:t>
            </w:r>
          </w:p>
          <w:tbl>
            <w:tblPr>
              <w:tblStyle w:val="25"/>
              <w:tblW w:w="9394"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3226"/>
              <w:gridCol w:w="48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5" w:type="dxa"/>
                  <w:vMerge w:val="restart"/>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3226" w:type="dxa"/>
                  <w:vMerge w:val="restart"/>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产品名称</w:t>
                  </w:r>
                </w:p>
              </w:tc>
              <w:tc>
                <w:tcPr>
                  <w:tcW w:w="4823" w:type="dxa"/>
                  <w:tcBorders>
                    <w:tl2br w:val="nil"/>
                    <w:tr2bl w:val="nil"/>
                  </w:tcBorders>
                  <w:vAlign w:val="center"/>
                </w:tcPr>
                <w:p>
                  <w:pPr>
                    <w:pStyle w:val="2"/>
                    <w:spacing w:after="0"/>
                    <w:ind w:left="0" w:leftChars="0" w:firstLine="0" w:firstLineChars="0"/>
                    <w:jc w:val="center"/>
                    <w:rPr>
                      <w:rFonts w:hint="eastAsia" w:eastAsia="宋体"/>
                      <w:color w:val="auto"/>
                      <w:lang w:val="en-US" w:eastAsia="zh-CN"/>
                    </w:rPr>
                  </w:pPr>
                  <w:r>
                    <w:rPr>
                      <w:rFonts w:hint="eastAsia" w:ascii="Times New Roman" w:hAnsi="Times New Roman" w:cs="Times New Roman"/>
                      <w:b w:val="0"/>
                      <w:bCs w:val="0"/>
                      <w:color w:val="auto"/>
                      <w:sz w:val="21"/>
                      <w:szCs w:val="21"/>
                      <w:vertAlign w:val="baseline"/>
                      <w:lang w:val="en-US" w:eastAsia="zh-CN"/>
                    </w:rPr>
                    <w:t>年产量（t/a）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5" w:type="dxa"/>
                  <w:vMerge w:val="restart"/>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3226" w:type="dxa"/>
                  <w:vMerge w:val="restart"/>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槽钢</w:t>
                  </w:r>
                </w:p>
              </w:tc>
              <w:tc>
                <w:tcPr>
                  <w:tcW w:w="4823" w:type="dxa"/>
                  <w:tcBorders>
                    <w:tl2br w:val="nil"/>
                    <w:tr2bl w:val="nil"/>
                  </w:tcBorders>
                  <w:vAlign w:val="center"/>
                </w:tcPr>
                <w:p>
                  <w:pPr>
                    <w:pStyle w:val="2"/>
                    <w:spacing w:after="0"/>
                    <w:ind w:left="0" w:leftChars="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5" w:type="dxa"/>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3226" w:type="dxa"/>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方钢</w:t>
                  </w:r>
                </w:p>
              </w:tc>
              <w:tc>
                <w:tcPr>
                  <w:tcW w:w="4823" w:type="dxa"/>
                  <w:tcBorders>
                    <w:tl2br w:val="nil"/>
                    <w:tr2bl w:val="nil"/>
                  </w:tcBorders>
                  <w:vAlign w:val="center"/>
                </w:tcPr>
                <w:p>
                  <w:pPr>
                    <w:pStyle w:val="2"/>
                    <w:spacing w:after="0"/>
                    <w:ind w:left="0" w:leftChars="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5" w:type="dxa"/>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3226" w:type="dxa"/>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工字钢</w:t>
                  </w:r>
                </w:p>
              </w:tc>
              <w:tc>
                <w:tcPr>
                  <w:tcW w:w="4823" w:type="dxa"/>
                  <w:tcBorders>
                    <w:tl2br w:val="nil"/>
                    <w:tr2bl w:val="nil"/>
                  </w:tcBorders>
                  <w:vAlign w:val="center"/>
                </w:tcPr>
                <w:p>
                  <w:pPr>
                    <w:pStyle w:val="2"/>
                    <w:spacing w:after="0"/>
                    <w:ind w:left="0" w:leftChars="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5" w:type="dxa"/>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w:t>
                  </w:r>
                </w:p>
              </w:tc>
              <w:tc>
                <w:tcPr>
                  <w:tcW w:w="3226" w:type="dxa"/>
                  <w:tcBorders>
                    <w:tl2br w:val="nil"/>
                    <w:tr2bl w:val="nil"/>
                  </w:tcBorders>
                  <w:vAlign w:val="center"/>
                </w:tcPr>
                <w:p>
                  <w:pPr>
                    <w:pStyle w:val="2"/>
                    <w:spacing w:after="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管桩法兰</w:t>
                  </w:r>
                </w:p>
              </w:tc>
              <w:tc>
                <w:tcPr>
                  <w:tcW w:w="4823" w:type="dxa"/>
                  <w:tcBorders>
                    <w:tl2br w:val="nil"/>
                    <w:tr2bl w:val="nil"/>
                  </w:tcBorders>
                  <w:vAlign w:val="center"/>
                </w:tcPr>
                <w:p>
                  <w:pPr>
                    <w:pStyle w:val="2"/>
                    <w:spacing w:after="0"/>
                    <w:ind w:left="0" w:leftChars="0" w:firstLine="0" w:firstLineChars="0"/>
                    <w:jc w:val="center"/>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5" w:type="dxa"/>
                  <w:tcBorders>
                    <w:tl2br w:val="nil"/>
                    <w:tr2bl w:val="nil"/>
                  </w:tcBorders>
                  <w:vAlign w:val="center"/>
                </w:tcPr>
                <w:p>
                  <w:pPr>
                    <w:pStyle w:val="2"/>
                    <w:spacing w:after="0"/>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w:t>
                  </w:r>
                </w:p>
              </w:tc>
              <w:tc>
                <w:tcPr>
                  <w:tcW w:w="3226" w:type="dxa"/>
                  <w:tcBorders>
                    <w:tl2br w:val="nil"/>
                    <w:tr2bl w:val="nil"/>
                  </w:tcBorders>
                  <w:vAlign w:val="center"/>
                </w:tcPr>
                <w:p>
                  <w:pPr>
                    <w:pStyle w:val="2"/>
                    <w:spacing w:after="0"/>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总计</w:t>
                  </w:r>
                </w:p>
              </w:tc>
              <w:tc>
                <w:tcPr>
                  <w:tcW w:w="4823" w:type="dxa"/>
                  <w:tcBorders>
                    <w:tl2br w:val="nil"/>
                    <w:tr2bl w:val="nil"/>
                  </w:tcBorders>
                  <w:vAlign w:val="center"/>
                </w:tcPr>
                <w:p>
                  <w:pPr>
                    <w:pStyle w:val="2"/>
                    <w:spacing w:after="0"/>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20万</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auto"/>
                <w:kern w:val="0"/>
                <w:sz w:val="24"/>
                <w:lang w:val="en-US" w:eastAsia="zh-CN"/>
              </w:rPr>
            </w:pPr>
            <w:r>
              <w:rPr>
                <w:rFonts w:hint="eastAsia" w:cs="Times New Roman"/>
                <w:b/>
                <w:bCs/>
                <w:color w:val="auto"/>
                <w:kern w:val="0"/>
                <w:sz w:val="24"/>
                <w:lang w:val="en-US" w:eastAsia="zh-CN"/>
              </w:rPr>
              <w:t>4</w:t>
            </w:r>
            <w:r>
              <w:rPr>
                <w:rFonts w:hint="default" w:ascii="Times New Roman" w:hAnsi="Times New Roman" w:cs="Times New Roman"/>
                <w:b/>
                <w:bCs/>
                <w:color w:val="auto"/>
                <w:kern w:val="0"/>
                <w:sz w:val="24"/>
                <w:lang w:val="en-US" w:eastAsia="zh-CN"/>
              </w:rPr>
              <w:t>、项目工作制度</w:t>
            </w:r>
          </w:p>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Cs/>
                <w:strike w:val="0"/>
                <w:dstrike w:val="0"/>
                <w:color w:val="auto"/>
                <w:kern w:val="2"/>
                <w:szCs w:val="24"/>
                <w:highlight w:val="none"/>
                <w:lang w:val="en-US" w:eastAsia="zh-CN"/>
              </w:rPr>
            </w:pPr>
            <w:r>
              <w:rPr>
                <w:rFonts w:hint="eastAsia" w:ascii="Times New Roman" w:hAnsi="Times New Roman" w:cs="Times New Roman"/>
                <w:bCs/>
                <w:strike w:val="0"/>
                <w:dstrike w:val="0"/>
                <w:color w:val="auto"/>
                <w:kern w:val="2"/>
                <w:szCs w:val="24"/>
                <w:highlight w:val="none"/>
                <w:lang w:val="en-US" w:eastAsia="zh-CN"/>
              </w:rPr>
              <w:t>本项目定员200人；年工作360天，三班8小时工作制。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auto"/>
                <w:kern w:val="0"/>
                <w:sz w:val="24"/>
                <w:lang w:val="en-US" w:eastAsia="zh-CN"/>
              </w:rPr>
            </w:pPr>
            <w:r>
              <w:rPr>
                <w:rFonts w:hint="eastAsia" w:cs="Times New Roman"/>
                <w:b/>
                <w:bCs/>
                <w:color w:val="auto"/>
                <w:kern w:val="0"/>
                <w:sz w:val="24"/>
                <w:lang w:val="en-US" w:eastAsia="zh-CN"/>
              </w:rPr>
              <w:t>5</w:t>
            </w:r>
            <w:r>
              <w:rPr>
                <w:rFonts w:hint="default" w:ascii="Times New Roman" w:hAnsi="Times New Roman" w:cs="Times New Roman"/>
                <w:b/>
                <w:bCs/>
                <w:color w:val="auto"/>
                <w:kern w:val="0"/>
                <w:sz w:val="24"/>
                <w:lang w:val="en-US" w:eastAsia="zh-CN"/>
              </w:rPr>
              <w:t>、项目建设内容</w:t>
            </w:r>
          </w:p>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auto"/>
                <w:kern w:val="2"/>
                <w:szCs w:val="24"/>
              </w:rPr>
            </w:pPr>
            <w:r>
              <w:rPr>
                <w:rFonts w:hint="eastAsia" w:ascii="Times New Roman" w:hAnsi="Times New Roman" w:cs="Times New Roman"/>
                <w:bCs/>
                <w:color w:val="auto"/>
                <w:kern w:val="2"/>
                <w:szCs w:val="24"/>
                <w:lang w:val="en-US" w:eastAsia="zh-CN"/>
              </w:rPr>
              <w:t>5</w:t>
            </w:r>
            <w:r>
              <w:rPr>
                <w:rFonts w:hint="default" w:ascii="Times New Roman" w:hAnsi="Times New Roman" w:cs="Times New Roman"/>
                <w:bCs/>
                <w:color w:val="auto"/>
                <w:kern w:val="2"/>
                <w:szCs w:val="24"/>
              </w:rPr>
              <w:t>.1</w:t>
            </w:r>
            <w:r>
              <w:rPr>
                <w:rFonts w:hint="default" w:ascii="Times New Roman" w:hAnsi="Times New Roman" w:cs="Times New Roman"/>
                <w:bCs/>
                <w:color w:val="auto"/>
                <w:kern w:val="2"/>
                <w:szCs w:val="24"/>
                <w:lang w:val="en-US" w:eastAsia="zh-CN"/>
              </w:rPr>
              <w:t xml:space="preserve"> </w:t>
            </w:r>
            <w:r>
              <w:rPr>
                <w:rFonts w:hint="default" w:ascii="Times New Roman" w:hAnsi="Times New Roman" w:cs="Times New Roman"/>
                <w:bCs/>
                <w:color w:val="auto"/>
                <w:kern w:val="2"/>
                <w:szCs w:val="24"/>
                <w:lang w:eastAsia="zh-CN"/>
              </w:rPr>
              <w:t>项目组成</w:t>
            </w:r>
          </w:p>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Cs/>
                <w:color w:val="auto"/>
                <w:kern w:val="2"/>
                <w:szCs w:val="24"/>
              </w:rPr>
              <w:t>本项目</w:t>
            </w:r>
            <w:r>
              <w:rPr>
                <w:rFonts w:hint="eastAsia" w:ascii="Times New Roman" w:hAnsi="Times New Roman" w:cs="Times New Roman"/>
                <w:bCs/>
                <w:color w:val="auto"/>
                <w:kern w:val="2"/>
                <w:szCs w:val="24"/>
                <w:lang w:val="en-US" w:eastAsia="zh-CN"/>
              </w:rPr>
              <w:t>利用现有车间、仓库等</w:t>
            </w:r>
            <w:r>
              <w:rPr>
                <w:rFonts w:hint="default" w:ascii="Times New Roman" w:hAnsi="Times New Roman" w:cs="Times New Roman"/>
                <w:bCs/>
                <w:color w:val="auto"/>
                <w:kern w:val="2"/>
                <w:szCs w:val="24"/>
                <w:lang w:val="en-US" w:eastAsia="zh-CN"/>
              </w:rPr>
              <w:t>。</w:t>
            </w:r>
            <w:r>
              <w:rPr>
                <w:rFonts w:hint="default" w:ascii="Times New Roman" w:hAnsi="Times New Roman" w:cs="Times New Roman"/>
                <w:bCs/>
                <w:color w:val="auto"/>
                <w:kern w:val="2"/>
                <w:szCs w:val="24"/>
                <w:lang w:eastAsia="zh-CN"/>
              </w:rPr>
              <w:t>项目平面布置详见</w:t>
            </w:r>
            <w:r>
              <w:rPr>
                <w:rFonts w:hint="default" w:ascii="Times New Roman" w:hAnsi="Times New Roman" w:cs="Times New Roman"/>
                <w:b w:val="0"/>
                <w:bCs/>
                <w:color w:val="auto"/>
                <w:kern w:val="2"/>
                <w:szCs w:val="24"/>
                <w:lang w:eastAsia="zh-CN"/>
              </w:rPr>
              <w:t>附图</w:t>
            </w:r>
            <w:r>
              <w:rPr>
                <w:rFonts w:hint="default" w:ascii="Times New Roman" w:hAnsi="Times New Roman" w:cs="Times New Roman"/>
                <w:b w:val="0"/>
                <w:bCs/>
                <w:color w:val="auto"/>
                <w:kern w:val="2"/>
                <w:szCs w:val="24"/>
                <w:lang w:val="en-US" w:eastAsia="zh-CN"/>
              </w:rPr>
              <w:t>2</w:t>
            </w:r>
            <w:r>
              <w:rPr>
                <w:rFonts w:hint="default" w:ascii="Times New Roman" w:hAnsi="Times New Roman" w:cs="Times New Roman"/>
                <w:b w:val="0"/>
                <w:bCs/>
                <w:color w:val="auto"/>
                <w:kern w:val="2"/>
                <w:szCs w:val="24"/>
                <w:lang w:eastAsia="zh-CN"/>
              </w:rPr>
              <w:t>。</w:t>
            </w:r>
          </w:p>
          <w:p>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9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项目工程组成一览表</w:t>
            </w:r>
          </w:p>
          <w:tbl>
            <w:tblPr>
              <w:tblStyle w:val="24"/>
              <w:tblW w:w="93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396"/>
              <w:gridCol w:w="6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4" w:hRule="atLeast"/>
                <w:jc w:val="center"/>
              </w:trPr>
              <w:tc>
                <w:tcPr>
                  <w:tcW w:w="27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项目组成</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轧钢车间</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位于厂区</w:t>
                  </w:r>
                  <w:r>
                    <w:rPr>
                      <w:rFonts w:hint="eastAsia" w:cs="Times New Roman"/>
                      <w:color w:val="auto"/>
                      <w:sz w:val="21"/>
                      <w:szCs w:val="21"/>
                      <w:highlight w:val="none"/>
                      <w:lang w:val="en-US" w:eastAsia="zh-CN"/>
                    </w:rPr>
                    <w:t>南部，面积约7500m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布置轧钢生产线1条和机加工生产线1条，以钢坯为原料，经过加热、开坯、连轧、精轧、缓冷、矫直、切割等工序生产槽钢、方钢、工字钢等热轧钢材；经过加热、开坯、连轧、精轧、辊道立钢、卷机成型、切割、焊接撵平、车削钻孔等工序，生产管桩法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机加工车间</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在厂区西北部，设立机加工车间2座，面积约2500m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，布置车床、锯床、铣床等机加工设备，用于管桩法兰等的深加工。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储运工程</w:t>
                  </w: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仓库</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w:t>
                  </w:r>
                  <w:r>
                    <w:rPr>
                      <w:rFonts w:hint="eastAsia" w:cs="Times New Roman"/>
                      <w:color w:val="auto"/>
                      <w:sz w:val="21"/>
                      <w:szCs w:val="21"/>
                      <w:highlight w:val="none"/>
                      <w:lang w:val="en-US" w:eastAsia="zh-CN"/>
                    </w:rPr>
                    <w:t>轧钢车间南侧、西侧和厂区北部分别有三处仓库，面积约3000m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，用于成品钢的存放</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3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lang w:eastAsia="zh-CN"/>
                    </w:rPr>
                  </w:pP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原料存放场</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w:t>
                  </w:r>
                  <w:r>
                    <w:rPr>
                      <w:rFonts w:hint="eastAsia" w:cs="Times New Roman"/>
                      <w:color w:val="auto"/>
                      <w:sz w:val="21"/>
                      <w:szCs w:val="21"/>
                      <w:highlight w:val="none"/>
                      <w:lang w:val="en-US" w:eastAsia="zh-CN"/>
                    </w:rPr>
                    <w:t>轧钢车间西侧，为露天场地，面积约4000m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，用于原料钢材的存放</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3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辅助工程</w:t>
                  </w: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办公</w:t>
                  </w:r>
                  <w:r>
                    <w:rPr>
                      <w:rFonts w:hint="eastAsia" w:ascii="Times New Roman" w:hAnsi="Times New Roman" w:eastAsia="宋体" w:cs="Times New Roman"/>
                      <w:color w:val="auto"/>
                      <w:sz w:val="21"/>
                      <w:szCs w:val="21"/>
                      <w:lang w:val="en-US" w:eastAsia="zh-CN"/>
                    </w:rPr>
                    <w:t>楼</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位于厂区</w:t>
                  </w:r>
                  <w:r>
                    <w:rPr>
                      <w:rFonts w:hint="eastAsia" w:cs="Times New Roman"/>
                      <w:color w:val="auto"/>
                      <w:sz w:val="21"/>
                      <w:szCs w:val="21"/>
                      <w:lang w:val="en-US" w:eastAsia="zh-CN"/>
                    </w:rPr>
                    <w:t>北部</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占地</w:t>
                  </w:r>
                  <w:r>
                    <w:rPr>
                      <w:rFonts w:hint="eastAsia" w:ascii="Times New Roman" w:hAnsi="Times New Roman" w:eastAsia="宋体" w:cs="Times New Roman"/>
                      <w:color w:val="auto"/>
                      <w:sz w:val="21"/>
                      <w:szCs w:val="21"/>
                      <w:lang w:val="en-US" w:eastAsia="zh-CN"/>
                    </w:rPr>
                    <w:t>面积</w:t>
                  </w:r>
                  <w:r>
                    <w:rPr>
                      <w:rFonts w:hint="eastAsia" w:cs="Times New Roman"/>
                      <w:color w:val="auto"/>
                      <w:sz w:val="21"/>
                      <w:szCs w:val="21"/>
                      <w:lang w:val="en-US" w:eastAsia="zh-CN"/>
                    </w:rPr>
                    <w:t>约1</w:t>
                  </w:r>
                  <w:r>
                    <w:rPr>
                      <w:rFonts w:hint="eastAsia" w:ascii="Times New Roman" w:hAnsi="Times New Roman" w:eastAsia="宋体" w:cs="Times New Roman"/>
                      <w:color w:val="auto"/>
                      <w:sz w:val="21"/>
                      <w:szCs w:val="21"/>
                      <w:lang w:val="en-US" w:eastAsia="zh-CN"/>
                    </w:rPr>
                    <w:t>000平方米，主要用于员工办公</w:t>
                  </w:r>
                  <w:r>
                    <w:rPr>
                      <w:rFonts w:hint="default" w:ascii="Times New Roman" w:hAnsi="Times New Roman" w:eastAsia="宋体"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3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新鲜水</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val="en-US" w:eastAsia="zh-CN"/>
                    </w:rPr>
                    <w:t>本项目用水量为</w:t>
                  </w:r>
                  <w:r>
                    <w:rPr>
                      <w:rFonts w:hint="eastAsia" w:cs="Times New Roman"/>
                      <w:color w:val="auto"/>
                      <w:sz w:val="21"/>
                      <w:szCs w:val="21"/>
                      <w:highlight w:val="none"/>
                      <w:lang w:val="en-US" w:eastAsia="zh-CN"/>
                    </w:rPr>
                    <w:t>35000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/a，主要是生</w:t>
                  </w:r>
                  <w:r>
                    <w:rPr>
                      <w:rFonts w:hint="eastAsia" w:ascii="Times New Roman" w:hAnsi="Times New Roman" w:eastAsia="宋体" w:cs="Times New Roman"/>
                      <w:color w:val="auto"/>
                      <w:sz w:val="21"/>
                      <w:szCs w:val="21"/>
                      <w:lang w:val="en-US" w:eastAsia="zh-CN"/>
                    </w:rPr>
                    <w:t>产用水及职工生活用水</w:t>
                  </w:r>
                  <w:r>
                    <w:rPr>
                      <w:rFonts w:hint="default" w:ascii="Times New Roman" w:hAnsi="Times New Roman" w:eastAsia="宋体"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供</w:t>
                  </w:r>
                  <w:r>
                    <w:rPr>
                      <w:rFonts w:hint="default" w:ascii="Times New Roman" w:hAnsi="Times New Roman" w:eastAsia="宋体" w:cs="Times New Roman"/>
                      <w:color w:val="auto"/>
                      <w:sz w:val="21"/>
                      <w:szCs w:val="21"/>
                    </w:rPr>
                    <w:t>电</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eastAsia="zh-CN"/>
                    </w:rPr>
                    <w:t>本</w:t>
                  </w:r>
                  <w:r>
                    <w:rPr>
                      <w:rFonts w:hint="eastAsia"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年用电量约</w:t>
                  </w: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lang w:val="en-US" w:eastAsia="zh-CN"/>
                    </w:rPr>
                    <w:t>万</w:t>
                  </w:r>
                  <w:r>
                    <w:rPr>
                      <w:rFonts w:hint="default" w:ascii="Times New Roman" w:hAnsi="Times New Roman" w:eastAsia="宋体" w:cs="Times New Roman"/>
                      <w:color w:val="auto"/>
                      <w:sz w:val="21"/>
                      <w:szCs w:val="21"/>
                      <w:highlight w:val="none"/>
                    </w:rPr>
                    <w:t>度，由</w:t>
                  </w:r>
                  <w:r>
                    <w:rPr>
                      <w:rFonts w:hint="eastAsia" w:cs="Times New Roman"/>
                      <w:color w:val="auto"/>
                      <w:sz w:val="21"/>
                      <w:szCs w:val="21"/>
                      <w:highlight w:val="none"/>
                      <w:lang w:val="en-US" w:eastAsia="zh-CN"/>
                    </w:rPr>
                    <w:t>里辛街道</w:t>
                  </w:r>
                  <w:r>
                    <w:rPr>
                      <w:rFonts w:hint="eastAsia" w:ascii="Times New Roman" w:hAnsi="Times New Roman" w:eastAsia="宋体" w:cs="Times New Roman"/>
                      <w:color w:val="auto"/>
                      <w:sz w:val="21"/>
                      <w:szCs w:val="21"/>
                      <w:highlight w:val="none"/>
                      <w:lang w:val="en-US" w:eastAsia="zh-CN"/>
                    </w:rPr>
                    <w:t>供电系统供给，厂区自建配电室</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rPr>
                  </w:pP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供气</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年用</w:t>
                  </w:r>
                  <w:r>
                    <w:rPr>
                      <w:rFonts w:hint="eastAsia" w:cs="Times New Roman"/>
                      <w:color w:val="auto"/>
                      <w:sz w:val="21"/>
                      <w:szCs w:val="21"/>
                      <w:lang w:val="en-US" w:eastAsia="zh-CN"/>
                    </w:rPr>
                    <w:t>焦炉煤气</w:t>
                  </w:r>
                  <w:r>
                    <w:rPr>
                      <w:rFonts w:hint="default" w:ascii="Times New Roman" w:hAnsi="Times New Roman" w:eastAsia="宋体" w:cs="Times New Roman"/>
                      <w:color w:val="auto"/>
                      <w:sz w:val="21"/>
                      <w:szCs w:val="21"/>
                      <w:highlight w:val="none"/>
                      <w:lang w:val="en-US" w:eastAsia="zh-CN"/>
                    </w:rPr>
                    <w:t>量为</w:t>
                  </w:r>
                  <w:r>
                    <w:rPr>
                      <w:rFonts w:hint="eastAsia" w:cs="Times New Roman"/>
                      <w:color w:val="auto"/>
                      <w:sz w:val="21"/>
                      <w:szCs w:val="21"/>
                      <w:highlight w:val="none"/>
                      <w:lang w:val="en-US" w:eastAsia="zh-CN"/>
                    </w:rPr>
                    <w:t>960</w:t>
                  </w:r>
                  <w:r>
                    <w:rPr>
                      <w:rFonts w:hint="default" w:ascii="Times New Roman" w:hAnsi="Times New Roman" w:eastAsia="宋体" w:cs="Times New Roman"/>
                      <w:color w:val="auto"/>
                      <w:sz w:val="21"/>
                      <w:szCs w:val="21"/>
                      <w:highlight w:val="none"/>
                      <w:lang w:val="en-US" w:eastAsia="zh-CN"/>
                    </w:rPr>
                    <w:t>万</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，使用</w:t>
                  </w:r>
                  <w:r>
                    <w:rPr>
                      <w:rFonts w:hint="eastAsia" w:cs="Times New Roman"/>
                      <w:color w:val="auto"/>
                      <w:sz w:val="21"/>
                      <w:szCs w:val="21"/>
                      <w:lang w:val="en-US" w:eastAsia="zh-CN"/>
                    </w:rPr>
                    <w:t>莱钢集团的焦炉煤气</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由管道输送，</w:t>
                  </w:r>
                  <w:r>
                    <w:rPr>
                      <w:rFonts w:hint="eastAsia" w:ascii="Times New Roman" w:hAnsi="Times New Roman" w:eastAsia="宋体" w:cs="Times New Roman"/>
                      <w:color w:val="auto"/>
                      <w:sz w:val="21"/>
                      <w:szCs w:val="21"/>
                      <w:lang w:val="en-US" w:eastAsia="zh-CN"/>
                    </w:rPr>
                    <w:t>厂区内不设储罐</w:t>
                  </w: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rPr>
                  </w:pP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排水</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雨污分流制，分别建设雨水排水管网和污水排水</w:t>
                  </w:r>
                  <w:r>
                    <w:rPr>
                      <w:rFonts w:hint="eastAsia" w:ascii="Times New Roman" w:hAnsi="Times New Roman" w:eastAsia="宋体" w:cs="Times New Roman"/>
                      <w:color w:val="auto"/>
                      <w:sz w:val="21"/>
                      <w:szCs w:val="21"/>
                      <w:lang w:val="en-US" w:eastAsia="zh-CN"/>
                    </w:rPr>
                    <w:t>管网</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项目生产用水全部循环使用，生活用水经</w:t>
                  </w:r>
                  <w:r>
                    <w:rPr>
                      <w:rFonts w:hint="eastAsia" w:cs="Times New Roman"/>
                      <w:color w:val="auto"/>
                      <w:sz w:val="21"/>
                      <w:szCs w:val="21"/>
                      <w:lang w:val="en-US" w:eastAsia="zh-CN"/>
                    </w:rPr>
                    <w:t>自建的污水处理设施处理后回用，不外排</w:t>
                  </w: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废水</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项目生产用水全部循环使用，生活用水经</w:t>
                  </w:r>
                  <w:r>
                    <w:rPr>
                      <w:rFonts w:hint="eastAsia" w:cs="Times New Roman"/>
                      <w:color w:val="auto"/>
                      <w:sz w:val="21"/>
                      <w:szCs w:val="21"/>
                      <w:lang w:val="en-US" w:eastAsia="zh-CN"/>
                    </w:rPr>
                    <w:t>厂区自建的污水处理站处理后回用</w:t>
                  </w:r>
                  <w:r>
                    <w:rPr>
                      <w:rFonts w:hint="eastAsia" w:ascii="Times New Roman" w:hAnsi="Times New Roman" w:eastAsia="宋体" w:cs="Times New Roman"/>
                      <w:color w:val="auto"/>
                      <w:sz w:val="21"/>
                      <w:szCs w:val="21"/>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项目废气</w:t>
                  </w:r>
                  <w:r>
                    <w:rPr>
                      <w:rFonts w:hint="default" w:ascii="Times New Roman" w:hAnsi="Times New Roman" w:eastAsia="宋体"/>
                      <w:color w:val="auto"/>
                      <w:lang w:eastAsia="zh-CN"/>
                    </w:rPr>
                    <w:t>主要是</w:t>
                  </w:r>
                  <w:r>
                    <w:rPr>
                      <w:rFonts w:hint="eastAsia"/>
                      <w:color w:val="auto"/>
                      <w:lang w:val="en-US" w:eastAsia="zh-CN"/>
                    </w:rPr>
                    <w:t>加热炉使用的焦炉煤气燃烧产生的废气以及焊接产生的焊接烟尘</w:t>
                  </w:r>
                  <w:r>
                    <w:rPr>
                      <w:rFonts w:hint="default" w:ascii="Times New Roman" w:hAnsi="Times New Roman" w:eastAsia="宋体"/>
                      <w:color w:val="auto"/>
                      <w:lang w:val="en-US" w:eastAsia="zh-CN"/>
                    </w:rPr>
                    <w:t>。</w:t>
                  </w:r>
                </w:p>
                <w:p>
                  <w:pPr>
                    <w:pStyle w:val="2"/>
                    <w:spacing w:after="0"/>
                    <w:ind w:left="0" w:leftChars="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有组织废气：</w:t>
                  </w:r>
                </w:p>
                <w:p>
                  <w:pPr>
                    <w:pStyle w:val="2"/>
                    <w:numPr>
                      <w:ilvl w:val="-1"/>
                      <w:numId w:val="0"/>
                    </w:numPr>
                    <w:spacing w:after="0"/>
                    <w:ind w:left="0" w:leftChars="0" w:firstLine="0" w:firstLineChars="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加热炉焦炉煤气燃烧废气经SCR脱硝设施+双碱法脱硫+湿式静电除尘施处理后经22m排气筒排放</w:t>
                  </w:r>
                  <w:r>
                    <w:rPr>
                      <w:rFonts w:hint="eastAsia" w:ascii="Times New Roman" w:hAnsi="Times New Roman" w:eastAsia="宋体" w:cs="Times New Roman"/>
                      <w:color w:val="auto"/>
                      <w:sz w:val="21"/>
                      <w:szCs w:val="21"/>
                      <w:highlight w:val="none"/>
                      <w:lang w:val="en-US" w:eastAsia="zh-CN"/>
                    </w:rPr>
                    <w:t>。</w:t>
                  </w:r>
                </w:p>
                <w:p>
                  <w:pPr>
                    <w:pStyle w:val="2"/>
                    <w:numPr>
                      <w:ilvl w:val="-1"/>
                      <w:numId w:val="0"/>
                    </w:numPr>
                    <w:spacing w:after="0"/>
                    <w:ind w:left="0" w:leftChars="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无组织废气：</w:t>
                  </w:r>
                </w:p>
                <w:p>
                  <w:pPr>
                    <w:pStyle w:val="2"/>
                    <w:numPr>
                      <w:ilvl w:val="-1"/>
                      <w:numId w:val="0"/>
                    </w:numPr>
                    <w:spacing w:after="0"/>
                    <w:ind w:left="0" w:lef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项目无组织废气主要为</w:t>
                  </w:r>
                  <w:r>
                    <w:rPr>
                      <w:rFonts w:hint="eastAsia" w:cs="Times New Roman"/>
                      <w:color w:val="auto"/>
                      <w:sz w:val="21"/>
                      <w:szCs w:val="21"/>
                      <w:lang w:val="en-US" w:eastAsia="zh-CN"/>
                    </w:rPr>
                    <w:t>焊接过程产生的焊接烟尘，经移动式烟尘净化器处理后无组织排放</w:t>
                  </w: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项目产生的固废主要是</w:t>
                  </w:r>
                  <w:r>
                    <w:rPr>
                      <w:rFonts w:hint="eastAsia" w:cs="Times New Roman"/>
                      <w:color w:val="auto"/>
                      <w:sz w:val="21"/>
                      <w:szCs w:val="21"/>
                      <w:lang w:val="en-US" w:eastAsia="zh-CN"/>
                    </w:rPr>
                    <w:t>氧化铁皮、废钢料头、</w:t>
                  </w:r>
                  <w:r>
                    <w:rPr>
                      <w:rFonts w:hint="eastAsia" w:cs="Times New Roman"/>
                      <w:color w:val="FF0000"/>
                      <w:sz w:val="21"/>
                      <w:szCs w:val="21"/>
                      <w:lang w:val="en-US" w:eastAsia="zh-CN"/>
                    </w:rPr>
                    <w:t>废铁屑、</w:t>
                  </w:r>
                  <w:r>
                    <w:rPr>
                      <w:rFonts w:hint="eastAsia" w:cs="Times New Roman"/>
                      <w:color w:val="auto"/>
                      <w:sz w:val="21"/>
                      <w:szCs w:val="21"/>
                      <w:lang w:val="en-US" w:eastAsia="zh-CN"/>
                    </w:rPr>
                    <w:t>废油桶、脱硫石膏、废催化剂、</w:t>
                  </w:r>
                  <w:r>
                    <w:rPr>
                      <w:rFonts w:hint="eastAsia" w:ascii="Times New Roman" w:hAnsi="Times New Roman" w:eastAsia="宋体" w:cs="Times New Roman"/>
                      <w:color w:val="auto"/>
                      <w:sz w:val="21"/>
                      <w:szCs w:val="21"/>
                      <w:lang w:val="en-US" w:eastAsia="zh-CN"/>
                    </w:rPr>
                    <w:t>职工生活垃圾。</w:t>
                  </w:r>
                  <w:r>
                    <w:rPr>
                      <w:rFonts w:hint="eastAsia" w:cs="Times New Roman"/>
                      <w:color w:val="auto"/>
                      <w:sz w:val="21"/>
                      <w:szCs w:val="21"/>
                      <w:lang w:val="en-US" w:eastAsia="zh-CN"/>
                    </w:rPr>
                    <w:t>氧化铁皮、废钢料头、</w:t>
                  </w:r>
                  <w:r>
                    <w:rPr>
                      <w:rFonts w:hint="eastAsia" w:cs="Times New Roman"/>
                      <w:color w:val="FF0000"/>
                      <w:sz w:val="21"/>
                      <w:szCs w:val="21"/>
                      <w:lang w:val="en-US" w:eastAsia="zh-CN"/>
                    </w:rPr>
                    <w:t>废铁屑、</w:t>
                  </w:r>
                  <w:r>
                    <w:rPr>
                      <w:rFonts w:hint="eastAsia" w:cs="Times New Roman"/>
                      <w:color w:val="auto"/>
                      <w:sz w:val="21"/>
                      <w:szCs w:val="21"/>
                      <w:lang w:val="en-US" w:eastAsia="zh-CN"/>
                    </w:rPr>
                    <w:t>脱硫石膏等外售物资回收单位综合利用，废催化剂、废油桶暂存入危废暂存间，委托有资质单位处置，生活垃圾委托环卫部门定期清运</w:t>
                  </w: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p>
              </w:tc>
              <w:tc>
                <w:tcPr>
                  <w:tcW w:w="13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6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通过采用低噪声设备，加装减震垫，加强运转部件的润滑可以使厂界噪声达标排放。</w:t>
                  </w:r>
                </w:p>
              </w:tc>
            </w:tr>
          </w:tbl>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auto"/>
                <w:kern w:val="2"/>
                <w:szCs w:val="24"/>
              </w:rPr>
            </w:pPr>
            <w:r>
              <w:rPr>
                <w:rFonts w:hint="eastAsia" w:ascii="Times New Roman" w:hAnsi="Times New Roman" w:cs="Times New Roman"/>
                <w:bCs/>
                <w:color w:val="auto"/>
                <w:kern w:val="2"/>
                <w:szCs w:val="24"/>
                <w:lang w:val="en-US" w:eastAsia="zh-CN"/>
              </w:rPr>
              <w:t>5</w:t>
            </w:r>
            <w:r>
              <w:rPr>
                <w:rFonts w:hint="default" w:ascii="Times New Roman" w:hAnsi="Times New Roman" w:cs="Times New Roman"/>
                <w:bCs/>
                <w:color w:val="auto"/>
                <w:kern w:val="2"/>
                <w:szCs w:val="24"/>
              </w:rPr>
              <w:t>.2</w:t>
            </w:r>
            <w:r>
              <w:rPr>
                <w:rFonts w:hint="default" w:ascii="Times New Roman" w:hAnsi="Times New Roman" w:cs="Times New Roman"/>
                <w:bCs/>
                <w:color w:val="auto"/>
                <w:kern w:val="2"/>
                <w:szCs w:val="24"/>
                <w:lang w:val="en-US" w:eastAsia="zh-CN"/>
              </w:rPr>
              <w:t xml:space="preserve"> </w:t>
            </w:r>
            <w:r>
              <w:rPr>
                <w:rFonts w:hint="default" w:ascii="Times New Roman" w:hAnsi="Times New Roman" w:cs="Times New Roman"/>
                <w:bCs/>
                <w:color w:val="auto"/>
                <w:kern w:val="2"/>
                <w:szCs w:val="24"/>
              </w:rPr>
              <w:t>设备清单</w:t>
            </w:r>
          </w:p>
          <w:p>
            <w:pPr>
              <w:spacing w:line="360" w:lineRule="auto"/>
              <w:jc w:val="center"/>
              <w:rPr>
                <w:rFonts w:hint="default" w:ascii="Times New Roman" w:hAnsi="Times New Roman" w:cs="Times New Roman"/>
                <w:b/>
                <w:bCs w:val="0"/>
                <w:color w:val="auto"/>
                <w:sz w:val="21"/>
                <w:szCs w:val="21"/>
                <w:lang w:val="en-GB" w:eastAsia="zh-CN"/>
              </w:rPr>
            </w:pPr>
            <w:r>
              <w:rPr>
                <w:rFonts w:hint="default" w:ascii="Times New Roman" w:hAnsi="Times New Roman" w:cs="Times New Roman"/>
                <w:b/>
                <w:bCs w:val="0"/>
                <w:color w:val="auto"/>
                <w:sz w:val="21"/>
                <w:szCs w:val="21"/>
                <w:lang w:val="en-GB" w:eastAsia="zh-CN"/>
              </w:rPr>
              <w:t>表</w:t>
            </w:r>
            <w:r>
              <w:rPr>
                <w:rFonts w:hint="default" w:ascii="Times New Roman" w:hAnsi="Times New Roman" w:cs="Times New Roman"/>
                <w:b/>
                <w:bCs w:val="0"/>
                <w:color w:val="auto"/>
                <w:sz w:val="21"/>
                <w:szCs w:val="21"/>
                <w:lang w:val="en-US" w:eastAsia="zh-CN"/>
              </w:rPr>
              <w:t>1-</w:t>
            </w:r>
            <w:r>
              <w:rPr>
                <w:rFonts w:hint="eastAsia" w:cs="Times New Roman"/>
                <w:b/>
                <w:bCs w:val="0"/>
                <w:color w:val="auto"/>
                <w:sz w:val="21"/>
                <w:szCs w:val="21"/>
                <w:lang w:val="en-US" w:eastAsia="zh-CN"/>
              </w:rPr>
              <w:t>10</w:t>
            </w:r>
            <w:r>
              <w:rPr>
                <w:rFonts w:hint="default" w:ascii="Times New Roman" w:hAnsi="Times New Roman" w:cs="Times New Roman"/>
                <w:b/>
                <w:bCs w:val="0"/>
                <w:color w:val="auto"/>
                <w:sz w:val="21"/>
                <w:szCs w:val="21"/>
                <w:lang w:val="en-US" w:eastAsia="zh-CN"/>
              </w:rPr>
              <w:t xml:space="preserve"> </w:t>
            </w:r>
            <w:r>
              <w:rPr>
                <w:rFonts w:hint="default" w:ascii="Times New Roman" w:hAnsi="Times New Roman" w:cs="Times New Roman"/>
                <w:b/>
                <w:bCs w:val="0"/>
                <w:color w:val="auto"/>
                <w:sz w:val="21"/>
                <w:szCs w:val="21"/>
                <w:lang w:val="en-GB" w:eastAsia="zh-CN"/>
              </w:rPr>
              <w:t>主要生产设备</w:t>
            </w:r>
          </w:p>
          <w:tbl>
            <w:tblPr>
              <w:tblStyle w:val="24"/>
              <w:tblW w:w="93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060"/>
              <w:gridCol w:w="2982"/>
              <w:gridCol w:w="1229"/>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序号</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项目名称</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规格型号</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台（</w:t>
                  </w:r>
                  <w:r>
                    <w:rPr>
                      <w:rFonts w:hint="eastAsia" w:ascii="Times New Roman" w:hAnsi="Times New Roman" w:eastAsia="宋体" w:cs="宋体"/>
                      <w:color w:val="auto"/>
                      <w:kern w:val="0"/>
                      <w:sz w:val="21"/>
                      <w:szCs w:val="22"/>
                      <w:lang w:val="en-US" w:eastAsia="zh-CN"/>
                    </w:rPr>
                    <w:t>套、架</w:t>
                  </w:r>
                  <w:r>
                    <w:rPr>
                      <w:rFonts w:hint="eastAsia" w:ascii="Times New Roman" w:hAnsi="Times New Roman" w:eastAsia="宋体" w:cs="宋体"/>
                      <w:color w:val="auto"/>
                      <w:kern w:val="0"/>
                      <w:sz w:val="21"/>
                      <w:szCs w:val="22"/>
                    </w:rPr>
                    <w:t>）</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520轧机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Φ520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2</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420连轧机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Φ420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3</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380连轧机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Φ380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4</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300立轧机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Φ300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5</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2#飞剪</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6</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冷床设备</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7</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矫直机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500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8</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冷锯生产线</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1000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9</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循环水泵机组</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150BWZG185-42A</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10</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配电系统-高压配电</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6KV</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配电系统-高压配电</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35KV</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12</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配电系统-高压开关柜</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KYN61-40.5</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13</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配电系统-高压开关柜</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XGN2-12</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14</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配电系统-轧钢厂35KV外线</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15</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配电系统-低压配电</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1250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16</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配电系统-油浸式变压器</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S11-6300 35kv/6kv</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17</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配电系统-整流变压器</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6KV/660V</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18</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配电系统-低压变压器</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1250KVA</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19</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配电系统-无功补偿器</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rPr>
                    <w:t>20</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配电系统-加热炉风机配电柜</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GGD</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配电系统-加热炉推钢机配电柜</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GGD</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22</w:t>
                  </w:r>
                </w:p>
              </w:tc>
              <w:tc>
                <w:tcPr>
                  <w:tcW w:w="306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rPr>
                  </w:pPr>
                  <w:r>
                    <w:rPr>
                      <w:rFonts w:hint="eastAsia" w:ascii="Times New Roman" w:hAnsi="Times New Roman" w:eastAsia="宋体" w:cs="宋体"/>
                      <w:color w:val="auto"/>
                      <w:kern w:val="0"/>
                      <w:sz w:val="21"/>
                      <w:szCs w:val="22"/>
                      <w:lang w:val="en-US" w:eastAsia="zh-CN"/>
                    </w:rPr>
                    <w:t>配电系统-轧钢生产线配电系统</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23</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空压机设备</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Y09011-284</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24</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电磁吸盘强磁控制柜</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MW42-150110L/1</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25</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液压剪切机1</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400T</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26</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水阻柜</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JYQ</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27</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风机设备机列</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28</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循环水泵</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1.5GC5*4</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29</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工艺导卫件</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30</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监控系统</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数字化</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C630马鞍车床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C630-1BM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32</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加高车床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C630-1BM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33</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双头连铸辊堆焊机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ZGD—2500</w:t>
                  </w:r>
                </w:p>
              </w:tc>
              <w:tc>
                <w:tcPr>
                  <w:tcW w:w="1229"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34</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300二连轧机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Φ300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35</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300二连轧稀油站</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XYZ-125G</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36</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32T单梁门式起重机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32吨</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37</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35mm立式钻床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Z5135</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38</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450稀油站</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XYZ-125G</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39</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GGD控制柜--轧钢</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GGD</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40</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扁钢工艺电气</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变压器(200KVA)</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s9-200KVA</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42</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标距仪</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DK-400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43</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标牌焊机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RZC-03</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44</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步进式冷床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9m*10m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45</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出钢机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1t</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46</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单梁吊车</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5t*10.5m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47</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电磁吸盘</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15吨</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48</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电动过跨平车</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KP-10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49</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电动双梁桥式起重机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QD5T-16.5M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50</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电动双梁桥式起重机甲</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5t*13.5m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电动双梁桥式起重机乙</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5t*13.5m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52</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电焊机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bx1-500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53</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电焊机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bx1-500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54</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钢坯夹具</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DFP6T</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55</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高压电机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YR5003-8</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56</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弓锯机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G72-1</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57</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轨道安装</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80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58</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轨道制安</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Φ300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59</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冷床电源柜</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GGD</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60</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冷床设备</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55m*4.5m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离心式通风机(丙)</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4-72-6A</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62</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离心式通风机(甲)</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4-72-5A</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63</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离心式通风机(乙)</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4-72-5A</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64</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龙门吊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5t*16.5</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65</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螺旋式空压机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LU68-8</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66</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煤气管道</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Φ600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67</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煤气加热炉</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2.7m*48m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68</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牛头刨床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BC6063</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69</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普通车床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C630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70</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普通车床(丙)</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C620-1</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普通车床(乙)</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C630-1B</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72</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烧嘴</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CRMS.70.28</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73</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升降台</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Φ450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74</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双梁吊车</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5t*13.5m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75</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双粱桥式起重机(乙)</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5t*13.5m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76</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推钢机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45t</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77</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无泄漏钢厂用耐磨泵</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150BWZG185-42A</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78</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小平板车</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2t</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79</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氧气氮气计量系统</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LGF</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80</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氧气管道</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Φ65</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81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移动轴流风机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T30-7#-3KW</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82</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主电机通风机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r>
                    <w:rPr>
                      <w:rFonts w:hint="eastAsia" w:ascii="Times New Roman" w:hAnsi="Times New Roman" w:eastAsia="宋体" w:cs="宋体"/>
                      <w:color w:val="auto"/>
                      <w:kern w:val="0"/>
                      <w:sz w:val="21"/>
                      <w:szCs w:val="22"/>
                      <w:lang w:val="en-US" w:eastAsia="zh-CN"/>
                    </w:rPr>
                    <w:t>4-72NO-18D</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8</w:t>
                  </w:r>
                  <w:r>
                    <w:rPr>
                      <w:rFonts w:hint="eastAsia" w:cs="宋体"/>
                      <w:color w:val="auto"/>
                      <w:kern w:val="0"/>
                      <w:sz w:val="21"/>
                      <w:szCs w:val="22"/>
                      <w:lang w:val="en-US" w:eastAsia="zh-CN"/>
                    </w:rPr>
                    <w:t>3</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自控电磁感应轴承加热器</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SMHC-1</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84</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马鞍车床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C630-1BM</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85</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卧式车床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CW61125</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86</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锯床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GD300-700</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5</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87</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立式钻床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Z535</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89</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立式升降台铣床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X5032A</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90</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立式冲床</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J23</w:t>
                  </w: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2</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91</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旋平机</w:t>
                  </w: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p>
              </w:tc>
              <w:tc>
                <w:tcPr>
                  <w:tcW w:w="1229"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ascii="Times New Roman" w:hAnsi="Times New Roman" w:eastAsia="宋体" w:cs="宋体"/>
                      <w:color w:val="auto"/>
                      <w:kern w:val="0"/>
                      <w:sz w:val="21"/>
                      <w:szCs w:val="22"/>
                      <w:lang w:val="en-US" w:eastAsia="zh-CN"/>
                    </w:rPr>
                    <w:t>3</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合计</w:t>
                  </w:r>
                </w:p>
              </w:tc>
              <w:tc>
                <w:tcPr>
                  <w:tcW w:w="3060"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p>
              </w:tc>
              <w:tc>
                <w:tcPr>
                  <w:tcW w:w="2982"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lang w:val="en-US" w:eastAsia="zh-CN"/>
                    </w:rPr>
                  </w:pPr>
                </w:p>
              </w:tc>
              <w:tc>
                <w:tcPr>
                  <w:tcW w:w="1229" w:type="dxa"/>
                  <w:tcBorders>
                    <w:tl2br w:val="nil"/>
                    <w:tr2bl w:val="nil"/>
                  </w:tcBorders>
                  <w:noWrap/>
                  <w:vAlign w:val="center"/>
                </w:tcPr>
                <w:p>
                  <w:pPr>
                    <w:widowControl/>
                    <w:jc w:val="center"/>
                    <w:rPr>
                      <w:rFonts w:hint="default" w:ascii="Times New Roman" w:hAnsi="Times New Roman" w:eastAsia="宋体" w:cs="宋体"/>
                      <w:color w:val="auto"/>
                      <w:kern w:val="0"/>
                      <w:sz w:val="21"/>
                      <w:szCs w:val="22"/>
                      <w:lang w:val="en-US" w:eastAsia="zh-CN"/>
                    </w:rPr>
                  </w:pPr>
                  <w:r>
                    <w:rPr>
                      <w:rFonts w:hint="eastAsia" w:cs="宋体"/>
                      <w:color w:val="auto"/>
                      <w:kern w:val="0"/>
                      <w:sz w:val="21"/>
                      <w:szCs w:val="22"/>
                      <w:lang w:val="en-US" w:eastAsia="zh-CN"/>
                    </w:rPr>
                    <w:t>111</w:t>
                  </w:r>
                </w:p>
              </w:tc>
              <w:tc>
                <w:tcPr>
                  <w:tcW w:w="1333" w:type="dxa"/>
                  <w:tcBorders>
                    <w:tl2br w:val="nil"/>
                    <w:tr2bl w:val="nil"/>
                  </w:tcBorders>
                  <w:noWrap/>
                  <w:vAlign w:val="center"/>
                </w:tcPr>
                <w:p>
                  <w:pPr>
                    <w:widowControl/>
                    <w:jc w:val="center"/>
                    <w:rPr>
                      <w:rFonts w:hint="eastAsia" w:ascii="Times New Roman" w:hAnsi="Times New Roman" w:eastAsia="宋体" w:cs="宋体"/>
                      <w:color w:val="auto"/>
                      <w:kern w:val="0"/>
                      <w:sz w:val="21"/>
                      <w:szCs w:val="22"/>
                    </w:rPr>
                  </w:pPr>
                </w:p>
              </w:tc>
            </w:tr>
          </w:tbl>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auto"/>
                <w:kern w:val="2"/>
                <w:szCs w:val="24"/>
              </w:rPr>
            </w:pPr>
            <w:r>
              <w:rPr>
                <w:rFonts w:hint="default" w:ascii="Times New Roman" w:hAnsi="Times New Roman" w:cs="Times New Roman"/>
                <w:bCs/>
                <w:color w:val="auto"/>
                <w:kern w:val="2"/>
                <w:szCs w:val="24"/>
              </w:rPr>
              <w:t>注：拟选用设备型号不在《产业结构调整指导目录</w:t>
            </w:r>
            <w:r>
              <w:rPr>
                <w:rFonts w:hint="eastAsia" w:ascii="Times New Roman" w:hAnsi="Times New Roman" w:cs="Times New Roman"/>
                <w:bCs/>
                <w:color w:val="auto"/>
                <w:kern w:val="2"/>
                <w:szCs w:val="24"/>
                <w:lang w:eastAsia="zh-CN"/>
              </w:rPr>
              <w:t>（</w:t>
            </w:r>
            <w:r>
              <w:rPr>
                <w:rFonts w:hint="default" w:ascii="Times New Roman" w:hAnsi="Times New Roman" w:cs="Times New Roman"/>
                <w:bCs/>
                <w:color w:val="auto"/>
                <w:kern w:val="2"/>
                <w:szCs w:val="24"/>
              </w:rPr>
              <w:t>201</w:t>
            </w:r>
            <w:r>
              <w:rPr>
                <w:rFonts w:hint="eastAsia" w:ascii="Times New Roman" w:hAnsi="Times New Roman" w:cs="Times New Roman"/>
                <w:bCs/>
                <w:color w:val="auto"/>
                <w:kern w:val="2"/>
                <w:szCs w:val="24"/>
                <w:lang w:val="en-US" w:eastAsia="zh-CN"/>
              </w:rPr>
              <w:t>9</w:t>
            </w:r>
            <w:r>
              <w:rPr>
                <w:rFonts w:hint="default" w:ascii="Times New Roman" w:hAnsi="Times New Roman" w:cs="Times New Roman"/>
                <w:bCs/>
                <w:color w:val="auto"/>
                <w:kern w:val="2"/>
                <w:szCs w:val="24"/>
              </w:rPr>
              <w:t>年本</w:t>
            </w:r>
            <w:r>
              <w:rPr>
                <w:rFonts w:hint="eastAsia" w:ascii="Times New Roman" w:hAnsi="Times New Roman" w:cs="Times New Roman"/>
                <w:bCs/>
                <w:color w:val="auto"/>
                <w:kern w:val="2"/>
                <w:szCs w:val="24"/>
                <w:lang w:eastAsia="zh-CN"/>
              </w:rPr>
              <w:t>）</w:t>
            </w:r>
            <w:r>
              <w:rPr>
                <w:rFonts w:hint="default" w:ascii="Times New Roman" w:hAnsi="Times New Roman" w:cs="Times New Roman"/>
                <w:bCs/>
                <w:color w:val="auto"/>
                <w:kern w:val="2"/>
                <w:szCs w:val="24"/>
              </w:rPr>
              <w:t>》限制和淘汰类之列。</w:t>
            </w:r>
          </w:p>
          <w:p>
            <w:pPr>
              <w:pStyle w:val="49"/>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auto"/>
                <w:kern w:val="2"/>
                <w:szCs w:val="24"/>
              </w:rPr>
            </w:pPr>
            <w:r>
              <w:rPr>
                <w:rFonts w:hint="eastAsia" w:ascii="Times New Roman" w:hAnsi="Times New Roman" w:cs="Times New Roman"/>
                <w:bCs/>
                <w:color w:val="auto"/>
                <w:kern w:val="2"/>
                <w:szCs w:val="24"/>
                <w:lang w:val="en-US" w:eastAsia="zh-CN"/>
              </w:rPr>
              <w:t>5.</w:t>
            </w:r>
            <w:r>
              <w:rPr>
                <w:rFonts w:hint="default" w:ascii="Times New Roman" w:hAnsi="Times New Roman" w:cs="Times New Roman"/>
                <w:bCs/>
                <w:color w:val="auto"/>
                <w:kern w:val="2"/>
                <w:szCs w:val="24"/>
                <w:lang w:val="en-US" w:eastAsia="zh-CN"/>
              </w:rPr>
              <w:t xml:space="preserve">3 </w:t>
            </w:r>
            <w:r>
              <w:rPr>
                <w:rFonts w:hint="default" w:ascii="Times New Roman" w:hAnsi="Times New Roman" w:cs="Times New Roman"/>
                <w:bCs/>
                <w:color w:val="auto"/>
                <w:kern w:val="2"/>
                <w:szCs w:val="24"/>
              </w:rPr>
              <w:t>原辅材料消耗情况</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黑体" w:cs="Times New Roman"/>
                <w:bCs/>
                <w:color w:val="auto"/>
                <w:kern w:val="2"/>
                <w:sz w:val="24"/>
                <w:szCs w:val="24"/>
                <w:lang w:val="en-GB" w:eastAsia="zh-CN" w:bidi="ar-SA"/>
              </w:rPr>
            </w:pPr>
            <w:r>
              <w:rPr>
                <w:rFonts w:hint="default" w:ascii="Times New Roman" w:hAnsi="Times New Roman" w:cs="Times New Roman"/>
                <w:bCs/>
                <w:color w:val="auto"/>
                <w:kern w:val="2"/>
                <w:szCs w:val="24"/>
              </w:rPr>
              <w:t>项目所用原辅材料消耗情况见表</w:t>
            </w:r>
            <w:r>
              <w:rPr>
                <w:rFonts w:hint="default" w:ascii="Times New Roman" w:hAnsi="Times New Roman" w:cs="Times New Roman"/>
                <w:bCs/>
                <w:color w:val="auto"/>
                <w:kern w:val="2"/>
                <w:szCs w:val="24"/>
                <w:lang w:val="en-US" w:eastAsia="zh-CN"/>
              </w:rPr>
              <w:t>1-</w:t>
            </w:r>
            <w:r>
              <w:rPr>
                <w:rFonts w:hint="eastAsia" w:ascii="Times New Roman" w:hAnsi="Times New Roman" w:cs="Times New Roman"/>
                <w:bCs/>
                <w:color w:val="auto"/>
                <w:kern w:val="2"/>
                <w:szCs w:val="24"/>
                <w:lang w:val="en-US" w:eastAsia="zh-CN"/>
              </w:rPr>
              <w:t>11</w:t>
            </w:r>
            <w:r>
              <w:rPr>
                <w:rFonts w:hint="default" w:ascii="Times New Roman" w:hAnsi="Times New Roman" w:cs="Times New Roman"/>
                <w:bCs/>
                <w:color w:val="auto"/>
                <w:kern w:val="2"/>
                <w:szCs w:val="24"/>
                <w:lang w:val="en-US" w:eastAsia="zh-CN"/>
              </w:rPr>
              <w:t>。</w:t>
            </w:r>
          </w:p>
          <w:p>
            <w:pPr>
              <w:spacing w:line="360" w:lineRule="auto"/>
              <w:jc w:val="center"/>
              <w:rPr>
                <w:rFonts w:hint="default" w:ascii="Times New Roman" w:hAnsi="Times New Roman" w:cs="Times New Roman"/>
                <w:b/>
                <w:bCs w:val="0"/>
                <w:color w:val="auto"/>
                <w:sz w:val="21"/>
                <w:szCs w:val="21"/>
                <w:lang w:val="en-GB" w:eastAsia="zh-CN"/>
              </w:rPr>
            </w:pPr>
            <w:r>
              <w:rPr>
                <w:rFonts w:hint="default" w:ascii="Times New Roman" w:hAnsi="Times New Roman" w:cs="Times New Roman"/>
                <w:b/>
                <w:bCs w:val="0"/>
                <w:color w:val="auto"/>
                <w:sz w:val="21"/>
                <w:szCs w:val="21"/>
                <w:lang w:val="en-GB" w:eastAsia="zh-CN"/>
              </w:rPr>
              <w:t>表</w:t>
            </w:r>
            <w:r>
              <w:rPr>
                <w:rFonts w:hint="default" w:ascii="Times New Roman" w:hAnsi="Times New Roman" w:cs="Times New Roman"/>
                <w:b/>
                <w:bCs w:val="0"/>
                <w:color w:val="auto"/>
                <w:sz w:val="21"/>
                <w:szCs w:val="21"/>
                <w:lang w:val="en-US" w:eastAsia="zh-CN"/>
              </w:rPr>
              <w:t>1-</w:t>
            </w:r>
            <w:r>
              <w:rPr>
                <w:rFonts w:hint="eastAsia" w:cs="Times New Roman"/>
                <w:b/>
                <w:bCs w:val="0"/>
                <w:color w:val="auto"/>
                <w:sz w:val="21"/>
                <w:szCs w:val="21"/>
                <w:lang w:val="en-US" w:eastAsia="zh-CN"/>
              </w:rPr>
              <w:t>11</w:t>
            </w:r>
            <w:r>
              <w:rPr>
                <w:rFonts w:hint="default" w:ascii="Times New Roman" w:hAnsi="Times New Roman" w:cs="Times New Roman"/>
                <w:b/>
                <w:bCs w:val="0"/>
                <w:color w:val="auto"/>
                <w:sz w:val="21"/>
                <w:szCs w:val="21"/>
                <w:lang w:val="en-US" w:eastAsia="zh-CN"/>
              </w:rPr>
              <w:t xml:space="preserve"> </w:t>
            </w:r>
            <w:r>
              <w:rPr>
                <w:rFonts w:hint="default" w:ascii="Times New Roman" w:hAnsi="Times New Roman" w:cs="Times New Roman"/>
                <w:b/>
                <w:bCs w:val="0"/>
                <w:color w:val="auto"/>
                <w:sz w:val="21"/>
                <w:szCs w:val="21"/>
                <w:lang w:val="en-GB" w:eastAsia="zh-CN"/>
              </w:rPr>
              <w:t>主要原辅料用量</w:t>
            </w:r>
          </w:p>
          <w:tbl>
            <w:tblPr>
              <w:tblStyle w:val="24"/>
              <w:tblW w:w="939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42"/>
              <w:gridCol w:w="1860"/>
              <w:gridCol w:w="1860"/>
              <w:gridCol w:w="1862"/>
              <w:gridCol w:w="307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42" w:type="dxa"/>
                  <w:tcBorders>
                    <w:tl2br w:val="nil"/>
                    <w:tr2bl w:val="nil"/>
                  </w:tcBorders>
                  <w:noWrap w:val="0"/>
                  <w:vAlign w:val="center"/>
                </w:tcPr>
                <w:p>
                  <w:pPr>
                    <w:pStyle w:val="50"/>
                    <w:spacing w:before="40" w:after="4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860" w:type="dxa"/>
                  <w:tcBorders>
                    <w:tl2br w:val="nil"/>
                    <w:tr2bl w:val="nil"/>
                  </w:tcBorders>
                  <w:noWrap w:val="0"/>
                  <w:vAlign w:val="center"/>
                </w:tcPr>
                <w:p>
                  <w:pPr>
                    <w:pStyle w:val="50"/>
                    <w:spacing w:before="40" w:after="4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860" w:type="dxa"/>
                  <w:tcBorders>
                    <w:tl2br w:val="nil"/>
                    <w:tr2bl w:val="nil"/>
                  </w:tcBorders>
                  <w:noWrap w:val="0"/>
                  <w:vAlign w:val="center"/>
                </w:tcPr>
                <w:p>
                  <w:pPr>
                    <w:pStyle w:val="50"/>
                    <w:spacing w:before="40" w:after="4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用量</w:t>
                  </w:r>
                </w:p>
              </w:tc>
              <w:tc>
                <w:tcPr>
                  <w:tcW w:w="1862" w:type="dxa"/>
                  <w:tcBorders>
                    <w:tl2br w:val="nil"/>
                    <w:tr2bl w:val="nil"/>
                  </w:tcBorders>
                  <w:noWrap w:val="0"/>
                  <w:vAlign w:val="center"/>
                </w:tcPr>
                <w:p>
                  <w:pPr>
                    <w:pStyle w:val="50"/>
                    <w:spacing w:before="40" w:after="40" w:line="240" w:lineRule="auto"/>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日常最大存放量</w:t>
                  </w:r>
                </w:p>
              </w:tc>
              <w:tc>
                <w:tcPr>
                  <w:tcW w:w="3070" w:type="dxa"/>
                  <w:tcBorders>
                    <w:tl2br w:val="nil"/>
                    <w:tr2bl w:val="nil"/>
                  </w:tcBorders>
                  <w:noWrap w:val="0"/>
                  <w:vAlign w:val="center"/>
                </w:tcPr>
                <w:p>
                  <w:pPr>
                    <w:pStyle w:val="50"/>
                    <w:spacing w:before="40" w:after="40"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42" w:type="dxa"/>
                  <w:tcBorders>
                    <w:tl2br w:val="nil"/>
                    <w:tr2bl w:val="nil"/>
                  </w:tcBorders>
                  <w:noWrap w:val="0"/>
                  <w:vAlign w:val="center"/>
                </w:tcPr>
                <w:p>
                  <w:pPr>
                    <w:pStyle w:val="32"/>
                    <w:spacing w:before="40" w:after="40" w:line="240" w:lineRule="auto"/>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1860"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钢坯</w:t>
                  </w:r>
                </w:p>
              </w:tc>
              <w:tc>
                <w:tcPr>
                  <w:tcW w:w="1860" w:type="dxa"/>
                  <w:tcBorders>
                    <w:tl2br w:val="nil"/>
                    <w:tr2bl w:val="nil"/>
                  </w:tcBorders>
                  <w:noWrap w:val="0"/>
                  <w:vAlign w:val="center"/>
                </w:tcPr>
                <w:p>
                  <w:pPr>
                    <w:widowControl/>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21万t/a</w:t>
                  </w:r>
                </w:p>
              </w:tc>
              <w:tc>
                <w:tcPr>
                  <w:tcW w:w="1862" w:type="dxa"/>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17500t</w:t>
                  </w:r>
                </w:p>
              </w:tc>
              <w:tc>
                <w:tcPr>
                  <w:tcW w:w="3070" w:type="dxa"/>
                  <w:vMerge w:val="restart"/>
                  <w:tcBorders>
                    <w:tl2br w:val="nil"/>
                    <w:tr2bl w:val="nil"/>
                  </w:tcBorders>
                  <w:noWrap w:val="0"/>
                  <w:vAlign w:val="center"/>
                </w:tcPr>
                <w:p>
                  <w:pPr>
                    <w:pStyle w:val="32"/>
                    <w:spacing w:before="40" w:after="40" w:line="240" w:lineRule="auto"/>
                    <w:jc w:val="center"/>
                    <w:rPr>
                      <w:rFonts w:hint="eastAsia"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莱钢集团供给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42" w:type="dxa"/>
                  <w:tcBorders>
                    <w:tl2br w:val="nil"/>
                    <w:tr2bl w:val="nil"/>
                  </w:tcBorders>
                  <w:noWrap w:val="0"/>
                  <w:vAlign w:val="center"/>
                </w:tcPr>
                <w:p>
                  <w:pPr>
                    <w:pStyle w:val="32"/>
                    <w:spacing w:before="40" w:after="40" w:line="240" w:lineRule="auto"/>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w:t>
                  </w:r>
                </w:p>
              </w:tc>
              <w:tc>
                <w:tcPr>
                  <w:tcW w:w="1860" w:type="dxa"/>
                  <w:tcBorders>
                    <w:tl2br w:val="nil"/>
                    <w:tr2bl w:val="nil"/>
                  </w:tcBorders>
                  <w:noWrap w:val="0"/>
                  <w:vAlign w:val="center"/>
                </w:tcPr>
                <w:p>
                  <w:pPr>
                    <w:widowControl/>
                    <w:spacing w:line="240" w:lineRule="auto"/>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焦炉煤气</w:t>
                  </w:r>
                </w:p>
              </w:tc>
              <w:tc>
                <w:tcPr>
                  <w:tcW w:w="1860" w:type="dxa"/>
                  <w:tcBorders>
                    <w:tl2br w:val="nil"/>
                    <w:tr2bl w:val="nil"/>
                  </w:tcBorders>
                  <w:noWrap w:val="0"/>
                  <w:vAlign w:val="center"/>
                </w:tcPr>
                <w:p>
                  <w:pPr>
                    <w:widowControl/>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960万m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/a</w:t>
                  </w:r>
                </w:p>
              </w:tc>
              <w:tc>
                <w:tcPr>
                  <w:tcW w:w="1862" w:type="dxa"/>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w:t>
                  </w:r>
                </w:p>
              </w:tc>
              <w:tc>
                <w:tcPr>
                  <w:tcW w:w="3070" w:type="dxa"/>
                  <w:vMerge w:val="continue"/>
                  <w:tcBorders>
                    <w:tl2br w:val="nil"/>
                    <w:tr2bl w:val="nil"/>
                  </w:tcBorders>
                  <w:noWrap w:val="0"/>
                  <w:vAlign w:val="center"/>
                </w:tcPr>
                <w:p>
                  <w:pPr>
                    <w:pStyle w:val="32"/>
                    <w:spacing w:before="40" w:after="40" w:line="240" w:lineRule="auto"/>
                    <w:jc w:val="center"/>
                    <w:rPr>
                      <w:rFonts w:hint="eastAsia" w:ascii="Times New Roman"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42" w:type="dxa"/>
                  <w:tcBorders>
                    <w:tl2br w:val="nil"/>
                    <w:tr2bl w:val="nil"/>
                  </w:tcBorders>
                  <w:noWrap w:val="0"/>
                  <w:vAlign w:val="center"/>
                </w:tcPr>
                <w:p>
                  <w:pPr>
                    <w:pStyle w:val="32"/>
                    <w:spacing w:before="40" w:after="40" w:line="240" w:lineRule="auto"/>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1860"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片碱</w:t>
                  </w:r>
                </w:p>
              </w:tc>
              <w:tc>
                <w:tcPr>
                  <w:tcW w:w="1860" w:type="dxa"/>
                  <w:tcBorders>
                    <w:tl2br w:val="nil"/>
                    <w:tr2bl w:val="nil"/>
                  </w:tcBorders>
                  <w:noWrap w:val="0"/>
                  <w:vAlign w:val="center"/>
                </w:tcPr>
                <w:p>
                  <w:pPr>
                    <w:widowControl/>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2.4t/a</w:t>
                  </w:r>
                </w:p>
              </w:tc>
              <w:tc>
                <w:tcPr>
                  <w:tcW w:w="1862" w:type="dxa"/>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50kg</w:t>
                  </w:r>
                </w:p>
              </w:tc>
              <w:tc>
                <w:tcPr>
                  <w:tcW w:w="3070" w:type="dxa"/>
                  <w:vMerge w:val="restart"/>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脱硫设施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42" w:type="dxa"/>
                  <w:tcBorders>
                    <w:tl2br w:val="nil"/>
                    <w:tr2bl w:val="nil"/>
                  </w:tcBorders>
                  <w:noWrap w:val="0"/>
                  <w:vAlign w:val="center"/>
                </w:tcPr>
                <w:p>
                  <w:pPr>
                    <w:pStyle w:val="32"/>
                    <w:spacing w:before="40" w:after="40" w:line="240" w:lineRule="auto"/>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w:t>
                  </w:r>
                </w:p>
              </w:tc>
              <w:tc>
                <w:tcPr>
                  <w:tcW w:w="1860"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熟石灰</w:t>
                  </w:r>
                </w:p>
              </w:tc>
              <w:tc>
                <w:tcPr>
                  <w:tcW w:w="1860" w:type="dxa"/>
                  <w:tcBorders>
                    <w:tl2br w:val="nil"/>
                    <w:tr2bl w:val="nil"/>
                  </w:tcBorders>
                  <w:noWrap w:val="0"/>
                  <w:vAlign w:val="center"/>
                </w:tcPr>
                <w:p>
                  <w:pPr>
                    <w:widowControl/>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3.6t/a</w:t>
                  </w:r>
                </w:p>
              </w:tc>
              <w:tc>
                <w:tcPr>
                  <w:tcW w:w="1862" w:type="dxa"/>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80kg</w:t>
                  </w:r>
                </w:p>
              </w:tc>
              <w:tc>
                <w:tcPr>
                  <w:tcW w:w="3070" w:type="dxa"/>
                  <w:vMerge w:val="continue"/>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42" w:type="dxa"/>
                  <w:tcBorders>
                    <w:tl2br w:val="nil"/>
                    <w:tr2bl w:val="nil"/>
                  </w:tcBorders>
                  <w:noWrap w:val="0"/>
                  <w:vAlign w:val="center"/>
                </w:tcPr>
                <w:p>
                  <w:pPr>
                    <w:pStyle w:val="32"/>
                    <w:spacing w:before="40" w:after="40" w:line="240" w:lineRule="auto"/>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w:t>
                  </w:r>
                </w:p>
              </w:tc>
              <w:tc>
                <w:tcPr>
                  <w:tcW w:w="1860" w:type="dxa"/>
                  <w:tcBorders>
                    <w:tl2br w:val="nil"/>
                    <w:tr2bl w:val="nil"/>
                  </w:tcBorders>
                  <w:noWrap w:val="0"/>
                  <w:vAlign w:val="center"/>
                </w:tcPr>
                <w:p>
                  <w:pPr>
                    <w:widowControl/>
                    <w:spacing w:line="240" w:lineRule="auto"/>
                    <w:jc w:val="center"/>
                    <w:rPr>
                      <w:rFonts w:hint="eastAsia" w:cs="Times New Roman"/>
                      <w:color w:val="auto"/>
                      <w:kern w:val="0"/>
                      <w:sz w:val="21"/>
                      <w:szCs w:val="21"/>
                      <w:lang w:val="en-US" w:eastAsia="zh-CN"/>
                    </w:rPr>
                  </w:pPr>
                  <w:r>
                    <w:rPr>
                      <w:rFonts w:hint="eastAsia" w:cs="Times New Roman"/>
                      <w:b w:val="0"/>
                      <w:bCs w:val="0"/>
                      <w:color w:val="auto"/>
                      <w:sz w:val="21"/>
                      <w:szCs w:val="21"/>
                      <w:vertAlign w:val="baseline"/>
                      <w:lang w:val="en-US" w:eastAsia="zh-CN"/>
                    </w:rPr>
                    <w:t>尿素</w:t>
                  </w:r>
                </w:p>
              </w:tc>
              <w:tc>
                <w:tcPr>
                  <w:tcW w:w="1860" w:type="dxa"/>
                  <w:tcBorders>
                    <w:tl2br w:val="nil"/>
                    <w:tr2bl w:val="nil"/>
                  </w:tcBorders>
                  <w:noWrap w:val="0"/>
                  <w:vAlign w:val="center"/>
                </w:tcPr>
                <w:p>
                  <w:pPr>
                    <w:widowControl/>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4.8t/a</w:t>
                  </w:r>
                </w:p>
              </w:tc>
              <w:tc>
                <w:tcPr>
                  <w:tcW w:w="1862" w:type="dxa"/>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100kg</w:t>
                  </w:r>
                </w:p>
              </w:tc>
              <w:tc>
                <w:tcPr>
                  <w:tcW w:w="3070" w:type="dxa"/>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脱硝设施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42" w:type="dxa"/>
                  <w:tcBorders>
                    <w:tl2br w:val="nil"/>
                    <w:tr2bl w:val="nil"/>
                  </w:tcBorders>
                  <w:noWrap w:val="0"/>
                  <w:vAlign w:val="center"/>
                </w:tcPr>
                <w:p>
                  <w:pPr>
                    <w:pStyle w:val="32"/>
                    <w:spacing w:before="40" w:after="40" w:line="240" w:lineRule="auto"/>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w:t>
                  </w:r>
                </w:p>
              </w:tc>
              <w:tc>
                <w:tcPr>
                  <w:tcW w:w="1860" w:type="dxa"/>
                  <w:tcBorders>
                    <w:tl2br w:val="nil"/>
                    <w:tr2bl w:val="nil"/>
                  </w:tcBorders>
                  <w:noWrap w:val="0"/>
                  <w:vAlign w:val="center"/>
                </w:tcPr>
                <w:p>
                  <w:pPr>
                    <w:widowControl/>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J422焊条</w:t>
                  </w:r>
                </w:p>
              </w:tc>
              <w:tc>
                <w:tcPr>
                  <w:tcW w:w="1860" w:type="dxa"/>
                  <w:tcBorders>
                    <w:tl2br w:val="nil"/>
                    <w:tr2bl w:val="nil"/>
                  </w:tcBorders>
                  <w:noWrap w:val="0"/>
                  <w:vAlign w:val="center"/>
                </w:tcPr>
                <w:p>
                  <w:pPr>
                    <w:widowControl/>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2t/a</w:t>
                  </w:r>
                </w:p>
              </w:tc>
              <w:tc>
                <w:tcPr>
                  <w:tcW w:w="1862" w:type="dxa"/>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w:t>
                  </w:r>
                </w:p>
              </w:tc>
              <w:tc>
                <w:tcPr>
                  <w:tcW w:w="3070" w:type="dxa"/>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42" w:type="dxa"/>
                  <w:tcBorders>
                    <w:tl2br w:val="nil"/>
                    <w:tr2bl w:val="nil"/>
                  </w:tcBorders>
                  <w:noWrap w:val="0"/>
                  <w:vAlign w:val="center"/>
                </w:tcPr>
                <w:p>
                  <w:pPr>
                    <w:pStyle w:val="32"/>
                    <w:spacing w:before="40" w:after="40" w:line="240" w:lineRule="auto"/>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7</w:t>
                  </w:r>
                </w:p>
              </w:tc>
              <w:tc>
                <w:tcPr>
                  <w:tcW w:w="1860" w:type="dxa"/>
                  <w:tcBorders>
                    <w:tl2br w:val="nil"/>
                    <w:tr2bl w:val="nil"/>
                  </w:tcBorders>
                  <w:noWrap w:val="0"/>
                  <w:vAlign w:val="center"/>
                </w:tcPr>
                <w:p>
                  <w:pPr>
                    <w:widowControl/>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实芯焊丝</w:t>
                  </w:r>
                </w:p>
              </w:tc>
              <w:tc>
                <w:tcPr>
                  <w:tcW w:w="1860" w:type="dxa"/>
                  <w:tcBorders>
                    <w:tl2br w:val="nil"/>
                    <w:tr2bl w:val="nil"/>
                  </w:tcBorders>
                  <w:noWrap w:val="0"/>
                  <w:vAlign w:val="center"/>
                </w:tcPr>
                <w:p>
                  <w:pPr>
                    <w:widowControl/>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 xml:space="preserve">2t/a </w:t>
                  </w:r>
                </w:p>
              </w:tc>
              <w:tc>
                <w:tcPr>
                  <w:tcW w:w="1862" w:type="dxa"/>
                  <w:tcBorders>
                    <w:tl2br w:val="nil"/>
                    <w:tr2bl w:val="nil"/>
                  </w:tcBorders>
                  <w:noWrap w:val="0"/>
                  <w:vAlign w:val="center"/>
                </w:tcPr>
                <w:p>
                  <w:pPr>
                    <w:pStyle w:val="32"/>
                    <w:spacing w:before="40" w:after="40" w:line="240" w:lineRule="auto"/>
                    <w:jc w:val="center"/>
                    <w:rPr>
                      <w:rFonts w:hint="default" w:ascii="Times New Roman"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w:t>
                  </w:r>
                </w:p>
              </w:tc>
              <w:tc>
                <w:tcPr>
                  <w:tcW w:w="3070" w:type="dxa"/>
                  <w:tcBorders>
                    <w:tl2br w:val="nil"/>
                    <w:tr2bl w:val="nil"/>
                  </w:tcBorders>
                  <w:noWrap w:val="0"/>
                  <w:vAlign w:val="center"/>
                </w:tcPr>
                <w:p>
                  <w:pPr>
                    <w:pStyle w:val="32"/>
                    <w:spacing w:before="40" w:after="40" w:line="240" w:lineRule="auto"/>
                    <w:jc w:val="center"/>
                    <w:rPr>
                      <w:rFonts w:hint="eastAsia" w:ascii="Times New Roman" w:cs="Times New Roman"/>
                      <w:color w:val="auto"/>
                      <w:kern w:val="0"/>
                      <w:sz w:val="21"/>
                      <w:szCs w:val="21"/>
                      <w:highlight w:val="none"/>
                      <w:lang w:val="en-US" w:eastAsia="zh-CN"/>
                    </w:rPr>
                  </w:pPr>
                </w:p>
              </w:tc>
            </w:tr>
          </w:tbl>
          <w:p>
            <w:pPr>
              <w:spacing w:line="360" w:lineRule="auto"/>
              <w:ind w:firstLine="480" w:firstLineChars="200"/>
              <w:outlineLvl w:val="9"/>
              <w:rPr>
                <w:rFonts w:hint="eastAsia" w:ascii="Times New Roman" w:hAnsi="Times New Roman" w:cs="Times New Roman"/>
                <w:bCs w:val="0"/>
                <w:color w:val="auto"/>
                <w:kern w:val="2"/>
                <w:sz w:val="24"/>
                <w:szCs w:val="24"/>
                <w:lang w:val="en-US" w:eastAsia="zh-CN"/>
              </w:rPr>
            </w:pPr>
            <w:r>
              <w:rPr>
                <w:rFonts w:hint="eastAsia" w:cs="Times New Roman"/>
                <w:bCs w:val="0"/>
                <w:color w:val="auto"/>
                <w:kern w:val="2"/>
                <w:sz w:val="24"/>
                <w:szCs w:val="24"/>
                <w:lang w:val="en-US" w:eastAsia="zh-CN"/>
              </w:rPr>
              <w:t>片碱</w:t>
            </w:r>
            <w:r>
              <w:rPr>
                <w:rFonts w:hint="eastAsia" w:ascii="Times New Roman" w:hAnsi="Times New Roman" w:cs="Times New Roman"/>
                <w:bCs w:val="0"/>
                <w:color w:val="auto"/>
                <w:kern w:val="2"/>
                <w:sz w:val="24"/>
                <w:szCs w:val="24"/>
                <w:lang w:val="en-US" w:eastAsia="zh-CN"/>
              </w:rPr>
              <w:t>：</w:t>
            </w:r>
            <w:r>
              <w:rPr>
                <w:rFonts w:hint="eastAsia" w:ascii="Times New Roman" w:hAnsi="Times New Roman" w:eastAsia="宋体" w:cs="Times New Roman"/>
                <w:i w:val="0"/>
                <w:caps w:val="0"/>
                <w:color w:val="auto"/>
                <w:spacing w:val="0"/>
                <w:sz w:val="24"/>
                <w:szCs w:val="24"/>
                <w:shd w:val="clear"/>
              </w:rPr>
              <w:t>化学名氢氧化钠，白色半透明片状固体，为基本化工原料，具有极强</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"https://baike.baidu.com/item/%E8%85%90%E8%9A%80%E6%80%A7"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腐蚀性</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，物化性质</w:t>
            </w:r>
            <w:r>
              <w:rPr>
                <w:rFonts w:hint="eastAsia" w:cs="Times New Roman"/>
                <w:i w:val="0"/>
                <w:caps w:val="0"/>
                <w:color w:val="auto"/>
                <w:spacing w:val="0"/>
                <w:sz w:val="24"/>
                <w:szCs w:val="24"/>
                <w:shd w:val="clear"/>
                <w:lang w:eastAsia="zh-CN"/>
              </w:rPr>
              <w:t>：</w:t>
            </w:r>
            <w:r>
              <w:rPr>
                <w:rFonts w:hint="eastAsia" w:ascii="Times New Roman" w:hAnsi="Times New Roman" w:eastAsia="宋体" w:cs="Times New Roman"/>
                <w:i w:val="0"/>
                <w:caps w:val="0"/>
                <w:color w:val="auto"/>
                <w:spacing w:val="0"/>
                <w:sz w:val="24"/>
                <w:szCs w:val="24"/>
                <w:shd w:val="clear"/>
              </w:rPr>
              <w:t>纯品为无色透明晶体，相对密度2.130。熔点318.4℃。沸点1390℃。市售烧碱有固态和液态两种：纯固体烧碱呈白色，有块装、片状、棒状、粒状，质脆；纯液体烧碱为无色透明液体。固体烧碱有很强的吸湿性。易溶于水，溶解时放热，水溶液呈碱性，有滑腻感；溶于乙醇和甘油；不溶于</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"https://baike.baidu.com/item/%E4%B8%99%E9%85%AE"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丙酮</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、乙醚。腐蚀性极强，对纤维、皮肤、玻璃、陶瓷等有腐蚀作用。与金属铝和锌、非金属硼和硅等反应放出氢；与氯、溴、碘等卤素发生歧化反应；与酸类起中和作用而生成盐和水</w:t>
            </w:r>
            <w:r>
              <w:rPr>
                <w:rFonts w:hint="eastAsia" w:cs="Times New Roman"/>
                <w:bCs w:val="0"/>
                <w:color w:val="auto"/>
                <w:kern w:val="2"/>
                <w:sz w:val="24"/>
                <w:szCs w:val="24"/>
                <w:lang w:val="en-US" w:eastAsia="zh-CN"/>
              </w:rPr>
              <w:t>。</w:t>
            </w:r>
          </w:p>
          <w:p>
            <w:pPr>
              <w:spacing w:line="360" w:lineRule="auto"/>
              <w:ind w:firstLine="480" w:firstLineChars="200"/>
              <w:outlineLvl w:val="9"/>
              <w:rPr>
                <w:rFonts w:hint="eastAsia" w:cs="Times New Roman"/>
                <w:bCs w:val="0"/>
                <w:color w:val="auto"/>
                <w:kern w:val="2"/>
                <w:sz w:val="24"/>
                <w:szCs w:val="24"/>
                <w:lang w:val="en-US" w:eastAsia="zh-CN"/>
              </w:rPr>
            </w:pPr>
            <w:r>
              <w:rPr>
                <w:rFonts w:hint="eastAsia" w:cs="Times New Roman"/>
                <w:bCs w:val="0"/>
                <w:color w:val="auto"/>
                <w:kern w:val="2"/>
                <w:sz w:val="24"/>
                <w:szCs w:val="24"/>
                <w:lang w:val="en-US" w:eastAsia="zh-CN"/>
              </w:rPr>
              <w:t>熟石灰：</w:t>
            </w:r>
            <w:r>
              <w:rPr>
                <w:rFonts w:hint="eastAsia" w:ascii="Times New Roman" w:hAnsi="Times New Roman" w:eastAsia="宋体" w:cs="Times New Roman"/>
                <w:i w:val="0"/>
                <w:caps w:val="0"/>
                <w:color w:val="auto"/>
                <w:spacing w:val="0"/>
                <w:sz w:val="24"/>
                <w:szCs w:val="24"/>
                <w:shd w:val="clear"/>
              </w:rPr>
              <w:t>氢氧化钙，无机化合物，化学式Ca(OH)</w:t>
            </w:r>
            <w:r>
              <w:rPr>
                <w:rFonts w:hint="eastAsia" w:ascii="Times New Roman" w:hAnsi="Times New Roman" w:eastAsia="宋体" w:cs="Times New Roman"/>
                <w:i w:val="0"/>
                <w:caps w:val="0"/>
                <w:color w:val="auto"/>
                <w:spacing w:val="0"/>
                <w:sz w:val="24"/>
                <w:szCs w:val="24"/>
                <w:shd w:val="clear"/>
                <w:vertAlign w:val="subscript"/>
              </w:rPr>
              <w:t>2</w:t>
            </w:r>
            <w:r>
              <w:rPr>
                <w:rFonts w:hint="eastAsia" w:ascii="Times New Roman" w:hAnsi="Times New Roman" w:eastAsia="宋体" w:cs="Times New Roman"/>
                <w:i w:val="0"/>
                <w:caps w:val="0"/>
                <w:color w:val="auto"/>
                <w:spacing w:val="0"/>
                <w:sz w:val="24"/>
                <w:szCs w:val="24"/>
                <w:shd w:val="clear"/>
                <w:vertAlign w:val="baseline"/>
              </w:rPr>
              <w:t>，</w:t>
            </w:r>
            <w:r>
              <w:rPr>
                <w:rFonts w:hint="eastAsia" w:ascii="Times New Roman" w:hAnsi="Times New Roman" w:eastAsia="宋体" w:cs="Times New Roman"/>
                <w:i w:val="0"/>
                <w:caps w:val="0"/>
                <w:color w:val="auto"/>
                <w:spacing w:val="0"/>
                <w:sz w:val="24"/>
                <w:szCs w:val="24"/>
                <w:shd w:val="clear"/>
              </w:rPr>
              <w:t>俗称</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"https://baike.baidu.com/item/%E7%86%9F%E7%9F%B3%E7%81%B0/6464862"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熟石灰</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或消</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"https://baike.baidu.com/item/%E7%9F%B3%E7%81%B0/3665073"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石灰</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。是一种白色粉末状固体，加入水后，呈上下两层，上层水溶液称作</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"https://baike.baidu.com/item/%E6%BE%84%E6%B8%85%E7%9F%B3%E7%81%B0%E6%B0%B4/7794325"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澄清石灰水</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，下层悬浊液称作</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"https://baike.baidu.com/item/%E7%9F%B3%E7%81%B0%E4%B9%B3/256964"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石灰乳</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或</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"https://baike.baidu.com/item/%E7%9F%B3%E7%81%B0%E6%B5%86/3162081"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石灰浆</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。上层清液澄清石灰水可以检验</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"https://baike.baidu.com/item/%E4%BA%8C%E6%B0%A7%E5%8C%96%E7%A2%B3/349143"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二氧化碳</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，下层浑浊液体石灰乳是一种建筑材料。氢氧化钙是一种强碱，具有杀菌与防腐能力</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"https://baike.baidu.com/item//4738562"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，对皮肤，织物有腐蚀作用。氢氧化钙在工业中有广泛的应用。它是常用的建筑材料，也用作杀菌剂和化工原料等</w:t>
            </w:r>
            <w:r>
              <w:rPr>
                <w:rFonts w:hint="eastAsia" w:cs="Times New Roman"/>
                <w:bCs w:val="0"/>
                <w:color w:val="auto"/>
                <w:kern w:val="2"/>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bCs w:val="0"/>
                <w:color w:val="auto"/>
                <w:kern w:val="2"/>
                <w:sz w:val="24"/>
                <w:szCs w:val="24"/>
                <w:lang w:val="en-US" w:eastAsia="zh-CN"/>
              </w:rPr>
            </w:pPr>
            <w:r>
              <w:rPr>
                <w:rFonts w:hint="eastAsia" w:cs="Times New Roman"/>
                <w:bCs w:val="0"/>
                <w:color w:val="auto"/>
                <w:kern w:val="2"/>
                <w:sz w:val="24"/>
                <w:szCs w:val="24"/>
                <w:lang w:val="en-US" w:eastAsia="zh-CN"/>
              </w:rPr>
              <w:t>尿素：</w:t>
            </w:r>
            <w:r>
              <w:rPr>
                <w:rFonts w:hint="eastAsia" w:ascii="Times New Roman" w:hAnsi="Times New Roman" w:eastAsia="宋体" w:cs="Times New Roman"/>
                <w:i w:val="0"/>
                <w:caps w:val="0"/>
                <w:color w:val="auto"/>
                <w:spacing w:val="0"/>
                <w:sz w:val="24"/>
                <w:szCs w:val="24"/>
                <w:shd w:val="clear"/>
              </w:rPr>
              <w:t>又称</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"https://baike.baidu.com/item/%E7%A2%B3%E9%85%B0%E8%83%BA/4160952"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碳酰胺</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，是由</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"https://baike.baidu.com/item/%E7%A2%B3/457137"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碳</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、氮、氧、氢组成的</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"https://baike.baidu.com/item/%E6%9C%89%E6%9C%BA%E5%8C%96%E5%90%88%E7%89%A9/2950156"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有机化合物</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是一种白色</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"https://baike.baidu.com/item/%E6%99%B6%E4%BD%93/944670"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晶体</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。最简单的有机化合物之一，可与酸作用生成盐。有水解作用。在高温下可进行缩合反应，生成缩二脲、缩三脲和三聚氰酸。加热至160℃分解，产生</w:t>
            </w:r>
            <w:r>
              <w:rPr>
                <w:rFonts w:hint="eastAsia" w:ascii="Times New Roman" w:hAnsi="Times New Roman" w:eastAsia="宋体" w:cs="Times New Roman"/>
                <w:i w:val="0"/>
                <w:caps w:val="0"/>
                <w:color w:val="auto"/>
                <w:spacing w:val="0"/>
                <w:sz w:val="24"/>
                <w:szCs w:val="24"/>
                <w:u w:val="none"/>
                <w:shd w:val="clear"/>
              </w:rPr>
              <w:fldChar w:fldCharType="begin"/>
            </w:r>
            <w:r>
              <w:rPr>
                <w:rFonts w:hint="eastAsia" w:ascii="Times New Roman" w:hAnsi="Times New Roman" w:eastAsia="宋体" w:cs="Times New Roman"/>
                <w:i w:val="0"/>
                <w:caps w:val="0"/>
                <w:color w:val="auto"/>
                <w:spacing w:val="0"/>
                <w:sz w:val="24"/>
                <w:szCs w:val="24"/>
                <w:u w:val="none"/>
                <w:shd w:val="clear"/>
              </w:rPr>
              <w:instrText xml:space="preserve"> HYPERLINK "https://baike.baidu.com/item/%E6%B0%A8%E6%B0%94" \t "https://baike.baidu.com/item/_blank" </w:instrText>
            </w:r>
            <w:r>
              <w:rPr>
                <w:rFonts w:hint="eastAsia" w:ascii="Times New Roman" w:hAnsi="Times New Roman" w:eastAsia="宋体" w:cs="Times New Roman"/>
                <w:i w:val="0"/>
                <w:caps w:val="0"/>
                <w:color w:val="auto"/>
                <w:spacing w:val="0"/>
                <w:sz w:val="24"/>
                <w:szCs w:val="24"/>
                <w:u w:val="none"/>
                <w:shd w:val="clear"/>
              </w:rPr>
              <w:fldChar w:fldCharType="separate"/>
            </w:r>
            <w:r>
              <w:rPr>
                <w:rFonts w:hint="eastAsia" w:ascii="Times New Roman" w:hAnsi="Times New Roman" w:eastAsia="宋体" w:cs="Times New Roman"/>
                <w:i w:val="0"/>
                <w:caps w:val="0"/>
                <w:color w:val="auto"/>
                <w:spacing w:val="0"/>
                <w:sz w:val="24"/>
                <w:szCs w:val="24"/>
                <w:u w:val="none"/>
                <w:shd w:val="clear"/>
              </w:rPr>
              <w:t>氨气</w:t>
            </w:r>
            <w:r>
              <w:rPr>
                <w:rFonts w:hint="eastAsia" w:ascii="Times New Roman" w:hAnsi="Times New Roman" w:eastAsia="宋体" w:cs="Times New Roman"/>
                <w:i w:val="0"/>
                <w:caps w:val="0"/>
                <w:color w:val="auto"/>
                <w:spacing w:val="0"/>
                <w:sz w:val="24"/>
                <w:szCs w:val="24"/>
                <w:u w:val="none"/>
                <w:shd w:val="clear"/>
              </w:rPr>
              <w:fldChar w:fldCharType="end"/>
            </w:r>
            <w:r>
              <w:rPr>
                <w:rFonts w:hint="eastAsia" w:ascii="Times New Roman" w:hAnsi="Times New Roman" w:eastAsia="宋体" w:cs="Times New Roman"/>
                <w:i w:val="0"/>
                <w:caps w:val="0"/>
                <w:color w:val="auto"/>
                <w:spacing w:val="0"/>
                <w:sz w:val="24"/>
                <w:szCs w:val="24"/>
                <w:shd w:val="clear"/>
              </w:rPr>
              <w:t>同时变为异氰酸</w:t>
            </w:r>
            <w:r>
              <w:rPr>
                <w:rFonts w:hint="eastAsia" w:cs="Times New Roman"/>
                <w:bCs w:val="0"/>
                <w:color w:val="auto"/>
                <w:kern w:val="2"/>
                <w:sz w:val="24"/>
                <w:szCs w:val="24"/>
                <w:lang w:val="en-US" w:eastAsia="zh-CN"/>
              </w:rPr>
              <w:t>。</w:t>
            </w:r>
          </w:p>
          <w:p>
            <w:pPr>
              <w:spacing w:line="360" w:lineRule="auto"/>
              <w:jc w:val="center"/>
              <w:rPr>
                <w:rFonts w:hint="default" w:cs="Times New Roman"/>
                <w:b/>
                <w:bCs w:val="0"/>
                <w:color w:val="auto"/>
                <w:kern w:val="2"/>
                <w:sz w:val="21"/>
                <w:szCs w:val="21"/>
                <w:lang w:val="en-GB" w:eastAsia="zh-CN"/>
              </w:rPr>
            </w:pPr>
            <w:r>
              <w:rPr>
                <w:rFonts w:hint="default" w:cs="Times New Roman"/>
                <w:b/>
                <w:bCs w:val="0"/>
                <w:color w:val="auto"/>
                <w:kern w:val="2"/>
                <w:sz w:val="21"/>
                <w:szCs w:val="21"/>
                <w:lang w:val="en-GB" w:eastAsia="zh-CN"/>
              </w:rPr>
              <w:t>表1-1</w:t>
            </w:r>
            <w:r>
              <w:rPr>
                <w:rFonts w:hint="eastAsia" w:cs="Times New Roman"/>
                <w:b/>
                <w:bCs w:val="0"/>
                <w:color w:val="auto"/>
                <w:kern w:val="2"/>
                <w:sz w:val="21"/>
                <w:szCs w:val="21"/>
                <w:lang w:val="en-US" w:eastAsia="zh-CN"/>
              </w:rPr>
              <w:t>2</w:t>
            </w:r>
            <w:r>
              <w:rPr>
                <w:rFonts w:hint="default" w:cs="Times New Roman"/>
                <w:b/>
                <w:bCs w:val="0"/>
                <w:color w:val="auto"/>
                <w:kern w:val="2"/>
                <w:sz w:val="21"/>
                <w:szCs w:val="21"/>
                <w:lang w:val="en-GB" w:eastAsia="zh-CN"/>
              </w:rPr>
              <w:t xml:space="preserve">  </w:t>
            </w:r>
            <w:r>
              <w:rPr>
                <w:rFonts w:hint="eastAsia" w:cs="Times New Roman"/>
                <w:b/>
                <w:bCs w:val="0"/>
                <w:color w:val="auto"/>
                <w:kern w:val="2"/>
                <w:sz w:val="21"/>
                <w:szCs w:val="21"/>
                <w:lang w:val="en-US" w:eastAsia="zh-CN"/>
              </w:rPr>
              <w:t>项目原辅材料理化性质</w:t>
            </w:r>
            <w:r>
              <w:rPr>
                <w:rFonts w:hint="default" w:cs="Times New Roman"/>
                <w:b/>
                <w:bCs w:val="0"/>
                <w:color w:val="auto"/>
                <w:kern w:val="2"/>
                <w:sz w:val="21"/>
                <w:szCs w:val="21"/>
                <w:lang w:val="en-GB" w:eastAsia="zh-CN"/>
              </w:rPr>
              <w:t>一览表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050"/>
              <w:gridCol w:w="1050"/>
              <w:gridCol w:w="3046"/>
              <w:gridCol w:w="3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原料名称</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外观</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水溶性</w:t>
                  </w:r>
                </w:p>
              </w:tc>
              <w:tc>
                <w:tcPr>
                  <w:tcW w:w="30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化学性质</w:t>
                  </w:r>
                </w:p>
              </w:tc>
              <w:tc>
                <w:tcPr>
                  <w:tcW w:w="30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物理性质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片碱</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白色半透明片状固体</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s="微软雅黑"/>
                      <w:i w:val="0"/>
                      <w:caps w:val="0"/>
                      <w:color w:val="auto"/>
                      <w:spacing w:val="0"/>
                      <w:sz w:val="21"/>
                      <w:szCs w:val="35"/>
                      <w:shd w:val="clear" w:fill="FFFFFF"/>
                      <w:lang w:eastAsia="zh-CN"/>
                    </w:rPr>
                    <w:t>1</w:t>
                  </w:r>
                  <w:r>
                    <w:rPr>
                      <w:rFonts w:hint="eastAsia" w:ascii="Times New Roman" w:hAnsi="Times New Roman" w:eastAsia="宋体" w:cs="微软雅黑"/>
                      <w:i w:val="0"/>
                      <w:caps w:val="0"/>
                      <w:color w:val="auto"/>
                      <w:spacing w:val="0"/>
                      <w:sz w:val="21"/>
                      <w:szCs w:val="35"/>
                      <w:shd w:val="clear" w:fill="FFFFFF"/>
                      <w:lang w:val="en-US" w:eastAsia="zh-CN"/>
                    </w:rPr>
                    <w:t>090</w:t>
                  </w:r>
                  <w:r>
                    <w:rPr>
                      <w:rFonts w:ascii="Times New Roman" w:hAnsi="Times New Roman" w:eastAsia="宋体" w:cs="微软雅黑"/>
                      <w:i w:val="0"/>
                      <w:caps w:val="0"/>
                      <w:color w:val="auto"/>
                      <w:spacing w:val="0"/>
                      <w:sz w:val="21"/>
                      <w:szCs w:val="35"/>
                      <w:shd w:val="clear" w:fill="FFFFFF"/>
                    </w:rPr>
                    <w:t>g</w:t>
                  </w:r>
                  <w:r>
                    <w:rPr>
                      <w:rFonts w:hint="eastAsia" w:ascii="Times New Roman" w:hAnsi="Times New Roman" w:eastAsia="宋体" w:cs="Arial"/>
                      <w:i w:val="0"/>
                      <w:caps w:val="0"/>
                      <w:color w:val="auto"/>
                      <w:spacing w:val="0"/>
                      <w:sz w:val="21"/>
                      <w:szCs w:val="21"/>
                      <w:shd w:val="clear" w:fill="FFFFFF"/>
                    </w:rPr>
                    <w:t>/L</w:t>
                  </w:r>
                  <w:r>
                    <w:rPr>
                      <w:rFonts w:ascii="Times New Roman" w:hAnsi="Times New Roman" w:eastAsia="宋体" w:cs="微软雅黑"/>
                      <w:i w:val="0"/>
                      <w:caps w:val="0"/>
                      <w:color w:val="auto"/>
                      <w:spacing w:val="0"/>
                      <w:sz w:val="21"/>
                      <w:szCs w:val="35"/>
                      <w:shd w:val="clear" w:fill="FFFFFF"/>
                    </w:rPr>
                    <w:t xml:space="preserve"> </w:t>
                  </w:r>
                  <w:r>
                    <w:rPr>
                      <w:rFonts w:hint="eastAsia" w:ascii="Times New Roman" w:hAnsi="Times New Roman" w:eastAsia="宋体" w:cs="微软雅黑"/>
                      <w:i w:val="0"/>
                      <w:caps w:val="0"/>
                      <w:color w:val="auto"/>
                      <w:spacing w:val="0"/>
                      <w:sz w:val="21"/>
                      <w:szCs w:val="35"/>
                      <w:shd w:val="clear" w:fill="FFFFFF"/>
                      <w:lang w:eastAsia="zh-CN"/>
                    </w:rPr>
                    <w:t>（</w:t>
                  </w:r>
                  <w:r>
                    <w:rPr>
                      <w:rFonts w:ascii="Times New Roman" w:hAnsi="Times New Roman" w:eastAsia="宋体" w:cs="微软雅黑"/>
                      <w:i w:val="0"/>
                      <w:caps w:val="0"/>
                      <w:color w:val="auto"/>
                      <w:spacing w:val="0"/>
                      <w:sz w:val="21"/>
                      <w:szCs w:val="35"/>
                      <w:shd w:val="clear" w:fill="FFFFFF"/>
                    </w:rPr>
                    <w:t>20 ℃</w:t>
                  </w:r>
                  <w:r>
                    <w:rPr>
                      <w:rFonts w:hint="eastAsia" w:ascii="Times New Roman" w:hAnsi="Times New Roman" w:eastAsia="宋体" w:cs="微软雅黑"/>
                      <w:i w:val="0"/>
                      <w:caps w:val="0"/>
                      <w:color w:val="auto"/>
                      <w:spacing w:val="0"/>
                      <w:sz w:val="21"/>
                      <w:szCs w:val="35"/>
                      <w:shd w:val="clear" w:fill="FFFFFF"/>
                      <w:lang w:eastAsia="zh-CN"/>
                    </w:rPr>
                    <w:t>）（</w:t>
                  </w:r>
                  <w:r>
                    <w:rPr>
                      <w:rFonts w:ascii="Times New Roman" w:hAnsi="Times New Roman" w:eastAsia="宋体" w:cs="微软雅黑"/>
                      <w:i w:val="0"/>
                      <w:caps w:val="0"/>
                      <w:color w:val="auto"/>
                      <w:spacing w:val="0"/>
                      <w:sz w:val="21"/>
                      <w:szCs w:val="35"/>
                      <w:shd w:val="clear" w:fill="FFFFFF"/>
                    </w:rPr>
                    <w:t>极易溶于水</w:t>
                  </w:r>
                  <w:r>
                    <w:rPr>
                      <w:rFonts w:hint="eastAsia" w:ascii="Times New Roman" w:hAnsi="Times New Roman" w:eastAsia="宋体" w:cs="微软雅黑"/>
                      <w:i w:val="0"/>
                      <w:caps w:val="0"/>
                      <w:color w:val="auto"/>
                      <w:spacing w:val="0"/>
                      <w:sz w:val="21"/>
                      <w:szCs w:val="35"/>
                      <w:shd w:val="clear" w:fill="FFFFFF"/>
                      <w:lang w:eastAsia="zh-CN"/>
                    </w:rPr>
                    <w:t>）</w:t>
                  </w:r>
                </w:p>
              </w:tc>
              <w:tc>
                <w:tcPr>
                  <w:tcW w:w="3046" w:type="dxa"/>
                  <w:tcBorders>
                    <w:tl2br w:val="nil"/>
                    <w:tr2bl w:val="nil"/>
                  </w:tcBorders>
                  <w:vAlign w:val="center"/>
                </w:tcPr>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eastAsia" w:ascii="Times New Roman" w:hAnsi="Times New Roman" w:eastAsia="宋体" w:cs="微软雅黑"/>
                      <w:i w:val="0"/>
                      <w:caps w:val="0"/>
                      <w:color w:val="auto"/>
                      <w:spacing w:val="0"/>
                      <w:sz w:val="21"/>
                      <w:szCs w:val="24"/>
                    </w:rPr>
                  </w:pPr>
                  <w:r>
                    <w:rPr>
                      <w:rFonts w:hint="eastAsia" w:ascii="Times New Roman" w:hAnsi="Times New Roman" w:eastAsia="宋体" w:cs="微软雅黑"/>
                      <w:i w:val="0"/>
                      <w:caps w:val="0"/>
                      <w:color w:val="auto"/>
                      <w:spacing w:val="0"/>
                      <w:sz w:val="21"/>
                      <w:szCs w:val="24"/>
                      <w:shd w:val="clear" w:fill="FFFFFF"/>
                      <w:lang w:eastAsia="zh-CN"/>
                    </w:rPr>
                    <w:t>①</w:t>
                  </w:r>
                  <w:r>
                    <w:rPr>
                      <w:rFonts w:hint="eastAsia" w:ascii="Times New Roman" w:hAnsi="Times New Roman" w:eastAsia="宋体" w:cs="微软雅黑"/>
                      <w:i w:val="0"/>
                      <w:caps w:val="0"/>
                      <w:color w:val="auto"/>
                      <w:spacing w:val="0"/>
                      <w:sz w:val="21"/>
                      <w:szCs w:val="24"/>
                      <w:shd w:val="clear" w:fill="FFFFFF"/>
                    </w:rPr>
                    <w:t>氢氧化钠溶于水中会完全解离成钠离子与氢氧根离子，所以它具有碱的通性。</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eastAsia" w:ascii="Times New Roman" w:hAnsi="Times New Roman" w:eastAsia="宋体" w:cs="微软雅黑"/>
                      <w:i w:val="0"/>
                      <w:caps w:val="0"/>
                      <w:color w:val="auto"/>
                      <w:spacing w:val="0"/>
                      <w:sz w:val="21"/>
                      <w:szCs w:val="24"/>
                    </w:rPr>
                  </w:pPr>
                  <w:r>
                    <w:rPr>
                      <w:rFonts w:hint="eastAsia" w:ascii="Times New Roman" w:hAnsi="Times New Roman" w:eastAsia="宋体" w:cs="微软雅黑"/>
                      <w:i w:val="0"/>
                      <w:caps w:val="0"/>
                      <w:color w:val="auto"/>
                      <w:spacing w:val="0"/>
                      <w:sz w:val="21"/>
                      <w:szCs w:val="24"/>
                      <w:shd w:val="clear" w:fill="FFFFFF"/>
                      <w:lang w:eastAsia="zh-CN"/>
                    </w:rPr>
                    <w:t>②</w:t>
                  </w:r>
                  <w:r>
                    <w:rPr>
                      <w:rFonts w:hint="eastAsia" w:ascii="Times New Roman" w:hAnsi="Times New Roman" w:eastAsia="宋体" w:cs="微软雅黑"/>
                      <w:i w:val="0"/>
                      <w:caps w:val="0"/>
                      <w:color w:val="auto"/>
                      <w:spacing w:val="0"/>
                      <w:sz w:val="21"/>
                      <w:szCs w:val="24"/>
                      <w:shd w:val="clear" w:fill="FFFFFF"/>
                    </w:rPr>
                    <w:t>氢氧化钠在空气中容易变质成碳酸钠，因为空气中含有酸性氧化物二氧化碳。</w:t>
                  </w:r>
                </w:p>
                <w:p>
                  <w:pPr>
                    <w:pStyle w:val="22"/>
                    <w:widowControl/>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jc w:val="both"/>
                    <w:rPr>
                      <w:rFonts w:hint="default" w:ascii="Times New Roman" w:hAnsi="Times New Roman" w:eastAsia="宋体"/>
                      <w:color w:val="auto"/>
                      <w:sz w:val="21"/>
                      <w:vertAlign w:val="baseline"/>
                      <w:lang w:val="en-US" w:eastAsia="zh-CN"/>
                    </w:rPr>
                  </w:pPr>
                  <w:r>
                    <w:rPr>
                      <w:rFonts w:hint="eastAsia" w:ascii="Times New Roman" w:hAnsi="Times New Roman" w:eastAsia="宋体" w:cs="微软雅黑"/>
                      <w:i w:val="0"/>
                      <w:caps w:val="0"/>
                      <w:color w:val="auto"/>
                      <w:spacing w:val="0"/>
                      <w:sz w:val="21"/>
                      <w:szCs w:val="24"/>
                      <w:shd w:val="clear" w:fill="FFFFFF"/>
                      <w:lang w:eastAsia="zh-CN"/>
                    </w:rPr>
                    <w:t>③</w:t>
                  </w:r>
                  <w:r>
                    <w:rPr>
                      <w:rFonts w:hint="eastAsia" w:ascii="Times New Roman" w:hAnsi="Times New Roman" w:eastAsia="宋体" w:cs="微软雅黑"/>
                      <w:i w:val="0"/>
                      <w:caps w:val="0"/>
                      <w:color w:val="auto"/>
                      <w:spacing w:val="0"/>
                      <w:sz w:val="21"/>
                      <w:szCs w:val="24"/>
                      <w:shd w:val="clear" w:fill="FFFFFF"/>
                    </w:rPr>
                    <w:t>铝会与氢氧化钠反应生成氢气。</w:t>
                  </w:r>
                </w:p>
              </w:tc>
              <w:tc>
                <w:tcPr>
                  <w:tcW w:w="3046" w:type="dxa"/>
                  <w:tcBorders>
                    <w:tl2br w:val="nil"/>
                    <w:tr2bl w:val="nil"/>
                  </w:tcBorders>
                  <w:vAlign w:val="center"/>
                </w:tcPr>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eastAsia" w:ascii="Times New Roman" w:hAnsi="Times New Roman" w:eastAsia="宋体" w:cs="微软雅黑"/>
                      <w:i w:val="0"/>
                      <w:caps w:val="0"/>
                      <w:color w:val="auto"/>
                      <w:spacing w:val="0"/>
                      <w:sz w:val="21"/>
                      <w:szCs w:val="24"/>
                    </w:rPr>
                  </w:pPr>
                  <w:r>
                    <w:rPr>
                      <w:rFonts w:hint="eastAsia" w:ascii="Times New Roman" w:hAnsi="Times New Roman" w:eastAsia="宋体" w:cs="微软雅黑"/>
                      <w:i w:val="0"/>
                      <w:caps w:val="0"/>
                      <w:color w:val="auto"/>
                      <w:spacing w:val="0"/>
                      <w:sz w:val="21"/>
                      <w:szCs w:val="24"/>
                      <w:u w:val="none"/>
                      <w:shd w:val="clear" w:fill="FFFFFF"/>
                      <w:lang w:eastAsia="zh-CN"/>
                    </w:rPr>
                    <w:t>①</w:t>
                  </w:r>
                  <w:r>
                    <w:rPr>
                      <w:rFonts w:hint="eastAsia" w:ascii="Times New Roman" w:hAnsi="Times New Roman" w:eastAsia="宋体" w:cs="微软雅黑"/>
                      <w:i w:val="0"/>
                      <w:caps w:val="0"/>
                      <w:color w:val="auto"/>
                      <w:spacing w:val="0"/>
                      <w:sz w:val="21"/>
                      <w:szCs w:val="24"/>
                      <w:u w:val="none"/>
                      <w:shd w:val="clear" w:fill="FFFFFF"/>
                    </w:rPr>
                    <w:fldChar w:fldCharType="begin"/>
                  </w:r>
                  <w:r>
                    <w:rPr>
                      <w:rFonts w:hint="eastAsia" w:ascii="Times New Roman" w:hAnsi="Times New Roman" w:eastAsia="宋体" w:cs="微软雅黑"/>
                      <w:i w:val="0"/>
                      <w:caps w:val="0"/>
                      <w:color w:val="auto"/>
                      <w:spacing w:val="0"/>
                      <w:sz w:val="21"/>
                      <w:szCs w:val="24"/>
                      <w:u w:val="none"/>
                      <w:shd w:val="clear" w:fill="FFFFFF"/>
                    </w:rPr>
                    <w:instrText xml:space="preserve"> HYPERLINK "https://www.baidu.com/s?wd=%E6%B0%A2%E6%B0%A7%E5%8C%96%E9%92%A0&amp;tn=SE_PcZhidaonwhc_ngpagmjz&amp;rsv_dl=gh_pc_zhidao" \t "https://zhidao.baidu.com/question/_blank" </w:instrText>
                  </w:r>
                  <w:r>
                    <w:rPr>
                      <w:rFonts w:hint="eastAsia" w:ascii="Times New Roman" w:hAnsi="Times New Roman" w:eastAsia="宋体" w:cs="微软雅黑"/>
                      <w:i w:val="0"/>
                      <w:caps w:val="0"/>
                      <w:color w:val="auto"/>
                      <w:spacing w:val="0"/>
                      <w:sz w:val="21"/>
                      <w:szCs w:val="24"/>
                      <w:u w:val="none"/>
                      <w:shd w:val="clear" w:fill="FFFFFF"/>
                    </w:rPr>
                    <w:fldChar w:fldCharType="separate"/>
                  </w:r>
                  <w:r>
                    <w:rPr>
                      <w:rStyle w:val="30"/>
                      <w:rFonts w:hint="eastAsia" w:ascii="Times New Roman" w:hAnsi="Times New Roman" w:eastAsia="宋体" w:cs="微软雅黑"/>
                      <w:i w:val="0"/>
                      <w:caps w:val="0"/>
                      <w:color w:val="auto"/>
                      <w:spacing w:val="0"/>
                      <w:sz w:val="21"/>
                      <w:szCs w:val="24"/>
                      <w:u w:val="none"/>
                      <w:shd w:val="clear" w:fill="FFFFFF"/>
                    </w:rPr>
                    <w:t>氢氧化钠</w:t>
                  </w:r>
                  <w:r>
                    <w:rPr>
                      <w:rFonts w:hint="eastAsia" w:ascii="Times New Roman" w:hAnsi="Times New Roman" w:eastAsia="宋体" w:cs="微软雅黑"/>
                      <w:i w:val="0"/>
                      <w:caps w:val="0"/>
                      <w:color w:val="auto"/>
                      <w:spacing w:val="0"/>
                      <w:sz w:val="21"/>
                      <w:szCs w:val="24"/>
                      <w:u w:val="none"/>
                      <w:shd w:val="clear" w:fill="FFFFFF"/>
                    </w:rPr>
                    <w:fldChar w:fldCharType="end"/>
                  </w:r>
                  <w:r>
                    <w:rPr>
                      <w:rFonts w:hint="eastAsia" w:ascii="Times New Roman" w:hAnsi="Times New Roman" w:eastAsia="宋体" w:cs="微软雅黑"/>
                      <w:i w:val="0"/>
                      <w:caps w:val="0"/>
                      <w:color w:val="auto"/>
                      <w:spacing w:val="0"/>
                      <w:sz w:val="21"/>
                      <w:szCs w:val="24"/>
                      <w:shd w:val="clear" w:fill="FFFFFF"/>
                    </w:rPr>
                    <w:t>为白色半透明结晶状固体。其水溶液有涩味和滑腻感。</w:t>
                  </w:r>
                </w:p>
                <w:p>
                  <w:pPr>
                    <w:pStyle w:val="22"/>
                    <w:widowControl/>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jc w:val="both"/>
                    <w:rPr>
                      <w:rFonts w:hint="default" w:ascii="Times New Roman" w:hAnsi="Times New Roman" w:eastAsia="宋体"/>
                      <w:color w:val="auto"/>
                      <w:sz w:val="21"/>
                      <w:vertAlign w:val="baseline"/>
                      <w:lang w:val="en-US" w:eastAsia="zh-CN"/>
                    </w:rPr>
                  </w:pPr>
                  <w:r>
                    <w:rPr>
                      <w:rFonts w:hint="eastAsia" w:ascii="Times New Roman" w:hAnsi="Times New Roman" w:eastAsia="宋体" w:cs="微软雅黑"/>
                      <w:i w:val="0"/>
                      <w:caps w:val="0"/>
                      <w:color w:val="auto"/>
                      <w:spacing w:val="0"/>
                      <w:sz w:val="21"/>
                      <w:szCs w:val="24"/>
                      <w:shd w:val="clear" w:fill="FFFFFF"/>
                      <w:lang w:eastAsia="zh-CN"/>
                    </w:rPr>
                    <w:t>②</w:t>
                  </w:r>
                  <w:r>
                    <w:rPr>
                      <w:rFonts w:hint="eastAsia" w:ascii="Times New Roman" w:hAnsi="Times New Roman" w:eastAsia="宋体" w:cs="微软雅黑"/>
                      <w:i w:val="0"/>
                      <w:caps w:val="0"/>
                      <w:color w:val="auto"/>
                      <w:spacing w:val="0"/>
                      <w:sz w:val="21"/>
                      <w:szCs w:val="24"/>
                      <w:shd w:val="clear" w:fill="FFFFFF"/>
                    </w:rPr>
                    <w:t>吸水性（潮解性）：</w:t>
                  </w:r>
                  <w:r>
                    <w:rPr>
                      <w:rFonts w:hint="eastAsia" w:ascii="Times New Roman" w:hAnsi="Times New Roman" w:eastAsia="宋体" w:cs="微软雅黑"/>
                      <w:i w:val="0"/>
                      <w:caps w:val="0"/>
                      <w:color w:val="auto"/>
                      <w:spacing w:val="0"/>
                      <w:sz w:val="21"/>
                      <w:szCs w:val="24"/>
                      <w:u w:val="none"/>
                      <w:shd w:val="clear" w:fill="FFFFFF"/>
                    </w:rPr>
                    <w:fldChar w:fldCharType="begin"/>
                  </w:r>
                  <w:r>
                    <w:rPr>
                      <w:rFonts w:hint="eastAsia" w:ascii="Times New Roman" w:hAnsi="Times New Roman" w:eastAsia="宋体" w:cs="微软雅黑"/>
                      <w:i w:val="0"/>
                      <w:caps w:val="0"/>
                      <w:color w:val="auto"/>
                      <w:spacing w:val="0"/>
                      <w:sz w:val="21"/>
                      <w:szCs w:val="24"/>
                      <w:u w:val="none"/>
                      <w:shd w:val="clear" w:fill="FFFFFF"/>
                    </w:rPr>
                    <w:instrText xml:space="preserve"> HYPERLINK "https://www.baidu.com/s?wd=%E6%B0%A2%E6%B0%A7%E5%8C%96%E9%92%A0&amp;tn=SE_PcZhidaonwhc_ngpagmjz&amp;rsv_dl=gh_pc_zhidao" \t "https://zhidao.baidu.com/question/_blank" </w:instrText>
                  </w:r>
                  <w:r>
                    <w:rPr>
                      <w:rFonts w:hint="eastAsia" w:ascii="Times New Roman" w:hAnsi="Times New Roman" w:eastAsia="宋体" w:cs="微软雅黑"/>
                      <w:i w:val="0"/>
                      <w:caps w:val="0"/>
                      <w:color w:val="auto"/>
                      <w:spacing w:val="0"/>
                      <w:sz w:val="21"/>
                      <w:szCs w:val="24"/>
                      <w:u w:val="none"/>
                      <w:shd w:val="clear" w:fill="FFFFFF"/>
                    </w:rPr>
                    <w:fldChar w:fldCharType="separate"/>
                  </w:r>
                  <w:r>
                    <w:rPr>
                      <w:rStyle w:val="30"/>
                      <w:rFonts w:hint="eastAsia" w:ascii="Times New Roman" w:hAnsi="Times New Roman" w:eastAsia="宋体" w:cs="微软雅黑"/>
                      <w:i w:val="0"/>
                      <w:caps w:val="0"/>
                      <w:color w:val="auto"/>
                      <w:spacing w:val="0"/>
                      <w:sz w:val="21"/>
                      <w:szCs w:val="24"/>
                      <w:u w:val="none"/>
                      <w:shd w:val="clear" w:fill="FFFFFF"/>
                    </w:rPr>
                    <w:t>氢氧化钠</w:t>
                  </w:r>
                  <w:r>
                    <w:rPr>
                      <w:rFonts w:hint="eastAsia" w:ascii="Times New Roman" w:hAnsi="Times New Roman" w:eastAsia="宋体" w:cs="微软雅黑"/>
                      <w:i w:val="0"/>
                      <w:caps w:val="0"/>
                      <w:color w:val="auto"/>
                      <w:spacing w:val="0"/>
                      <w:sz w:val="21"/>
                      <w:szCs w:val="24"/>
                      <w:u w:val="none"/>
                      <w:shd w:val="clear" w:fill="FFFFFF"/>
                    </w:rPr>
                    <w:fldChar w:fldCharType="end"/>
                  </w:r>
                  <w:r>
                    <w:rPr>
                      <w:rFonts w:hint="eastAsia" w:ascii="Times New Roman" w:hAnsi="Times New Roman" w:eastAsia="宋体" w:cs="微软雅黑"/>
                      <w:i w:val="0"/>
                      <w:caps w:val="0"/>
                      <w:color w:val="auto"/>
                      <w:spacing w:val="0"/>
                      <w:sz w:val="21"/>
                      <w:szCs w:val="24"/>
                      <w:shd w:val="clear" w:fill="FFFFFF"/>
                    </w:rPr>
                    <w:t>在空气中易潮解，故常用固体</w:t>
                  </w:r>
                  <w:r>
                    <w:rPr>
                      <w:rFonts w:hint="eastAsia" w:ascii="Times New Roman" w:hAnsi="Times New Roman" w:eastAsia="宋体" w:cs="微软雅黑"/>
                      <w:i w:val="0"/>
                      <w:caps w:val="0"/>
                      <w:color w:val="auto"/>
                      <w:spacing w:val="0"/>
                      <w:sz w:val="21"/>
                      <w:szCs w:val="24"/>
                      <w:u w:val="none"/>
                      <w:shd w:val="clear" w:fill="FFFFFF"/>
                    </w:rPr>
                    <w:fldChar w:fldCharType="begin"/>
                  </w:r>
                  <w:r>
                    <w:rPr>
                      <w:rFonts w:hint="eastAsia" w:ascii="Times New Roman" w:hAnsi="Times New Roman" w:eastAsia="宋体" w:cs="微软雅黑"/>
                      <w:i w:val="0"/>
                      <w:caps w:val="0"/>
                      <w:color w:val="auto"/>
                      <w:spacing w:val="0"/>
                      <w:sz w:val="21"/>
                      <w:szCs w:val="24"/>
                      <w:u w:val="none"/>
                      <w:shd w:val="clear" w:fill="FFFFFF"/>
                    </w:rPr>
                    <w:instrText xml:space="preserve"> HYPERLINK "https://www.baidu.com/s?wd=%E6%B0%A2%E6%B0%A7%E5%8C%96%E9%92%A0&amp;tn=SE_PcZhidaonwhc_ngpagmjz&amp;rsv_dl=gh_pc_zhidao" \t "https://zhidao.baidu.com/question/_blank" </w:instrText>
                  </w:r>
                  <w:r>
                    <w:rPr>
                      <w:rFonts w:hint="eastAsia" w:ascii="Times New Roman" w:hAnsi="Times New Roman" w:eastAsia="宋体" w:cs="微软雅黑"/>
                      <w:i w:val="0"/>
                      <w:caps w:val="0"/>
                      <w:color w:val="auto"/>
                      <w:spacing w:val="0"/>
                      <w:sz w:val="21"/>
                      <w:szCs w:val="24"/>
                      <w:u w:val="none"/>
                      <w:shd w:val="clear" w:fill="FFFFFF"/>
                    </w:rPr>
                    <w:fldChar w:fldCharType="separate"/>
                  </w:r>
                  <w:r>
                    <w:rPr>
                      <w:rStyle w:val="30"/>
                      <w:rFonts w:hint="eastAsia" w:ascii="Times New Roman" w:hAnsi="Times New Roman" w:eastAsia="宋体" w:cs="微软雅黑"/>
                      <w:i w:val="0"/>
                      <w:caps w:val="0"/>
                      <w:color w:val="auto"/>
                      <w:spacing w:val="0"/>
                      <w:sz w:val="21"/>
                      <w:szCs w:val="24"/>
                      <w:u w:val="none"/>
                      <w:shd w:val="clear" w:fill="FFFFFF"/>
                    </w:rPr>
                    <w:t>氢氧化钠</w:t>
                  </w:r>
                  <w:r>
                    <w:rPr>
                      <w:rFonts w:hint="eastAsia" w:ascii="Times New Roman" w:hAnsi="Times New Roman" w:eastAsia="宋体" w:cs="微软雅黑"/>
                      <w:i w:val="0"/>
                      <w:caps w:val="0"/>
                      <w:color w:val="auto"/>
                      <w:spacing w:val="0"/>
                      <w:sz w:val="21"/>
                      <w:szCs w:val="24"/>
                      <w:u w:val="none"/>
                      <w:shd w:val="clear" w:fill="FFFFFF"/>
                    </w:rPr>
                    <w:fldChar w:fldCharType="end"/>
                  </w:r>
                  <w:r>
                    <w:rPr>
                      <w:rFonts w:hint="eastAsia" w:ascii="Times New Roman" w:hAnsi="Times New Roman" w:eastAsia="宋体" w:cs="微软雅黑"/>
                      <w:i w:val="0"/>
                      <w:caps w:val="0"/>
                      <w:color w:val="auto"/>
                      <w:spacing w:val="0"/>
                      <w:sz w:val="21"/>
                      <w:szCs w:val="24"/>
                      <w:shd w:val="clear" w:fill="FFFFFF"/>
                    </w:rPr>
                    <w:t>做干燥剂。但液态氢氧化钠没有吸水性。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熟石灰</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白色粉末状固体</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s="Arial"/>
                      <w:i w:val="0"/>
                      <w:caps w:val="0"/>
                      <w:color w:val="auto"/>
                      <w:spacing w:val="0"/>
                      <w:sz w:val="21"/>
                      <w:szCs w:val="18"/>
                      <w:shd w:val="clear" w:fill="FFFFFF"/>
                    </w:rPr>
                    <w:t xml:space="preserve">1.65 g/L </w:t>
                  </w:r>
                  <w:r>
                    <w:rPr>
                      <w:rFonts w:hint="eastAsia" w:ascii="Times New Roman" w:hAnsi="Times New Roman" w:eastAsia="宋体" w:cs="微软雅黑"/>
                      <w:i w:val="0"/>
                      <w:caps w:val="0"/>
                      <w:color w:val="auto"/>
                      <w:spacing w:val="0"/>
                      <w:sz w:val="21"/>
                      <w:szCs w:val="35"/>
                      <w:shd w:val="clear" w:fill="FFFFFF"/>
                      <w:lang w:eastAsia="zh-CN"/>
                    </w:rPr>
                    <w:t>（</w:t>
                  </w:r>
                  <w:r>
                    <w:rPr>
                      <w:rFonts w:ascii="Times New Roman" w:hAnsi="Times New Roman" w:eastAsia="宋体" w:cs="微软雅黑"/>
                      <w:i w:val="0"/>
                      <w:caps w:val="0"/>
                      <w:color w:val="auto"/>
                      <w:spacing w:val="0"/>
                      <w:sz w:val="21"/>
                      <w:szCs w:val="35"/>
                      <w:shd w:val="clear" w:fill="FFFFFF"/>
                    </w:rPr>
                    <w:t>20 ℃</w:t>
                  </w:r>
                  <w:r>
                    <w:rPr>
                      <w:rFonts w:hint="eastAsia" w:ascii="Times New Roman" w:hAnsi="Times New Roman" w:eastAsia="宋体" w:cs="微软雅黑"/>
                      <w:i w:val="0"/>
                      <w:caps w:val="0"/>
                      <w:color w:val="auto"/>
                      <w:spacing w:val="0"/>
                      <w:sz w:val="21"/>
                      <w:szCs w:val="35"/>
                      <w:shd w:val="clear" w:fill="FFFFFF"/>
                      <w:lang w:eastAsia="zh-CN"/>
                    </w:rPr>
                    <w:t>）</w:t>
                  </w:r>
                  <w:r>
                    <w:rPr>
                      <w:rFonts w:hint="eastAsia" w:ascii="Times New Roman" w:hAnsi="Times New Roman" w:eastAsia="宋体" w:cs="Arial"/>
                      <w:i w:val="0"/>
                      <w:caps w:val="0"/>
                      <w:color w:val="auto"/>
                      <w:spacing w:val="0"/>
                      <w:sz w:val="21"/>
                      <w:szCs w:val="18"/>
                      <w:shd w:val="clear" w:fill="FFFFFF"/>
                    </w:rPr>
                    <w:t>（微溶</w:t>
                  </w:r>
                  <w:r>
                    <w:rPr>
                      <w:rFonts w:hint="eastAsia" w:ascii="Times New Roman" w:hAnsi="Times New Roman" w:eastAsia="宋体" w:cs="Arial"/>
                      <w:i w:val="0"/>
                      <w:caps w:val="0"/>
                      <w:color w:val="auto"/>
                      <w:spacing w:val="0"/>
                      <w:sz w:val="21"/>
                      <w:szCs w:val="18"/>
                      <w:shd w:val="clear" w:fill="FFFFFF"/>
                      <w:lang w:eastAsia="zh-CN"/>
                    </w:rPr>
                    <w:t>于水</w:t>
                  </w:r>
                  <w:r>
                    <w:rPr>
                      <w:rFonts w:hint="eastAsia" w:ascii="Times New Roman" w:hAnsi="Times New Roman" w:eastAsia="宋体" w:cs="Arial"/>
                      <w:i w:val="0"/>
                      <w:caps w:val="0"/>
                      <w:color w:val="auto"/>
                      <w:spacing w:val="0"/>
                      <w:sz w:val="21"/>
                      <w:szCs w:val="18"/>
                      <w:shd w:val="clear" w:fill="FFFFFF"/>
                    </w:rPr>
                    <w:t>）</w:t>
                  </w:r>
                </w:p>
              </w:tc>
              <w:tc>
                <w:tcPr>
                  <w:tcW w:w="3046" w:type="dxa"/>
                  <w:tcBorders>
                    <w:tl2br w:val="nil"/>
                    <w:tr2bl w:val="nil"/>
                  </w:tcBorders>
                  <w:vAlign w:val="center"/>
                </w:tcPr>
                <w:p>
                  <w:pPr>
                    <w:keepNext w:val="0"/>
                    <w:keepLines w:val="0"/>
                    <w:widowControl/>
                    <w:suppressLineNumbers w:val="0"/>
                    <w:shd w:val="clear" w:fill="FFFFFF"/>
                    <w:spacing w:after="0" w:afterAutospacing="0" w:line="240" w:lineRule="auto"/>
                    <w:ind w:left="0" w:firstLine="0"/>
                    <w:jc w:val="both"/>
                    <w:rPr>
                      <w:rFonts w:hint="default" w:ascii="Times New Roman" w:hAnsi="Times New Roman" w:eastAsia="宋体" w:cs="Arial"/>
                      <w:i w:val="0"/>
                      <w:caps w:val="0"/>
                      <w:color w:val="auto"/>
                      <w:spacing w:val="0"/>
                      <w:kern w:val="0"/>
                      <w:sz w:val="21"/>
                      <w:szCs w:val="21"/>
                      <w:shd w:val="clear" w:fill="FFFFFF"/>
                      <w:lang w:val="en-US" w:eastAsia="zh-CN" w:bidi="ar"/>
                    </w:rPr>
                  </w:pPr>
                  <w:r>
                    <w:rPr>
                      <w:rFonts w:hint="eastAsia" w:ascii="Times New Roman" w:hAnsi="Times New Roman" w:eastAsia="宋体" w:cs="Arial"/>
                      <w:i w:val="0"/>
                      <w:caps w:val="0"/>
                      <w:color w:val="auto"/>
                      <w:spacing w:val="0"/>
                      <w:kern w:val="0"/>
                      <w:sz w:val="21"/>
                      <w:szCs w:val="21"/>
                      <w:shd w:val="clear" w:fill="FFFFFF"/>
                      <w:lang w:val="en-US" w:eastAsia="zh-CN" w:bidi="ar"/>
                    </w:rPr>
                    <w:t>①</w:t>
                  </w:r>
                  <w:r>
                    <w:rPr>
                      <w:rFonts w:hint="default" w:ascii="Times New Roman" w:hAnsi="Times New Roman" w:eastAsia="宋体" w:cs="Arial"/>
                      <w:i w:val="0"/>
                      <w:caps w:val="0"/>
                      <w:color w:val="auto"/>
                      <w:spacing w:val="0"/>
                      <w:kern w:val="0"/>
                      <w:sz w:val="21"/>
                      <w:szCs w:val="21"/>
                      <w:shd w:val="clear" w:fill="FFFFFF"/>
                      <w:lang w:val="en-US" w:eastAsia="zh-CN" w:bidi="ar"/>
                    </w:rPr>
                    <w:t>氢氧化钙是强碱，对皮肤、织物有</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"https://baike.baidu.com/item/%E8%85%90%E8%9A%80%E4%BD%9C%E7%94%A8"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腐蚀作用</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。但因其溶解度不大，所以危害程度不如氢氧化钠等强碱大。</w:t>
                  </w:r>
                </w:p>
                <w:p>
                  <w:pPr>
                    <w:keepNext w:val="0"/>
                    <w:keepLines w:val="0"/>
                    <w:pageBreakBefore w:val="0"/>
                    <w:widowControl/>
                    <w:shd w:val="clear" w:fill="FFFFFF"/>
                    <w:kinsoku/>
                    <w:wordWrap/>
                    <w:overflowPunct/>
                    <w:topLinePunct w:val="0"/>
                    <w:autoSpaceDE/>
                    <w:autoSpaceDN/>
                    <w:bidi w:val="0"/>
                    <w:adjustRightInd/>
                    <w:snapToGrid/>
                    <w:jc w:val="both"/>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s="Arial"/>
                      <w:i w:val="0"/>
                      <w:caps w:val="0"/>
                      <w:color w:val="auto"/>
                      <w:spacing w:val="0"/>
                      <w:kern w:val="0"/>
                      <w:sz w:val="21"/>
                      <w:szCs w:val="21"/>
                      <w:shd w:val="clear" w:fill="FFFFFF"/>
                      <w:lang w:val="en-US" w:eastAsia="zh-CN" w:bidi="ar"/>
                    </w:rPr>
                    <w:t>②</w:t>
                  </w:r>
                  <w:r>
                    <w:rPr>
                      <w:rFonts w:hint="default" w:ascii="Times New Roman" w:hAnsi="Times New Roman" w:eastAsia="宋体" w:cs="Arial"/>
                      <w:i w:val="0"/>
                      <w:caps w:val="0"/>
                      <w:color w:val="auto"/>
                      <w:spacing w:val="0"/>
                      <w:kern w:val="0"/>
                      <w:sz w:val="21"/>
                      <w:szCs w:val="21"/>
                      <w:shd w:val="clear" w:fill="FFFFFF"/>
                      <w:lang w:val="en-US" w:eastAsia="zh-CN" w:bidi="ar"/>
                    </w:rPr>
                    <w:t>氢氧化钙能跟</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"https://baike.baidu.com/item/%E9%85%B8%E7%A2%B1%E6%8C%87%E7%A4%BA%E5%89%82"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酸碱指示剂</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作用：</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"https://baike.baidu.com/item/%E7%B4%AB%E8%89%B2%E7%9F%B3%E8%95%8A%E8%AF%95%E6%B6%B2"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紫色石蕊试液</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遇氢氧化钙显蓝色，无色</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"https://baike.baidu.com/item/%E9%85%9A%E9%85%9E%E8%AF%95%E6%B6%B2"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酚酞试液</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遇氢氧化钙显红色。</w:t>
                  </w:r>
                </w:p>
              </w:tc>
              <w:tc>
                <w:tcPr>
                  <w:tcW w:w="30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Arial"/>
                      <w:i w:val="0"/>
                      <w:caps w:val="0"/>
                      <w:color w:val="auto"/>
                      <w:spacing w:val="0"/>
                      <w:sz w:val="21"/>
                      <w:szCs w:val="21"/>
                      <w:shd w:val="clear" w:fill="FFFFFF"/>
                    </w:rPr>
                  </w:pPr>
                  <w:r>
                    <w:rPr>
                      <w:rFonts w:hint="eastAsia" w:ascii="Times New Roman" w:hAnsi="Times New Roman" w:eastAsia="宋体" w:cs="Arial"/>
                      <w:i w:val="0"/>
                      <w:caps w:val="0"/>
                      <w:color w:val="auto"/>
                      <w:spacing w:val="0"/>
                      <w:sz w:val="21"/>
                      <w:szCs w:val="21"/>
                      <w:shd w:val="clear" w:fill="FFFFFF"/>
                      <w:lang w:eastAsia="zh-CN"/>
                    </w:rPr>
                    <w:t>①</w:t>
                  </w:r>
                  <w:r>
                    <w:rPr>
                      <w:rFonts w:hint="eastAsia" w:ascii="Times New Roman" w:hAnsi="Times New Roman" w:eastAsia="宋体" w:cs="Arial"/>
                      <w:i w:val="0"/>
                      <w:caps w:val="0"/>
                      <w:color w:val="auto"/>
                      <w:spacing w:val="0"/>
                      <w:sz w:val="21"/>
                      <w:szCs w:val="21"/>
                      <w:shd w:val="clear" w:fill="FFFFFF"/>
                    </w:rPr>
                    <w:t>氢氧化钙在常温下是细腻的白色粉末，微溶于水，其澄清的水溶液俗称</w:t>
                  </w:r>
                  <w:r>
                    <w:rPr>
                      <w:rFonts w:hint="default" w:ascii="Times New Roman" w:hAnsi="Times New Roman" w:eastAsia="宋体" w:cs="Arial"/>
                      <w:i w:val="0"/>
                      <w:caps w:val="0"/>
                      <w:color w:val="auto"/>
                      <w:spacing w:val="0"/>
                      <w:sz w:val="21"/>
                      <w:szCs w:val="21"/>
                      <w:u w:val="none"/>
                      <w:shd w:val="clear" w:fill="FFFFFF"/>
                    </w:rPr>
                    <w:fldChar w:fldCharType="begin"/>
                  </w:r>
                  <w:r>
                    <w:rPr>
                      <w:rFonts w:hint="default" w:ascii="Times New Roman" w:hAnsi="Times New Roman" w:eastAsia="宋体" w:cs="Arial"/>
                      <w:i w:val="0"/>
                      <w:caps w:val="0"/>
                      <w:color w:val="auto"/>
                      <w:spacing w:val="0"/>
                      <w:sz w:val="21"/>
                      <w:szCs w:val="21"/>
                      <w:u w:val="none"/>
                      <w:shd w:val="clear" w:fill="FFFFFF"/>
                    </w:rPr>
                    <w:instrText xml:space="preserve"> HYPERLINK "https://baike.baidu.com/item/%E6%BE%84%E6%B8%85%E7%9F%B3%E7%81%B0%E6%B0%B4" \t "https://baike.baidu.com/item/_blank" </w:instrText>
                  </w:r>
                  <w:r>
                    <w:rPr>
                      <w:rFonts w:hint="default" w:ascii="Times New Roman" w:hAnsi="Times New Roman" w:eastAsia="宋体" w:cs="Arial"/>
                      <w:i w:val="0"/>
                      <w:caps w:val="0"/>
                      <w:color w:val="auto"/>
                      <w:spacing w:val="0"/>
                      <w:sz w:val="21"/>
                      <w:szCs w:val="21"/>
                      <w:u w:val="none"/>
                      <w:shd w:val="clear" w:fill="FFFFFF"/>
                    </w:rPr>
                    <w:fldChar w:fldCharType="separate"/>
                  </w:r>
                  <w:r>
                    <w:rPr>
                      <w:rStyle w:val="30"/>
                      <w:rFonts w:hint="default" w:ascii="Times New Roman" w:hAnsi="Times New Roman" w:eastAsia="宋体" w:cs="Arial"/>
                      <w:i w:val="0"/>
                      <w:caps w:val="0"/>
                      <w:color w:val="auto"/>
                      <w:spacing w:val="0"/>
                      <w:sz w:val="21"/>
                      <w:szCs w:val="21"/>
                      <w:u w:val="none"/>
                      <w:shd w:val="clear" w:fill="FFFFFF"/>
                    </w:rPr>
                    <w:t>澄清石灰水</w:t>
                  </w:r>
                  <w:r>
                    <w:rPr>
                      <w:rFonts w:hint="default" w:ascii="Times New Roman" w:hAnsi="Times New Roman" w:eastAsia="宋体" w:cs="Arial"/>
                      <w:i w:val="0"/>
                      <w:caps w:val="0"/>
                      <w:color w:val="auto"/>
                      <w:spacing w:val="0"/>
                      <w:sz w:val="21"/>
                      <w:szCs w:val="21"/>
                      <w:u w:val="none"/>
                      <w:shd w:val="clear" w:fill="FFFFFF"/>
                    </w:rPr>
                    <w:fldChar w:fldCharType="end"/>
                  </w:r>
                  <w:r>
                    <w:rPr>
                      <w:rFonts w:hint="default" w:ascii="Times New Roman" w:hAnsi="Times New Roman" w:eastAsia="宋体" w:cs="Arial"/>
                      <w:i w:val="0"/>
                      <w:caps w:val="0"/>
                      <w:color w:val="auto"/>
                      <w:spacing w:val="0"/>
                      <w:sz w:val="21"/>
                      <w:szCs w:val="21"/>
                      <w:shd w:val="clear" w:fill="FFFFFF"/>
                    </w:rPr>
                    <w:t>，与水组成的乳状悬浮液称</w:t>
                  </w:r>
                  <w:r>
                    <w:rPr>
                      <w:rFonts w:hint="default" w:ascii="Times New Roman" w:hAnsi="Times New Roman" w:eastAsia="宋体" w:cs="Arial"/>
                      <w:i w:val="0"/>
                      <w:caps w:val="0"/>
                      <w:color w:val="auto"/>
                      <w:spacing w:val="0"/>
                      <w:sz w:val="21"/>
                      <w:szCs w:val="21"/>
                      <w:u w:val="none"/>
                      <w:shd w:val="clear" w:fill="FFFFFF"/>
                    </w:rPr>
                    <w:fldChar w:fldCharType="begin"/>
                  </w:r>
                  <w:r>
                    <w:rPr>
                      <w:rFonts w:hint="default" w:ascii="Times New Roman" w:hAnsi="Times New Roman" w:eastAsia="宋体" w:cs="Arial"/>
                      <w:i w:val="0"/>
                      <w:caps w:val="0"/>
                      <w:color w:val="auto"/>
                      <w:spacing w:val="0"/>
                      <w:sz w:val="21"/>
                      <w:szCs w:val="21"/>
                      <w:u w:val="none"/>
                      <w:shd w:val="clear" w:fill="FFFFFF"/>
                    </w:rPr>
                    <w:instrText xml:space="preserve"> HYPERLINK "https://baike.baidu.com/item/%E7%9F%B3%E7%81%B0%E4%B9%B3" \t "https://baike.baidu.com/item/_blank" </w:instrText>
                  </w:r>
                  <w:r>
                    <w:rPr>
                      <w:rFonts w:hint="default" w:ascii="Times New Roman" w:hAnsi="Times New Roman" w:eastAsia="宋体" w:cs="Arial"/>
                      <w:i w:val="0"/>
                      <w:caps w:val="0"/>
                      <w:color w:val="auto"/>
                      <w:spacing w:val="0"/>
                      <w:sz w:val="21"/>
                      <w:szCs w:val="21"/>
                      <w:u w:val="none"/>
                      <w:shd w:val="clear" w:fill="FFFFFF"/>
                    </w:rPr>
                    <w:fldChar w:fldCharType="separate"/>
                  </w:r>
                  <w:r>
                    <w:rPr>
                      <w:rStyle w:val="30"/>
                      <w:rFonts w:hint="default" w:ascii="Times New Roman" w:hAnsi="Times New Roman" w:eastAsia="宋体" w:cs="Arial"/>
                      <w:i w:val="0"/>
                      <w:caps w:val="0"/>
                      <w:color w:val="auto"/>
                      <w:spacing w:val="0"/>
                      <w:sz w:val="21"/>
                      <w:szCs w:val="21"/>
                      <w:u w:val="none"/>
                      <w:shd w:val="clear" w:fill="FFFFFF"/>
                    </w:rPr>
                    <w:t>石灰乳</w:t>
                  </w:r>
                  <w:r>
                    <w:rPr>
                      <w:rFonts w:hint="default" w:ascii="Times New Roman" w:hAnsi="Times New Roman" w:eastAsia="宋体" w:cs="Arial"/>
                      <w:i w:val="0"/>
                      <w:caps w:val="0"/>
                      <w:color w:val="auto"/>
                      <w:spacing w:val="0"/>
                      <w:sz w:val="21"/>
                      <w:szCs w:val="21"/>
                      <w:u w:val="none"/>
                      <w:shd w:val="clear" w:fill="FFFFFF"/>
                    </w:rPr>
                    <w:fldChar w:fldCharType="end"/>
                  </w:r>
                  <w:r>
                    <w:rPr>
                      <w:rFonts w:hint="default" w:ascii="Times New Roman" w:hAnsi="Times New Roman" w:eastAsia="宋体" w:cs="Arial"/>
                      <w:i w:val="0"/>
                      <w:caps w:val="0"/>
                      <w:color w:val="auto"/>
                      <w:spacing w:val="0"/>
                      <w:sz w:val="21"/>
                      <w:szCs w:val="21"/>
                      <w:shd w:val="clear" w:fill="FFFFFF"/>
                    </w:rPr>
                    <w:t>。且溶解度随温度的升高而下降。</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s="Arial"/>
                      <w:i w:val="0"/>
                      <w:caps w:val="0"/>
                      <w:color w:val="auto"/>
                      <w:spacing w:val="0"/>
                      <w:sz w:val="21"/>
                      <w:szCs w:val="21"/>
                      <w:shd w:val="clear" w:fill="FFFFFF"/>
                      <w:lang w:eastAsia="zh-CN"/>
                    </w:rPr>
                    <w:t>②</w:t>
                  </w:r>
                  <w:r>
                    <w:rPr>
                      <w:rFonts w:hint="default" w:ascii="Times New Roman" w:hAnsi="Times New Roman" w:eastAsia="宋体" w:cs="Arial"/>
                      <w:i w:val="0"/>
                      <w:caps w:val="0"/>
                      <w:color w:val="auto"/>
                      <w:spacing w:val="0"/>
                      <w:sz w:val="21"/>
                      <w:szCs w:val="21"/>
                      <w:shd w:val="clear" w:fill="FFFFFF"/>
                    </w:rPr>
                    <w:t>不溶于</w:t>
                  </w:r>
                  <w:r>
                    <w:rPr>
                      <w:rFonts w:hint="default" w:ascii="Times New Roman" w:hAnsi="Times New Roman" w:eastAsia="宋体" w:cs="Arial"/>
                      <w:i w:val="0"/>
                      <w:caps w:val="0"/>
                      <w:color w:val="auto"/>
                      <w:spacing w:val="0"/>
                      <w:sz w:val="21"/>
                      <w:szCs w:val="21"/>
                      <w:u w:val="none"/>
                      <w:shd w:val="clear" w:fill="FFFFFF"/>
                    </w:rPr>
                    <w:fldChar w:fldCharType="begin"/>
                  </w:r>
                  <w:r>
                    <w:rPr>
                      <w:rFonts w:hint="default" w:ascii="Times New Roman" w:hAnsi="Times New Roman" w:eastAsia="宋体" w:cs="Arial"/>
                      <w:i w:val="0"/>
                      <w:caps w:val="0"/>
                      <w:color w:val="auto"/>
                      <w:spacing w:val="0"/>
                      <w:sz w:val="21"/>
                      <w:szCs w:val="21"/>
                      <w:u w:val="none"/>
                      <w:shd w:val="clear" w:fill="FFFFFF"/>
                    </w:rPr>
                    <w:instrText xml:space="preserve"> HYPERLINK "https://baike.baidu.com/item/%E9%86%87/13011860" \t "https://baike.baidu.com/item/_blank" </w:instrText>
                  </w:r>
                  <w:r>
                    <w:rPr>
                      <w:rFonts w:hint="default" w:ascii="Times New Roman" w:hAnsi="Times New Roman" w:eastAsia="宋体" w:cs="Arial"/>
                      <w:i w:val="0"/>
                      <w:caps w:val="0"/>
                      <w:color w:val="auto"/>
                      <w:spacing w:val="0"/>
                      <w:sz w:val="21"/>
                      <w:szCs w:val="21"/>
                      <w:u w:val="none"/>
                      <w:shd w:val="clear" w:fill="FFFFFF"/>
                    </w:rPr>
                    <w:fldChar w:fldCharType="separate"/>
                  </w:r>
                  <w:r>
                    <w:rPr>
                      <w:rStyle w:val="30"/>
                      <w:rFonts w:hint="default" w:ascii="Times New Roman" w:hAnsi="Times New Roman" w:eastAsia="宋体" w:cs="Arial"/>
                      <w:i w:val="0"/>
                      <w:caps w:val="0"/>
                      <w:color w:val="auto"/>
                      <w:spacing w:val="0"/>
                      <w:sz w:val="21"/>
                      <w:szCs w:val="21"/>
                      <w:u w:val="none"/>
                      <w:shd w:val="clear" w:fill="FFFFFF"/>
                    </w:rPr>
                    <w:t>醇</w:t>
                  </w:r>
                  <w:r>
                    <w:rPr>
                      <w:rFonts w:hint="default" w:ascii="Times New Roman" w:hAnsi="Times New Roman" w:eastAsia="宋体" w:cs="Arial"/>
                      <w:i w:val="0"/>
                      <w:caps w:val="0"/>
                      <w:color w:val="auto"/>
                      <w:spacing w:val="0"/>
                      <w:sz w:val="21"/>
                      <w:szCs w:val="21"/>
                      <w:u w:val="none"/>
                      <w:shd w:val="clear" w:fill="FFFFFF"/>
                    </w:rPr>
                    <w:fldChar w:fldCharType="end"/>
                  </w:r>
                  <w:r>
                    <w:rPr>
                      <w:rFonts w:hint="default" w:ascii="Times New Roman" w:hAnsi="Times New Roman" w:eastAsia="宋体" w:cs="Arial"/>
                      <w:i w:val="0"/>
                      <w:caps w:val="0"/>
                      <w:color w:val="auto"/>
                      <w:spacing w:val="0"/>
                      <w:sz w:val="21"/>
                      <w:szCs w:val="21"/>
                      <w:shd w:val="clear" w:fill="FFFFFF"/>
                    </w:rPr>
                    <w:t>，能溶于</w:t>
                  </w:r>
                  <w:r>
                    <w:rPr>
                      <w:rFonts w:hint="default" w:ascii="Times New Roman" w:hAnsi="Times New Roman" w:eastAsia="宋体" w:cs="Arial"/>
                      <w:i w:val="0"/>
                      <w:caps w:val="0"/>
                      <w:color w:val="auto"/>
                      <w:spacing w:val="0"/>
                      <w:sz w:val="21"/>
                      <w:szCs w:val="21"/>
                      <w:u w:val="none"/>
                      <w:shd w:val="clear" w:fill="FFFFFF"/>
                    </w:rPr>
                    <w:fldChar w:fldCharType="begin"/>
                  </w:r>
                  <w:r>
                    <w:rPr>
                      <w:rFonts w:hint="default" w:ascii="Times New Roman" w:hAnsi="Times New Roman" w:eastAsia="宋体" w:cs="Arial"/>
                      <w:i w:val="0"/>
                      <w:caps w:val="0"/>
                      <w:color w:val="auto"/>
                      <w:spacing w:val="0"/>
                      <w:sz w:val="21"/>
                      <w:szCs w:val="21"/>
                      <w:u w:val="none"/>
                      <w:shd w:val="clear" w:fill="FFFFFF"/>
                    </w:rPr>
                    <w:instrText xml:space="preserve"> HYPERLINK "https://baike.baidu.com/item/%E9%93%B5%E7%9B%90" \t "https://baike.baidu.com/item/_blank" </w:instrText>
                  </w:r>
                  <w:r>
                    <w:rPr>
                      <w:rFonts w:hint="default" w:ascii="Times New Roman" w:hAnsi="Times New Roman" w:eastAsia="宋体" w:cs="Arial"/>
                      <w:i w:val="0"/>
                      <w:caps w:val="0"/>
                      <w:color w:val="auto"/>
                      <w:spacing w:val="0"/>
                      <w:sz w:val="21"/>
                      <w:szCs w:val="21"/>
                      <w:u w:val="none"/>
                      <w:shd w:val="clear" w:fill="FFFFFF"/>
                    </w:rPr>
                    <w:fldChar w:fldCharType="separate"/>
                  </w:r>
                  <w:r>
                    <w:rPr>
                      <w:rStyle w:val="30"/>
                      <w:rFonts w:hint="default" w:ascii="Times New Roman" w:hAnsi="Times New Roman" w:eastAsia="宋体" w:cs="Arial"/>
                      <w:i w:val="0"/>
                      <w:caps w:val="0"/>
                      <w:color w:val="auto"/>
                      <w:spacing w:val="0"/>
                      <w:sz w:val="21"/>
                      <w:szCs w:val="21"/>
                      <w:u w:val="none"/>
                      <w:shd w:val="clear" w:fill="FFFFFF"/>
                    </w:rPr>
                    <w:t>铵盐</w:t>
                  </w:r>
                  <w:r>
                    <w:rPr>
                      <w:rFonts w:hint="default" w:ascii="Times New Roman" w:hAnsi="Times New Roman" w:eastAsia="宋体" w:cs="Arial"/>
                      <w:i w:val="0"/>
                      <w:caps w:val="0"/>
                      <w:color w:val="auto"/>
                      <w:spacing w:val="0"/>
                      <w:sz w:val="21"/>
                      <w:szCs w:val="21"/>
                      <w:u w:val="none"/>
                      <w:shd w:val="clear" w:fill="FFFFFF"/>
                    </w:rPr>
                    <w:fldChar w:fldCharType="end"/>
                  </w:r>
                  <w:r>
                    <w:rPr>
                      <w:rFonts w:hint="default" w:ascii="Times New Roman" w:hAnsi="Times New Roman" w:eastAsia="宋体" w:cs="Arial"/>
                      <w:i w:val="0"/>
                      <w:caps w:val="0"/>
                      <w:color w:val="auto"/>
                      <w:spacing w:val="0"/>
                      <w:sz w:val="21"/>
                      <w:szCs w:val="21"/>
                      <w:shd w:val="clear" w:fill="FFFFFF"/>
                    </w:rPr>
                    <w:t>、</w:t>
                  </w:r>
                  <w:r>
                    <w:rPr>
                      <w:rFonts w:hint="default" w:ascii="Times New Roman" w:hAnsi="Times New Roman" w:eastAsia="宋体" w:cs="Arial"/>
                      <w:i w:val="0"/>
                      <w:caps w:val="0"/>
                      <w:color w:val="auto"/>
                      <w:spacing w:val="0"/>
                      <w:sz w:val="21"/>
                      <w:szCs w:val="21"/>
                      <w:u w:val="none"/>
                      <w:shd w:val="clear" w:fill="FFFFFF"/>
                    </w:rPr>
                    <w:fldChar w:fldCharType="begin"/>
                  </w:r>
                  <w:r>
                    <w:rPr>
                      <w:rFonts w:hint="default" w:ascii="Times New Roman" w:hAnsi="Times New Roman" w:eastAsia="宋体" w:cs="Arial"/>
                      <w:i w:val="0"/>
                      <w:caps w:val="0"/>
                      <w:color w:val="auto"/>
                      <w:spacing w:val="0"/>
                      <w:sz w:val="21"/>
                      <w:szCs w:val="21"/>
                      <w:u w:val="none"/>
                      <w:shd w:val="clear" w:fill="FFFFFF"/>
                    </w:rPr>
                    <w:instrText xml:space="preserve"> HYPERLINK "https://baike.baidu.com/item/%E7%94%98%E6%B2%B9" \t "https://baike.baidu.com/item/_blank" </w:instrText>
                  </w:r>
                  <w:r>
                    <w:rPr>
                      <w:rFonts w:hint="default" w:ascii="Times New Roman" w:hAnsi="Times New Roman" w:eastAsia="宋体" w:cs="Arial"/>
                      <w:i w:val="0"/>
                      <w:caps w:val="0"/>
                      <w:color w:val="auto"/>
                      <w:spacing w:val="0"/>
                      <w:sz w:val="21"/>
                      <w:szCs w:val="21"/>
                      <w:u w:val="none"/>
                      <w:shd w:val="clear" w:fill="FFFFFF"/>
                    </w:rPr>
                    <w:fldChar w:fldCharType="separate"/>
                  </w:r>
                  <w:r>
                    <w:rPr>
                      <w:rStyle w:val="30"/>
                      <w:rFonts w:hint="default" w:ascii="Times New Roman" w:hAnsi="Times New Roman" w:eastAsia="宋体" w:cs="Arial"/>
                      <w:i w:val="0"/>
                      <w:caps w:val="0"/>
                      <w:color w:val="auto"/>
                      <w:spacing w:val="0"/>
                      <w:sz w:val="21"/>
                      <w:szCs w:val="21"/>
                      <w:u w:val="none"/>
                      <w:shd w:val="clear" w:fill="FFFFFF"/>
                    </w:rPr>
                    <w:t>甘油</w:t>
                  </w:r>
                  <w:r>
                    <w:rPr>
                      <w:rFonts w:hint="default" w:ascii="Times New Roman" w:hAnsi="Times New Roman" w:eastAsia="宋体" w:cs="Arial"/>
                      <w:i w:val="0"/>
                      <w:caps w:val="0"/>
                      <w:color w:val="auto"/>
                      <w:spacing w:val="0"/>
                      <w:sz w:val="21"/>
                      <w:szCs w:val="21"/>
                      <w:u w:val="none"/>
                      <w:shd w:val="clear" w:fill="FFFFFF"/>
                    </w:rPr>
                    <w:fldChar w:fldCharType="end"/>
                  </w:r>
                  <w:r>
                    <w:rPr>
                      <w:rFonts w:hint="default" w:ascii="Times New Roman" w:hAnsi="Times New Roman" w:eastAsia="宋体" w:cs="Arial"/>
                      <w:i w:val="0"/>
                      <w:caps w:val="0"/>
                      <w:color w:val="auto"/>
                      <w:spacing w:val="0"/>
                      <w:sz w:val="21"/>
                      <w:szCs w:val="21"/>
                      <w:shd w:val="clear" w:fill="FFFFFF"/>
                    </w:rPr>
                    <w:t>，能与酸反应，生成对应的</w:t>
                  </w:r>
                  <w:r>
                    <w:rPr>
                      <w:rFonts w:hint="default" w:ascii="Times New Roman" w:hAnsi="Times New Roman" w:eastAsia="宋体" w:cs="Arial"/>
                      <w:i w:val="0"/>
                      <w:caps w:val="0"/>
                      <w:color w:val="auto"/>
                      <w:spacing w:val="0"/>
                      <w:sz w:val="21"/>
                      <w:szCs w:val="21"/>
                      <w:u w:val="none"/>
                      <w:shd w:val="clear" w:fill="FFFFFF"/>
                    </w:rPr>
                    <w:fldChar w:fldCharType="begin"/>
                  </w:r>
                  <w:r>
                    <w:rPr>
                      <w:rFonts w:hint="default" w:ascii="Times New Roman" w:hAnsi="Times New Roman" w:eastAsia="宋体" w:cs="Arial"/>
                      <w:i w:val="0"/>
                      <w:caps w:val="0"/>
                      <w:color w:val="auto"/>
                      <w:spacing w:val="0"/>
                      <w:sz w:val="21"/>
                      <w:szCs w:val="21"/>
                      <w:u w:val="none"/>
                      <w:shd w:val="clear" w:fill="FFFFFF"/>
                    </w:rPr>
                    <w:instrText xml:space="preserve"> HYPERLINK "https://baike.baidu.com/item/%E9%92%99%E7%9B%90" \t "https://baike.baidu.com/item/_blank" </w:instrText>
                  </w:r>
                  <w:r>
                    <w:rPr>
                      <w:rFonts w:hint="default" w:ascii="Times New Roman" w:hAnsi="Times New Roman" w:eastAsia="宋体" w:cs="Arial"/>
                      <w:i w:val="0"/>
                      <w:caps w:val="0"/>
                      <w:color w:val="auto"/>
                      <w:spacing w:val="0"/>
                      <w:sz w:val="21"/>
                      <w:szCs w:val="21"/>
                      <w:u w:val="none"/>
                      <w:shd w:val="clear" w:fill="FFFFFF"/>
                    </w:rPr>
                    <w:fldChar w:fldCharType="separate"/>
                  </w:r>
                  <w:r>
                    <w:rPr>
                      <w:rStyle w:val="30"/>
                      <w:rFonts w:hint="default" w:ascii="Times New Roman" w:hAnsi="Times New Roman" w:eastAsia="宋体" w:cs="Arial"/>
                      <w:i w:val="0"/>
                      <w:caps w:val="0"/>
                      <w:color w:val="auto"/>
                      <w:spacing w:val="0"/>
                      <w:sz w:val="21"/>
                      <w:szCs w:val="21"/>
                      <w:u w:val="none"/>
                      <w:shd w:val="clear" w:fill="FFFFFF"/>
                    </w:rPr>
                    <w:t>钙盐</w:t>
                  </w:r>
                  <w:r>
                    <w:rPr>
                      <w:rFonts w:hint="default" w:ascii="Times New Roman" w:hAnsi="Times New Roman" w:eastAsia="宋体" w:cs="Arial"/>
                      <w:i w:val="0"/>
                      <w:caps w:val="0"/>
                      <w:color w:val="auto"/>
                      <w:spacing w:val="0"/>
                      <w:sz w:val="21"/>
                      <w:szCs w:val="21"/>
                      <w:u w:val="none"/>
                      <w:shd w:val="clear" w:fill="FFFFFF"/>
                    </w:rPr>
                    <w:fldChar w:fldCharType="end"/>
                  </w:r>
                  <w:r>
                    <w:rPr>
                      <w:rFonts w:hint="default" w:ascii="Times New Roman" w:hAnsi="Times New Roman" w:eastAsia="宋体" w:cs="Arial"/>
                      <w:i w:val="0"/>
                      <w:caps w:val="0"/>
                      <w:color w:val="auto"/>
                      <w:spacing w:val="0"/>
                      <w:sz w:val="21"/>
                      <w:szCs w:val="21"/>
                      <w:shd w:val="clear"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尿素</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白色晶体</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vertAlign w:val="baseline"/>
                      <w:lang w:val="en-US" w:eastAsia="zh-CN"/>
                    </w:rPr>
                  </w:pPr>
                  <w:r>
                    <w:rPr>
                      <w:rFonts w:hint="eastAsia" w:ascii="Times New Roman" w:hAnsi="Times New Roman" w:eastAsia="宋体" w:cs="Arial"/>
                      <w:i w:val="0"/>
                      <w:caps w:val="0"/>
                      <w:color w:val="auto"/>
                      <w:spacing w:val="0"/>
                      <w:sz w:val="21"/>
                      <w:szCs w:val="21"/>
                      <w:shd w:val="clear" w:fill="FFFFFF"/>
                    </w:rPr>
                    <w:t xml:space="preserve">1080 g/L </w:t>
                  </w:r>
                  <w:r>
                    <w:rPr>
                      <w:rFonts w:hint="eastAsia" w:ascii="Times New Roman" w:hAnsi="Times New Roman" w:eastAsia="宋体" w:cs="微软雅黑"/>
                      <w:i w:val="0"/>
                      <w:caps w:val="0"/>
                      <w:color w:val="auto"/>
                      <w:spacing w:val="0"/>
                      <w:sz w:val="21"/>
                      <w:szCs w:val="35"/>
                      <w:shd w:val="clear" w:fill="FFFFFF"/>
                      <w:lang w:eastAsia="zh-CN"/>
                    </w:rPr>
                    <w:t>（</w:t>
                  </w:r>
                  <w:r>
                    <w:rPr>
                      <w:rFonts w:ascii="Times New Roman" w:hAnsi="Times New Roman" w:eastAsia="宋体" w:cs="微软雅黑"/>
                      <w:i w:val="0"/>
                      <w:caps w:val="0"/>
                      <w:color w:val="auto"/>
                      <w:spacing w:val="0"/>
                      <w:sz w:val="21"/>
                      <w:szCs w:val="35"/>
                      <w:shd w:val="clear" w:fill="FFFFFF"/>
                    </w:rPr>
                    <w:t>20 ℃</w:t>
                  </w:r>
                  <w:r>
                    <w:rPr>
                      <w:rFonts w:hint="eastAsia" w:ascii="Times New Roman" w:hAnsi="Times New Roman" w:eastAsia="宋体" w:cs="微软雅黑"/>
                      <w:i w:val="0"/>
                      <w:caps w:val="0"/>
                      <w:color w:val="auto"/>
                      <w:spacing w:val="0"/>
                      <w:sz w:val="21"/>
                      <w:szCs w:val="35"/>
                      <w:shd w:val="clear" w:fill="FFFFFF"/>
                      <w:lang w:eastAsia="zh-CN"/>
                    </w:rPr>
                    <w:t>）（</w:t>
                  </w:r>
                  <w:r>
                    <w:rPr>
                      <w:rFonts w:ascii="Times New Roman" w:hAnsi="Times New Roman" w:eastAsia="宋体" w:cs="微软雅黑"/>
                      <w:i w:val="0"/>
                      <w:caps w:val="0"/>
                      <w:color w:val="auto"/>
                      <w:spacing w:val="0"/>
                      <w:sz w:val="21"/>
                      <w:szCs w:val="35"/>
                      <w:shd w:val="clear" w:fill="FFFFFF"/>
                    </w:rPr>
                    <w:t>极易溶于水</w:t>
                  </w:r>
                  <w:r>
                    <w:rPr>
                      <w:rFonts w:hint="eastAsia" w:ascii="Times New Roman" w:hAnsi="Times New Roman" w:eastAsia="宋体" w:cs="微软雅黑"/>
                      <w:i w:val="0"/>
                      <w:caps w:val="0"/>
                      <w:color w:val="auto"/>
                      <w:spacing w:val="0"/>
                      <w:sz w:val="21"/>
                      <w:szCs w:val="35"/>
                      <w:shd w:val="clear" w:fill="FFFFFF"/>
                      <w:lang w:eastAsia="zh-CN"/>
                    </w:rPr>
                    <w:t>）</w:t>
                  </w:r>
                </w:p>
              </w:tc>
              <w:tc>
                <w:tcPr>
                  <w:tcW w:w="3046" w:type="dxa"/>
                  <w:tcBorders>
                    <w:tl2br w:val="nil"/>
                    <w:tr2bl w:val="nil"/>
                  </w:tcBorders>
                  <w:vAlign w:val="center"/>
                </w:tcPr>
                <w:p>
                  <w:pPr>
                    <w:keepNext w:val="0"/>
                    <w:keepLines w:val="0"/>
                    <w:widowControl/>
                    <w:suppressLineNumbers w:val="0"/>
                    <w:shd w:val="clear" w:fill="FFFFFF"/>
                    <w:spacing w:after="0" w:afterAutospacing="0"/>
                    <w:jc w:val="both"/>
                    <w:rPr>
                      <w:rFonts w:ascii="Times New Roman" w:hAnsi="Times New Roman" w:eastAsia="宋体"/>
                      <w:color w:val="auto"/>
                    </w:rPr>
                  </w:pPr>
                  <w:r>
                    <w:rPr>
                      <w:rFonts w:hint="eastAsia" w:ascii="Times New Roman" w:hAnsi="Times New Roman" w:eastAsia="宋体" w:cs="Arial"/>
                      <w:i w:val="0"/>
                      <w:caps w:val="0"/>
                      <w:color w:val="auto"/>
                      <w:spacing w:val="0"/>
                      <w:kern w:val="0"/>
                      <w:sz w:val="21"/>
                      <w:szCs w:val="21"/>
                      <w:shd w:val="clear" w:fill="FFFFFF"/>
                      <w:lang w:val="en-US" w:eastAsia="zh-CN" w:bidi="ar"/>
                    </w:rPr>
                    <w:t>①</w:t>
                  </w:r>
                  <w:r>
                    <w:rPr>
                      <w:rFonts w:hint="default" w:ascii="Times New Roman" w:hAnsi="Times New Roman" w:eastAsia="宋体" w:cs="Arial"/>
                      <w:i w:val="0"/>
                      <w:caps w:val="0"/>
                      <w:color w:val="auto"/>
                      <w:spacing w:val="0"/>
                      <w:kern w:val="0"/>
                      <w:sz w:val="21"/>
                      <w:szCs w:val="21"/>
                      <w:shd w:val="clear" w:fill="FFFFFF"/>
                      <w:lang w:val="en-US" w:eastAsia="zh-CN" w:bidi="ar"/>
                    </w:rPr>
                    <w:t>可与酸作用生成盐。有水解作用。在高温下可进行缩合反应，生成缩二脲、缩三脲和三聚氰酸。加热至160℃分解，产生</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"https://baike.baidu.com/item/%E6%B0%A8%E6%B0%94"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氨气</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同时变为异氰酸。</w:t>
                  </w:r>
                </w:p>
                <w:p>
                  <w:pPr>
                    <w:keepNext w:val="0"/>
                    <w:keepLines w:val="0"/>
                    <w:widowControl/>
                    <w:suppressLineNumbers w:val="0"/>
                    <w:shd w:val="clear" w:fill="FFFFFF"/>
                    <w:spacing w:after="0" w:afterAutospacing="0" w:line="240" w:lineRule="auto"/>
                    <w:ind w:left="0" w:firstLine="0"/>
                    <w:jc w:val="both"/>
                    <w:rPr>
                      <w:rFonts w:hint="default" w:ascii="Times New Roman" w:hAnsi="Times New Roman" w:eastAsia="宋体" w:cs="Arial"/>
                      <w:i w:val="0"/>
                      <w:caps w:val="0"/>
                      <w:color w:val="auto"/>
                      <w:spacing w:val="0"/>
                      <w:sz w:val="21"/>
                      <w:szCs w:val="21"/>
                    </w:rPr>
                  </w:pPr>
                  <w:r>
                    <w:rPr>
                      <w:rFonts w:hint="eastAsia" w:ascii="Times New Roman" w:hAnsi="Times New Roman" w:eastAsia="宋体" w:cs="Arial"/>
                      <w:i w:val="0"/>
                      <w:caps w:val="0"/>
                      <w:color w:val="auto"/>
                      <w:spacing w:val="0"/>
                      <w:kern w:val="0"/>
                      <w:sz w:val="21"/>
                      <w:szCs w:val="21"/>
                      <w:shd w:val="clear" w:fill="FFFFFF"/>
                      <w:lang w:val="en-US" w:eastAsia="zh-CN" w:bidi="ar"/>
                    </w:rPr>
                    <w:t>②</w:t>
                  </w:r>
                  <w:r>
                    <w:rPr>
                      <w:rFonts w:hint="default" w:ascii="Times New Roman" w:hAnsi="Times New Roman" w:eastAsia="宋体" w:cs="Arial"/>
                      <w:i w:val="0"/>
                      <w:caps w:val="0"/>
                      <w:color w:val="auto"/>
                      <w:spacing w:val="0"/>
                      <w:kern w:val="0"/>
                      <w:sz w:val="21"/>
                      <w:szCs w:val="21"/>
                      <w:shd w:val="clear" w:fill="FFFFFF"/>
                      <w:lang w:val="en-US" w:eastAsia="zh-CN" w:bidi="ar"/>
                    </w:rPr>
                    <w:t>尿素在酸、碱、酶作用下（酸、碱需加热）能水解生成氨和二氧化碳。</w:t>
                  </w:r>
                </w:p>
                <w:p>
                  <w:pPr>
                    <w:keepNext w:val="0"/>
                    <w:keepLines w:val="0"/>
                    <w:pageBreakBefore w:val="0"/>
                    <w:widowControl/>
                    <w:shd w:val="clear" w:fill="FFFFFF"/>
                    <w:kinsoku/>
                    <w:wordWrap/>
                    <w:overflowPunct/>
                    <w:topLinePunct w:val="0"/>
                    <w:autoSpaceDE/>
                    <w:autoSpaceDN/>
                    <w:bidi w:val="0"/>
                    <w:adjustRightInd/>
                    <w:snapToGrid/>
                    <w:jc w:val="both"/>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s="Arial"/>
                      <w:i w:val="0"/>
                      <w:caps w:val="0"/>
                      <w:color w:val="auto"/>
                      <w:spacing w:val="0"/>
                      <w:kern w:val="0"/>
                      <w:sz w:val="21"/>
                      <w:szCs w:val="21"/>
                      <w:shd w:val="clear" w:fill="FFFFFF"/>
                      <w:lang w:val="en-US" w:eastAsia="zh-CN" w:bidi="ar"/>
                    </w:rPr>
                    <w:t>③</w:t>
                  </w:r>
                  <w:r>
                    <w:rPr>
                      <w:rFonts w:hint="default" w:ascii="Times New Roman" w:hAnsi="Times New Roman" w:eastAsia="宋体" w:cs="Arial"/>
                      <w:i w:val="0"/>
                      <w:caps w:val="0"/>
                      <w:color w:val="auto"/>
                      <w:spacing w:val="0"/>
                      <w:kern w:val="0"/>
                      <w:sz w:val="21"/>
                      <w:szCs w:val="21"/>
                      <w:shd w:val="clear" w:fill="FFFFFF"/>
                      <w:lang w:val="en-US" w:eastAsia="zh-CN" w:bidi="ar"/>
                    </w:rPr>
                    <w:t>对热不稳定，加热至150~160℃将脱氨成缩二脲。</w:t>
                  </w:r>
                </w:p>
              </w:tc>
              <w:tc>
                <w:tcPr>
                  <w:tcW w:w="3046" w:type="dxa"/>
                  <w:tcBorders>
                    <w:tl2br w:val="nil"/>
                    <w:tr2bl w:val="nil"/>
                  </w:tcBorders>
                  <w:vAlign w:val="center"/>
                </w:tcPr>
                <w:p>
                  <w:pPr>
                    <w:keepNext w:val="0"/>
                    <w:keepLines w:val="0"/>
                    <w:widowControl/>
                    <w:suppressLineNumbers w:val="0"/>
                    <w:shd w:val="clear" w:fill="FFFFFF"/>
                    <w:spacing w:after="0" w:afterAutospacing="0" w:line="240" w:lineRule="auto"/>
                    <w:ind w:left="0" w:firstLine="0"/>
                    <w:jc w:val="both"/>
                    <w:rPr>
                      <w:rFonts w:hint="eastAsia" w:ascii="Times New Roman" w:hAnsi="Times New Roman" w:eastAsia="宋体" w:cs="Arial"/>
                      <w:i w:val="0"/>
                      <w:caps w:val="0"/>
                      <w:color w:val="auto"/>
                      <w:spacing w:val="0"/>
                      <w:sz w:val="21"/>
                      <w:szCs w:val="21"/>
                    </w:rPr>
                  </w:pPr>
                  <w:r>
                    <w:rPr>
                      <w:rFonts w:hint="eastAsia" w:ascii="Times New Roman" w:hAnsi="Times New Roman" w:eastAsia="宋体" w:cs="Arial"/>
                      <w:i w:val="0"/>
                      <w:caps w:val="0"/>
                      <w:color w:val="auto"/>
                      <w:spacing w:val="0"/>
                      <w:kern w:val="0"/>
                      <w:sz w:val="21"/>
                      <w:szCs w:val="21"/>
                      <w:shd w:val="clear" w:fill="FFFFFF"/>
                      <w:lang w:val="en-US" w:eastAsia="zh-CN" w:bidi="ar"/>
                    </w:rPr>
                    <w:t>①</w:t>
                  </w:r>
                  <w:r>
                    <w:rPr>
                      <w:rFonts w:hint="default" w:ascii="Times New Roman" w:hAnsi="Times New Roman" w:eastAsia="宋体" w:cs="Arial"/>
                      <w:i w:val="0"/>
                      <w:caps w:val="0"/>
                      <w:color w:val="auto"/>
                      <w:spacing w:val="0"/>
                      <w:kern w:val="0"/>
                      <w:sz w:val="21"/>
                      <w:szCs w:val="21"/>
                      <w:shd w:val="clear" w:fill="FFFFFF"/>
                      <w:lang w:val="en-US" w:eastAsia="zh-CN" w:bidi="ar"/>
                    </w:rPr>
                    <w:t>性状：无色或白色针状或棒状结晶体，</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"https://baike.baidu.com/item/%E5%B7%A5%E4%B8%9A"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工业</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或农业品为白色略带微红色固体颗粒，无臭无味。含氮量约为46.67%。</w:t>
                  </w:r>
                </w:p>
                <w:p>
                  <w:pPr>
                    <w:keepNext w:val="0"/>
                    <w:keepLines w:val="0"/>
                    <w:widowControl/>
                    <w:suppressLineNumbers w:val="0"/>
                    <w:shd w:val="clear" w:fill="FFFFFF"/>
                    <w:spacing w:after="0" w:afterAutospacing="0" w:line="240" w:lineRule="auto"/>
                    <w:ind w:left="0" w:firstLine="0"/>
                    <w:jc w:val="both"/>
                    <w:rPr>
                      <w:rFonts w:hint="default" w:ascii="Times New Roman" w:hAnsi="Times New Roman" w:eastAsia="宋体" w:cs="Arial"/>
                      <w:i w:val="0"/>
                      <w:caps w:val="0"/>
                      <w:color w:val="auto"/>
                      <w:spacing w:val="0"/>
                      <w:sz w:val="21"/>
                      <w:szCs w:val="21"/>
                    </w:rPr>
                  </w:pPr>
                  <w:r>
                    <w:rPr>
                      <w:rFonts w:hint="eastAsia" w:ascii="Times New Roman" w:hAnsi="Times New Roman" w:eastAsia="宋体" w:cs="Arial"/>
                      <w:i w:val="0"/>
                      <w:caps w:val="0"/>
                      <w:color w:val="auto"/>
                      <w:spacing w:val="0"/>
                      <w:kern w:val="0"/>
                      <w:sz w:val="21"/>
                      <w:szCs w:val="21"/>
                      <w:shd w:val="clear" w:fill="FFFFFF"/>
                      <w:lang w:val="en-US" w:eastAsia="zh-CN" w:bidi="ar"/>
                    </w:rPr>
                    <w:t>②</w:t>
                  </w:r>
                  <w:r>
                    <w:rPr>
                      <w:rFonts w:hint="default" w:ascii="Times New Roman" w:hAnsi="Times New Roman" w:eastAsia="宋体" w:cs="Arial"/>
                      <w:i w:val="0"/>
                      <w:caps w:val="0"/>
                      <w:color w:val="auto"/>
                      <w:spacing w:val="0"/>
                      <w:kern w:val="0"/>
                      <w:sz w:val="21"/>
                      <w:szCs w:val="21"/>
                      <w:shd w:val="clear" w:fill="FFFFFF"/>
                      <w:lang w:val="en-US" w:eastAsia="zh-CN" w:bidi="ar"/>
                    </w:rPr>
                    <w:t>溶解性</w:t>
                  </w:r>
                  <w:r>
                    <w:rPr>
                      <w:rFonts w:hint="default" w:ascii="Times New Roman" w:hAnsi="Times New Roman" w:eastAsia="宋体" w:cs="Arial"/>
                      <w:b/>
                      <w:i w:val="0"/>
                      <w:caps w:val="0"/>
                      <w:color w:val="auto"/>
                      <w:spacing w:val="0"/>
                      <w:kern w:val="0"/>
                      <w:sz w:val="21"/>
                      <w:szCs w:val="21"/>
                      <w:shd w:val="clear" w:fill="FFFFFF"/>
                      <w:lang w:val="en-US" w:eastAsia="zh-CN" w:bidi="ar"/>
                    </w:rPr>
                    <w:t>：</w:t>
                  </w:r>
                  <w:r>
                    <w:rPr>
                      <w:rFonts w:hint="default" w:ascii="Times New Roman" w:hAnsi="Times New Roman" w:eastAsia="宋体" w:cs="Arial"/>
                      <w:i w:val="0"/>
                      <w:caps w:val="0"/>
                      <w:color w:val="auto"/>
                      <w:spacing w:val="0"/>
                      <w:kern w:val="0"/>
                      <w:sz w:val="21"/>
                      <w:szCs w:val="21"/>
                      <w:shd w:val="clear" w:fill="FFFFFF"/>
                      <w:lang w:val="en-US" w:eastAsia="zh-CN" w:bidi="ar"/>
                    </w:rPr>
                    <w:t>溶于水、</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"https://baike.baidu.com/item/%E7%94%B2%E9%86%87"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甲醇</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、甲醛、</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"https://baike.baidu.com/item/%E4%B9%99%E9%86%87"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乙醇</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"https://baike.baidu.com/item/%E6%B6%B2%E6%B0%A8"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液氨</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和醇</w:t>
                  </w:r>
                  <w:r>
                    <w:rPr>
                      <w:rFonts w:hint="default" w:ascii="Times New Roman" w:hAnsi="Times New Roman" w:eastAsia="宋体" w:cs="Arial"/>
                      <w:i w:val="0"/>
                      <w:caps w:val="0"/>
                      <w:color w:val="auto"/>
                      <w:spacing w:val="0"/>
                      <w:kern w:val="0"/>
                      <w:sz w:val="21"/>
                      <w:szCs w:val="18"/>
                      <w:shd w:val="clear" w:fill="FFFFFF"/>
                      <w:vertAlign w:val="baseline"/>
                      <w:lang w:val="en-US" w:eastAsia="zh-CN" w:bidi="ar"/>
                    </w:rPr>
                    <w:t> </w:t>
                  </w:r>
                  <w:bookmarkStart w:id="1" w:name="ref_1"/>
                  <w:bookmarkEnd w:id="1"/>
                  <w:r>
                    <w:rPr>
                      <w:rFonts w:hint="default" w:ascii="Times New Roman" w:hAnsi="Times New Roman" w:eastAsia="宋体" w:cs="Arial"/>
                      <w:i w:val="0"/>
                      <w:caps w:val="0"/>
                      <w:color w:val="auto"/>
                      <w:spacing w:val="0"/>
                      <w:kern w:val="0"/>
                      <w:sz w:val="21"/>
                      <w:szCs w:val="21"/>
                      <w:shd w:val="clear" w:fill="FFFFFF"/>
                      <w:lang w:val="en-US" w:eastAsia="zh-CN" w:bidi="ar"/>
                    </w:rPr>
                    <w:t>，微溶于</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begin"/>
                  </w:r>
                  <w:r>
                    <w:rPr>
                      <w:rFonts w:hint="default" w:ascii="Times New Roman" w:hAnsi="Times New Roman" w:eastAsia="宋体" w:cs="Arial"/>
                      <w:i w:val="0"/>
                      <w:caps w:val="0"/>
                      <w:color w:val="auto"/>
                      <w:spacing w:val="0"/>
                      <w:kern w:val="0"/>
                      <w:sz w:val="21"/>
                      <w:szCs w:val="21"/>
                      <w:u w:val="none"/>
                      <w:shd w:val="clear" w:fill="FFFFFF"/>
                      <w:lang w:val="en-US" w:eastAsia="zh-CN" w:bidi="ar"/>
                    </w:rPr>
                    <w:instrText xml:space="preserve"> HYPERLINK "https://baike.baidu.com/item/%E4%B9%99%E9%86%9A" \t "https://baike.baidu.com/item/_blank" </w:instrTex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separate"/>
                  </w:r>
                  <w:r>
                    <w:rPr>
                      <w:rStyle w:val="30"/>
                      <w:rFonts w:hint="default" w:ascii="Times New Roman" w:hAnsi="Times New Roman" w:eastAsia="宋体" w:cs="Arial"/>
                      <w:i w:val="0"/>
                      <w:caps w:val="0"/>
                      <w:color w:val="auto"/>
                      <w:spacing w:val="0"/>
                      <w:sz w:val="21"/>
                      <w:szCs w:val="21"/>
                      <w:u w:val="none"/>
                      <w:shd w:val="clear" w:fill="FFFFFF"/>
                    </w:rPr>
                    <w:t>乙醚</w:t>
                  </w:r>
                  <w:r>
                    <w:rPr>
                      <w:rFonts w:hint="default" w:ascii="Times New Roman" w:hAnsi="Times New Roman" w:eastAsia="宋体" w:cs="Arial"/>
                      <w:i w:val="0"/>
                      <w:caps w:val="0"/>
                      <w:color w:val="auto"/>
                      <w:spacing w:val="0"/>
                      <w:kern w:val="0"/>
                      <w:sz w:val="21"/>
                      <w:szCs w:val="21"/>
                      <w:u w:val="none"/>
                      <w:shd w:val="clear" w:fill="FFFFFF"/>
                      <w:lang w:val="en-US" w:eastAsia="zh-CN" w:bidi="ar"/>
                    </w:rPr>
                    <w:fldChar w:fldCharType="end"/>
                  </w:r>
                  <w:r>
                    <w:rPr>
                      <w:rFonts w:hint="default" w:ascii="Times New Roman" w:hAnsi="Times New Roman" w:eastAsia="宋体" w:cs="Arial"/>
                      <w:i w:val="0"/>
                      <w:caps w:val="0"/>
                      <w:color w:val="auto"/>
                      <w:spacing w:val="0"/>
                      <w:kern w:val="0"/>
                      <w:sz w:val="21"/>
                      <w:szCs w:val="21"/>
                      <w:shd w:val="clear" w:fill="FFFFFF"/>
                      <w:lang w:val="en-US" w:eastAsia="zh-CN" w:bidi="ar"/>
                    </w:rPr>
                    <w:t>、氯仿、苯。弱碱性。</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olor w:val="auto"/>
                      <w:sz w:val="21"/>
                      <w:vertAlign w:val="baseline"/>
                      <w:lang w:val="en-US" w:eastAsia="zh-CN"/>
                    </w:rPr>
                  </w:pPr>
                </w:p>
              </w:tc>
            </w:tr>
          </w:tbl>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auto"/>
                <w:kern w:val="2"/>
                <w:szCs w:val="24"/>
              </w:rPr>
            </w:pPr>
            <w:r>
              <w:rPr>
                <w:rFonts w:hint="eastAsia" w:ascii="Times New Roman" w:hAnsi="Times New Roman" w:cs="Times New Roman"/>
                <w:bCs/>
                <w:color w:val="auto"/>
                <w:kern w:val="2"/>
                <w:szCs w:val="24"/>
                <w:lang w:val="en-US" w:eastAsia="zh-CN"/>
              </w:rPr>
              <w:t>5</w:t>
            </w:r>
            <w:r>
              <w:rPr>
                <w:rFonts w:hint="default" w:ascii="Times New Roman" w:hAnsi="Times New Roman" w:cs="Times New Roman"/>
                <w:bCs/>
                <w:color w:val="auto"/>
                <w:kern w:val="2"/>
                <w:szCs w:val="24"/>
              </w:rPr>
              <w:t>.</w:t>
            </w:r>
            <w:r>
              <w:rPr>
                <w:rFonts w:hint="eastAsia" w:ascii="Times New Roman" w:hAnsi="Times New Roman" w:cs="Times New Roman"/>
                <w:bCs/>
                <w:color w:val="auto"/>
                <w:kern w:val="2"/>
                <w:szCs w:val="24"/>
                <w:lang w:val="en-US" w:eastAsia="zh-CN"/>
              </w:rPr>
              <w:t>4</w:t>
            </w:r>
            <w:r>
              <w:rPr>
                <w:rFonts w:hint="default" w:ascii="Times New Roman" w:hAnsi="Times New Roman" w:cs="Times New Roman"/>
                <w:bCs/>
                <w:color w:val="auto"/>
                <w:kern w:val="2"/>
                <w:szCs w:val="24"/>
              </w:rPr>
              <w:t xml:space="preserve"> 公用工程</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kern w:val="2"/>
                <w:szCs w:val="24"/>
                <w:lang w:eastAsia="zh-CN"/>
              </w:rPr>
            </w:pPr>
            <w:r>
              <w:rPr>
                <w:rFonts w:hint="eastAsia" w:ascii="Times New Roman" w:hAnsi="Times New Roman" w:cs="Times New Roman"/>
                <w:bCs/>
                <w:color w:val="auto"/>
                <w:kern w:val="2"/>
                <w:szCs w:val="24"/>
                <w:lang w:val="en-US" w:eastAsia="zh-CN"/>
              </w:rPr>
              <w:t>5</w:t>
            </w:r>
            <w:r>
              <w:rPr>
                <w:rFonts w:hint="default" w:ascii="Times New Roman" w:hAnsi="Times New Roman" w:cs="Times New Roman"/>
                <w:bCs/>
                <w:color w:val="auto"/>
                <w:kern w:val="2"/>
                <w:szCs w:val="24"/>
              </w:rPr>
              <w:t>.</w:t>
            </w:r>
            <w:r>
              <w:rPr>
                <w:rFonts w:hint="eastAsia" w:ascii="Times New Roman" w:hAnsi="Times New Roman" w:cs="Times New Roman"/>
                <w:bCs/>
                <w:color w:val="auto"/>
                <w:kern w:val="2"/>
                <w:szCs w:val="24"/>
                <w:lang w:val="en-US" w:eastAsia="zh-CN"/>
              </w:rPr>
              <w:t>4</w:t>
            </w:r>
            <w:r>
              <w:rPr>
                <w:rFonts w:hint="default" w:ascii="Times New Roman" w:hAnsi="Times New Roman" w:cs="Times New Roman"/>
                <w:bCs/>
                <w:color w:val="auto"/>
                <w:kern w:val="2"/>
                <w:szCs w:val="24"/>
              </w:rPr>
              <w:t>.1 供</w:t>
            </w:r>
            <w:r>
              <w:rPr>
                <w:rFonts w:hint="default" w:ascii="Times New Roman" w:hAnsi="Times New Roman" w:cs="Times New Roman"/>
                <w:bCs/>
                <w:color w:val="auto"/>
                <w:kern w:val="2"/>
                <w:szCs w:val="24"/>
                <w:lang w:eastAsia="zh-CN"/>
              </w:rPr>
              <w:t>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rPr>
            </w:pP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年用</w:t>
            </w:r>
            <w:r>
              <w:rPr>
                <w:rFonts w:hint="eastAsia" w:cs="Times New Roman"/>
                <w:color w:val="auto"/>
                <w:sz w:val="24"/>
                <w:lang w:val="en-US" w:eastAsia="zh-CN"/>
              </w:rPr>
              <w:t>焦炉煤气</w:t>
            </w:r>
            <w:r>
              <w:rPr>
                <w:rFonts w:hint="default" w:ascii="Times New Roman" w:hAnsi="Times New Roman" w:cs="Times New Roman"/>
                <w:color w:val="auto"/>
                <w:sz w:val="24"/>
                <w:lang w:eastAsia="zh-CN"/>
              </w:rPr>
              <w:t>为</w:t>
            </w:r>
            <w:r>
              <w:rPr>
                <w:rFonts w:hint="eastAsia" w:cs="Times New Roman"/>
                <w:color w:val="auto"/>
                <w:sz w:val="24"/>
                <w:lang w:val="en-US" w:eastAsia="zh-CN"/>
              </w:rPr>
              <w:t>960</w:t>
            </w:r>
            <w:r>
              <w:rPr>
                <w:rFonts w:hint="default" w:ascii="Times New Roman" w:hAnsi="Times New Roman" w:cs="Times New Roman"/>
                <w:color w:val="auto"/>
                <w:sz w:val="24"/>
                <w:lang w:val="en-US" w:eastAsia="zh-CN"/>
              </w:rPr>
              <w:t>万</w:t>
            </w:r>
            <w:r>
              <w:rPr>
                <w:rFonts w:hint="eastAsia" w:cs="Times New Roman"/>
                <w:color w:val="auto"/>
                <w:sz w:val="24"/>
                <w:lang w:val="en-US" w:eastAsia="zh-CN"/>
              </w:rPr>
              <w:t>m</w:t>
            </w:r>
            <w:r>
              <w:rPr>
                <w:rFonts w:hint="eastAsia" w:cs="Times New Roman"/>
                <w:color w:val="auto"/>
                <w:sz w:val="24"/>
                <w:vertAlign w:val="superscript"/>
                <w:lang w:val="en-US" w:eastAsia="zh-CN"/>
              </w:rPr>
              <w:t>3</w:t>
            </w:r>
            <w:r>
              <w:rPr>
                <w:rFonts w:hint="eastAsia" w:cs="Times New Roman"/>
                <w:color w:val="auto"/>
                <w:sz w:val="24"/>
                <w:lang w:val="en-US" w:eastAsia="zh-CN"/>
              </w:rPr>
              <w:t>/a，由莱钢集团采用管道输送，厂区内不设储罐。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color w:val="auto"/>
                <w:sz w:val="24"/>
              </w:rPr>
            </w:pPr>
            <w:r>
              <w:rPr>
                <w:rFonts w:hint="eastAsia" w:cs="Times New Roman"/>
                <w:color w:val="auto"/>
                <w:sz w:val="24"/>
                <w:lang w:val="en-US" w:eastAsia="zh-CN"/>
              </w:rPr>
              <w:t>5</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.2 给排水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s="Times New Roman"/>
                <w:color w:val="auto"/>
                <w:sz w:val="24"/>
                <w:lang w:val="en-US" w:eastAsia="zh-CN"/>
              </w:rPr>
            </w:pPr>
            <w:r>
              <w:rPr>
                <w:rFonts w:hint="eastAsia" w:cs="Times New Roman"/>
                <w:color w:val="auto"/>
                <w:sz w:val="24"/>
                <w:lang w:val="en-US" w:eastAsia="zh-CN"/>
              </w:rPr>
              <w:t>（1）给水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s="Times New Roman"/>
                <w:color w:val="auto"/>
                <w:sz w:val="24"/>
                <w:lang w:val="en-US" w:eastAsia="zh-CN"/>
              </w:rPr>
            </w:pPr>
            <w:r>
              <w:rPr>
                <w:rFonts w:hint="default" w:cs="Times New Roman"/>
                <w:color w:val="auto"/>
                <w:sz w:val="24"/>
                <w:lang w:val="en-US" w:eastAsia="zh-CN"/>
              </w:rPr>
              <w:t>项目用水主要为生产用水和生活用水。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olor w:val="auto"/>
                <w:sz w:val="24"/>
                <w:highlight w:val="none"/>
                <w:lang w:val="en-US" w:eastAsia="zh-CN"/>
              </w:rPr>
            </w:pPr>
            <w:r>
              <w:rPr>
                <w:rFonts w:hint="eastAsia"/>
                <w:color w:val="auto"/>
                <w:sz w:val="24"/>
                <w:lang w:val="en-US" w:eastAsia="zh-CN"/>
              </w:rPr>
              <w:t>冷却</w:t>
            </w:r>
            <w:r>
              <w:rPr>
                <w:rFonts w:hint="eastAsia"/>
                <w:color w:val="auto"/>
                <w:sz w:val="24"/>
                <w:highlight w:val="none"/>
                <w:lang w:val="en-US" w:eastAsia="zh-CN"/>
              </w:rPr>
              <w:t>过程用水：项目热轧冷却用水，经沉淀池沉淀后循环使用，定期补充水，经类比同类项目和企业提供资料，补水量约为33610m</w:t>
            </w:r>
            <w:r>
              <w:rPr>
                <w:rFonts w:hint="eastAsia"/>
                <w:color w:val="auto"/>
                <w:sz w:val="24"/>
                <w:highlight w:val="none"/>
                <w:vertAlign w:val="superscript"/>
                <w:lang w:val="en-US" w:eastAsia="zh-CN"/>
              </w:rPr>
              <w:t>3</w:t>
            </w:r>
            <w:r>
              <w:rPr>
                <w:rFonts w:hint="eastAsia"/>
                <w:color w:val="auto"/>
                <w:sz w:val="24"/>
                <w:highlight w:val="none"/>
                <w:lang w:val="en-US" w:eastAsia="zh-CN"/>
              </w:rPr>
              <w:t>/a，其中1810m</w:t>
            </w:r>
            <w:r>
              <w:rPr>
                <w:rFonts w:hint="eastAsia"/>
                <w:color w:val="auto"/>
                <w:sz w:val="24"/>
                <w:highlight w:val="none"/>
                <w:vertAlign w:val="superscript"/>
                <w:lang w:val="en-US" w:eastAsia="zh-CN"/>
              </w:rPr>
              <w:t>3</w:t>
            </w:r>
            <w:r>
              <w:rPr>
                <w:rFonts w:hint="eastAsia"/>
                <w:color w:val="auto"/>
                <w:sz w:val="24"/>
                <w:highlight w:val="none"/>
                <w:lang w:val="en-US" w:eastAsia="zh-CN"/>
              </w:rPr>
              <w:t>/a使用污水处理站处理的中水，31800m</w:t>
            </w:r>
            <w:r>
              <w:rPr>
                <w:rFonts w:hint="eastAsia"/>
                <w:color w:val="auto"/>
                <w:sz w:val="24"/>
                <w:highlight w:val="none"/>
                <w:vertAlign w:val="superscript"/>
                <w:lang w:val="en-US" w:eastAsia="zh-CN"/>
              </w:rPr>
              <w:t>3</w:t>
            </w:r>
            <w:r>
              <w:rPr>
                <w:rFonts w:hint="eastAsia"/>
                <w:color w:val="auto"/>
                <w:sz w:val="24"/>
                <w:highlight w:val="none"/>
                <w:lang w:val="en-US" w:eastAsia="zh-CN"/>
              </w:rPr>
              <w:t>/a使用新鲜水，新鲜水由里辛街道供水管网提供</w:t>
            </w:r>
            <w:r>
              <w:rPr>
                <w:rFonts w:hint="eastAsia" w:ascii="Times New Roman" w:hAnsi="Times New Roman"/>
                <w:color w:val="auto"/>
                <w:sz w:val="24"/>
                <w:highlight w:val="none"/>
                <w:lang w:val="en-US" w:eastAsia="zh-CN"/>
              </w:rPr>
              <w:t>。</w:t>
            </w:r>
          </w:p>
          <w:p>
            <w:pPr>
              <w:pStyle w:val="2"/>
              <w:spacing w:after="0" w:line="360" w:lineRule="auto"/>
              <w:ind w:left="0" w:leftChars="0" w:firstLine="480"/>
              <w:rPr>
                <w:rFonts w:hint="eastAsia" w:ascii="Times New Roman" w:hAnsi="Times New Roman"/>
                <w:color w:val="auto"/>
                <w:sz w:val="24"/>
                <w:highlight w:val="none"/>
                <w:lang w:val="en-US" w:eastAsia="zh-CN" w:bidi="ar-SA"/>
              </w:rPr>
            </w:pPr>
            <w:r>
              <w:rPr>
                <w:rFonts w:hint="eastAsia" w:ascii="Times New Roman" w:hAnsi="Times New Roman"/>
                <w:color w:val="auto"/>
                <w:sz w:val="24"/>
                <w:highlight w:val="none"/>
                <w:lang w:val="en-US" w:eastAsia="zh-CN" w:bidi="ar-SA"/>
              </w:rPr>
              <w:t>生活用水：项目员工200人，用水量按照</w:t>
            </w:r>
            <w:r>
              <w:rPr>
                <w:rFonts w:hint="eastAsia"/>
                <w:color w:val="auto"/>
                <w:sz w:val="24"/>
                <w:highlight w:val="none"/>
                <w:lang w:val="en-US" w:eastAsia="zh-CN" w:bidi="ar-SA"/>
              </w:rPr>
              <w:t>50</w:t>
            </w:r>
            <w:r>
              <w:rPr>
                <w:rFonts w:hint="eastAsia" w:ascii="Times New Roman" w:hAnsi="Times New Roman"/>
                <w:color w:val="auto"/>
                <w:sz w:val="24"/>
                <w:highlight w:val="none"/>
                <w:lang w:val="en-US" w:eastAsia="zh-CN" w:bidi="ar-SA"/>
              </w:rPr>
              <w:t>L/人</w:t>
            </w:r>
            <w:r>
              <w:rPr>
                <w:rFonts w:hint="default" w:ascii="Times New Roman" w:hAnsi="Times New Roman" w:cs="Times New Roman"/>
                <w:color w:val="auto"/>
                <w:sz w:val="24"/>
                <w:highlight w:val="none"/>
                <w:lang w:val="en-US" w:eastAsia="zh-CN" w:bidi="ar-SA"/>
              </w:rPr>
              <w:t>·</w:t>
            </w:r>
            <w:r>
              <w:rPr>
                <w:rFonts w:hint="eastAsia" w:ascii="Times New Roman" w:hAnsi="Times New Roman"/>
                <w:color w:val="auto"/>
                <w:sz w:val="24"/>
                <w:highlight w:val="none"/>
                <w:lang w:val="en-US" w:eastAsia="zh-CN" w:bidi="ar-SA"/>
              </w:rPr>
              <w:t>d计算，则项目年用水量为</w:t>
            </w:r>
            <w:r>
              <w:rPr>
                <w:rFonts w:hint="eastAsia"/>
                <w:color w:val="auto"/>
                <w:sz w:val="24"/>
                <w:highlight w:val="none"/>
                <w:lang w:val="en-US" w:eastAsia="zh-CN" w:bidi="ar-SA"/>
              </w:rPr>
              <w:t>3200</w:t>
            </w:r>
            <w:r>
              <w:rPr>
                <w:rFonts w:hint="eastAsia" w:ascii="Times New Roman" w:hAnsi="Times New Roman"/>
                <w:color w:val="auto"/>
                <w:sz w:val="24"/>
                <w:highlight w:val="none"/>
                <w:lang w:val="en-US" w:eastAsia="zh-CN" w:bidi="ar-SA"/>
              </w:rPr>
              <w:t>m</w:t>
            </w:r>
            <w:r>
              <w:rPr>
                <w:rFonts w:hint="eastAsia" w:ascii="Times New Roman" w:hAnsi="Times New Roman"/>
                <w:color w:val="auto"/>
                <w:sz w:val="24"/>
                <w:highlight w:val="none"/>
                <w:vertAlign w:val="superscript"/>
                <w:lang w:val="en-US" w:eastAsia="zh-CN" w:bidi="ar-SA"/>
              </w:rPr>
              <w:t>3</w:t>
            </w:r>
            <w:r>
              <w:rPr>
                <w:rFonts w:hint="eastAsia" w:ascii="Times New Roman" w:hAnsi="Times New Roman"/>
                <w:color w:val="auto"/>
                <w:sz w:val="24"/>
                <w:highlight w:val="none"/>
                <w:lang w:val="en-US" w:eastAsia="zh-CN" w:bidi="ar-SA"/>
              </w:rPr>
              <w:t>/a，使用新鲜水。</w:t>
            </w:r>
          </w:p>
          <w:p>
            <w:pPr>
              <w:pStyle w:val="32"/>
              <w:spacing w:line="360" w:lineRule="auto"/>
              <w:ind w:firstLine="480" w:firstLineChars="200"/>
              <w:rPr>
                <w:rFonts w:hint="default" w:ascii="Times New Roman" w:hAnsi="Times New Roman"/>
                <w:color w:val="auto"/>
                <w:sz w:val="24"/>
                <w:highlight w:val="none"/>
                <w:lang w:val="en-US" w:eastAsia="zh-CN" w:bidi="ar-SA"/>
              </w:rPr>
            </w:pPr>
            <w:r>
              <w:rPr>
                <w:rFonts w:hint="eastAsia" w:ascii="Times New Roman" w:hAnsi="Times New Roman"/>
                <w:color w:val="auto"/>
                <w:sz w:val="24"/>
                <w:highlight w:val="none"/>
                <w:lang w:val="en-US" w:eastAsia="zh-CN" w:bidi="ar-SA"/>
              </w:rPr>
              <w:t>厂区绿化用水：项目绿化面积</w:t>
            </w:r>
            <w:r>
              <w:rPr>
                <w:rFonts w:hint="eastAsia" w:ascii="Times New Roman"/>
                <w:color w:val="auto"/>
                <w:sz w:val="24"/>
                <w:highlight w:val="none"/>
                <w:lang w:val="en-US" w:eastAsia="zh-CN" w:bidi="ar-SA"/>
              </w:rPr>
              <w:t>2000</w:t>
            </w:r>
            <w:r>
              <w:rPr>
                <w:rFonts w:hint="eastAsia" w:ascii="Times New Roman" w:hAnsi="Times New Roman"/>
                <w:color w:val="auto"/>
                <w:sz w:val="24"/>
                <w:highlight w:val="none"/>
                <w:lang w:val="en-US" w:eastAsia="zh-CN" w:bidi="ar-SA"/>
              </w:rPr>
              <w:t>m</w:t>
            </w:r>
            <w:r>
              <w:rPr>
                <w:rFonts w:hint="eastAsia" w:ascii="Times New Roman" w:hAnsi="Times New Roman"/>
                <w:color w:val="auto"/>
                <w:sz w:val="24"/>
                <w:highlight w:val="none"/>
                <w:vertAlign w:val="superscript"/>
                <w:lang w:val="en-US" w:eastAsia="zh-CN" w:bidi="ar-SA"/>
              </w:rPr>
              <w:t>2</w:t>
            </w:r>
            <w:r>
              <w:rPr>
                <w:rFonts w:hint="eastAsia" w:ascii="Times New Roman" w:hAnsi="Times New Roman"/>
                <w:color w:val="auto"/>
                <w:sz w:val="24"/>
                <w:highlight w:val="none"/>
                <w:lang w:val="en-US" w:eastAsia="zh-CN" w:bidi="ar-SA"/>
              </w:rPr>
              <w:t>，绿化用水按照</w:t>
            </w:r>
            <w:r>
              <w:rPr>
                <w:rFonts w:hint="eastAsia" w:ascii="Times New Roman"/>
                <w:color w:val="auto"/>
                <w:sz w:val="24"/>
                <w:highlight w:val="none"/>
                <w:lang w:val="en-US" w:eastAsia="zh-CN" w:bidi="ar-SA"/>
              </w:rPr>
              <w:t>1.5</w:t>
            </w:r>
            <w:r>
              <w:rPr>
                <w:rFonts w:hint="eastAsia" w:ascii="Times New Roman" w:hAnsi="Times New Roman"/>
                <w:color w:val="auto"/>
                <w:sz w:val="24"/>
                <w:highlight w:val="none"/>
                <w:lang w:val="en-US" w:eastAsia="zh-CN" w:bidi="ar-SA"/>
              </w:rPr>
              <w:t>L/d</w:t>
            </w:r>
            <w:r>
              <w:rPr>
                <w:rFonts w:hint="default" w:ascii="Times New Roman" w:hAnsi="Times New Roman" w:cs="Times New Roman"/>
                <w:color w:val="auto"/>
                <w:sz w:val="24"/>
                <w:highlight w:val="none"/>
                <w:lang w:val="en-US" w:eastAsia="zh-CN" w:bidi="ar-SA"/>
              </w:rPr>
              <w:t>·</w:t>
            </w:r>
            <w:r>
              <w:rPr>
                <w:rFonts w:hint="eastAsia" w:ascii="Times New Roman" w:hAnsi="Times New Roman"/>
                <w:color w:val="auto"/>
                <w:sz w:val="24"/>
                <w:highlight w:val="none"/>
                <w:lang w:val="en-US" w:eastAsia="zh-CN" w:bidi="ar-SA"/>
              </w:rPr>
              <w:t>m</w:t>
            </w:r>
            <w:r>
              <w:rPr>
                <w:rFonts w:hint="eastAsia" w:ascii="Times New Roman" w:hAnsi="Times New Roman"/>
                <w:color w:val="auto"/>
                <w:sz w:val="24"/>
                <w:highlight w:val="none"/>
                <w:vertAlign w:val="superscript"/>
                <w:lang w:val="en-US" w:eastAsia="zh-CN" w:bidi="ar-SA"/>
              </w:rPr>
              <w:t>2</w:t>
            </w:r>
            <w:r>
              <w:rPr>
                <w:rFonts w:hint="eastAsia" w:ascii="Times New Roman" w:hAnsi="Times New Roman"/>
                <w:color w:val="auto"/>
                <w:sz w:val="24"/>
                <w:highlight w:val="none"/>
                <w:lang w:val="en-US" w:eastAsia="zh-CN" w:bidi="ar-SA"/>
              </w:rPr>
              <w:t>，年绿化浇洒250d计算，年用水量为</w:t>
            </w:r>
            <w:r>
              <w:rPr>
                <w:rFonts w:hint="eastAsia" w:ascii="Times New Roman"/>
                <w:color w:val="auto"/>
                <w:sz w:val="24"/>
                <w:highlight w:val="none"/>
                <w:lang w:val="en-US" w:eastAsia="zh-CN" w:bidi="ar-SA"/>
              </w:rPr>
              <w:t>750</w:t>
            </w:r>
            <w:r>
              <w:rPr>
                <w:rFonts w:hint="eastAsia" w:ascii="Times New Roman" w:hAnsi="Times New Roman"/>
                <w:color w:val="auto"/>
                <w:sz w:val="24"/>
                <w:highlight w:val="none"/>
                <w:lang w:val="en-US" w:eastAsia="zh-CN" w:bidi="ar-SA"/>
              </w:rPr>
              <w:t>m</w:t>
            </w:r>
            <w:r>
              <w:rPr>
                <w:rFonts w:hint="eastAsia" w:ascii="Times New Roman" w:hAnsi="Times New Roman"/>
                <w:color w:val="auto"/>
                <w:sz w:val="24"/>
                <w:highlight w:val="none"/>
                <w:vertAlign w:val="superscript"/>
                <w:lang w:val="en-US" w:eastAsia="zh-CN" w:bidi="ar-SA"/>
              </w:rPr>
              <w:t>3</w:t>
            </w:r>
            <w:r>
              <w:rPr>
                <w:rFonts w:hint="eastAsia" w:ascii="Times New Roman" w:hAnsi="Times New Roman"/>
                <w:color w:val="auto"/>
                <w:sz w:val="24"/>
                <w:highlight w:val="none"/>
                <w:lang w:val="en-US" w:eastAsia="zh-CN" w:bidi="ar-SA"/>
              </w:rPr>
              <w:t>/a，</w:t>
            </w:r>
            <w:r>
              <w:rPr>
                <w:rFonts w:hint="eastAsia" w:ascii="Times New Roman"/>
                <w:color w:val="auto"/>
                <w:sz w:val="24"/>
                <w:highlight w:val="none"/>
                <w:lang w:val="en-US" w:eastAsia="zh-CN" w:bidi="ar-SA"/>
              </w:rPr>
              <w:t>全部使用污水处理站中水</w:t>
            </w:r>
            <w:r>
              <w:rPr>
                <w:rFonts w:hint="eastAsia" w:ascii="Times New Roman" w:hAnsi="Times New Roman"/>
                <w:color w:val="auto"/>
                <w:sz w:val="24"/>
                <w:highlight w:val="none"/>
                <w:lang w:val="en-US" w:eastAsia="zh-CN" w:bidi="ar-SA"/>
              </w:rPr>
              <w:t>。</w:t>
            </w:r>
          </w:p>
          <w:p>
            <w:pPr>
              <w:pStyle w:val="32"/>
              <w:spacing w:line="360" w:lineRule="auto"/>
              <w:ind w:firstLine="480" w:firstLineChars="200"/>
              <w:rPr>
                <w:rFonts w:hint="default" w:ascii="Times New Roman" w:hAnsi="Times New Roman"/>
                <w:color w:val="auto"/>
                <w:highlight w:val="none"/>
                <w:lang w:val="en-US" w:eastAsia="zh-CN" w:bidi="ar-SA"/>
              </w:rPr>
            </w:pPr>
            <w:r>
              <w:rPr>
                <w:rFonts w:hint="eastAsia" w:ascii="Times New Roman" w:hAnsi="Times New Roman"/>
                <w:color w:val="auto"/>
                <w:sz w:val="24"/>
                <w:highlight w:val="none"/>
                <w:lang w:val="en-US" w:eastAsia="zh-CN" w:bidi="ar-SA"/>
              </w:rPr>
              <w:t>综上所述，项目年用水量为</w:t>
            </w:r>
            <w:r>
              <w:rPr>
                <w:rFonts w:hint="eastAsia" w:ascii="Times New Roman"/>
                <w:color w:val="auto"/>
                <w:sz w:val="24"/>
                <w:highlight w:val="none"/>
                <w:lang w:val="en-US" w:eastAsia="zh-CN" w:bidi="ar-SA"/>
              </w:rPr>
              <w:t>10540</w:t>
            </w:r>
            <w:r>
              <w:rPr>
                <w:rFonts w:hint="eastAsia" w:ascii="Times New Roman" w:hAnsi="Times New Roman"/>
                <w:color w:val="auto"/>
                <w:sz w:val="24"/>
                <w:highlight w:val="none"/>
                <w:lang w:val="en-US" w:eastAsia="zh-CN" w:bidi="ar-SA"/>
              </w:rPr>
              <w:t>m</w:t>
            </w:r>
            <w:r>
              <w:rPr>
                <w:rFonts w:hint="eastAsia" w:ascii="Times New Roman" w:hAnsi="Times New Roman"/>
                <w:color w:val="auto"/>
                <w:sz w:val="24"/>
                <w:highlight w:val="none"/>
                <w:vertAlign w:val="superscript"/>
                <w:lang w:val="en-US" w:eastAsia="zh-CN" w:bidi="ar-SA"/>
              </w:rPr>
              <w:t>3</w:t>
            </w:r>
            <w:r>
              <w:rPr>
                <w:rFonts w:hint="eastAsia" w:ascii="Times New Roman" w:hAnsi="Times New Roman"/>
                <w:color w:val="auto"/>
                <w:sz w:val="24"/>
                <w:highlight w:val="none"/>
                <w:lang w:val="en-US" w:eastAsia="zh-CN" w:bidi="ar-SA"/>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s="Times New Roman"/>
                <w:color w:val="auto"/>
                <w:sz w:val="24"/>
                <w:lang w:val="en-US" w:eastAsia="zh-CN"/>
              </w:rPr>
            </w:pPr>
            <w:r>
              <w:rPr>
                <w:rFonts w:hint="eastAsia" w:cs="Times New Roman"/>
                <w:color w:val="auto"/>
                <w:sz w:val="24"/>
                <w:lang w:val="en-US" w:eastAsia="zh-CN"/>
              </w:rPr>
              <w:t>（2）排水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本项目生产过程热轧冷却水经沉淀后循环使用，不外排</w:t>
            </w:r>
            <w:r>
              <w:rPr>
                <w:rFonts w:hint="eastAsia" w:cs="Times New Roman"/>
                <w:color w:val="auto"/>
                <w:sz w:val="24"/>
                <w:highlight w:val="none"/>
                <w:lang w:val="en-US" w:eastAsia="zh-CN"/>
              </w:rPr>
              <w:t>；废水主要为生活污水，污水量按照生活用水量的80%计，生活污水产生量为2560m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/a，排入厂区自建的污水处理站处理后回用，不外排</w:t>
            </w:r>
            <w:r>
              <w:rPr>
                <w:rFonts w:hint="eastAsia" w:cs="Times New Roman"/>
                <w:color w:val="auto"/>
                <w:sz w:val="24"/>
                <w:lang w:val="en-US" w:eastAsia="zh-CN"/>
              </w:rPr>
              <w:t>。</w:t>
            </w:r>
          </w:p>
          <w:p>
            <w:pPr>
              <w:rPr>
                <w:rFonts w:hint="eastAsia"/>
                <w:color w:val="auto"/>
                <w:lang w:val="en-US" w:eastAsia="zh-CN"/>
              </w:rPr>
            </w:pPr>
          </w:p>
          <w:p>
            <w:pPr>
              <w:pStyle w:val="33"/>
              <w:ind w:left="0" w:leftChars="0" w:firstLine="0" w:firstLineChars="0"/>
              <w:jc w:val="center"/>
              <w:rPr>
                <w:color w:val="auto"/>
              </w:rPr>
            </w:pPr>
            <w:r>
              <w:rPr>
                <w:color w:val="auto"/>
              </w:rPr>
              <w:drawing>
                <wp:inline distT="0" distB="0" distL="114300" distR="114300">
                  <wp:extent cx="4942205" cy="2089150"/>
                  <wp:effectExtent l="0" t="0" r="1079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942205" cy="2089150"/>
                          </a:xfrm>
                          <a:prstGeom prst="rect">
                            <a:avLst/>
                          </a:prstGeom>
                          <a:noFill/>
                          <a:ln>
                            <a:noFill/>
                          </a:ln>
                        </pic:spPr>
                      </pic:pic>
                    </a:graphicData>
                  </a:graphic>
                </wp:inline>
              </w:drawing>
            </w:r>
          </w:p>
          <w:p>
            <w:pPr>
              <w:pStyle w:val="32"/>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GB"/>
              </w:rPr>
              <w:t>图</w:t>
            </w:r>
            <w:r>
              <w:rPr>
                <w:rFonts w:hint="eastAsia" w:ascii="Times New Roman" w:cs="Times New Roman"/>
                <w:b/>
                <w:bCs w:val="0"/>
                <w:color w:val="auto"/>
                <w:sz w:val="21"/>
                <w:szCs w:val="21"/>
                <w:lang w:val="en-US" w:eastAsia="zh-CN"/>
              </w:rPr>
              <w:t>1-1</w:t>
            </w:r>
            <w:r>
              <w:rPr>
                <w:rFonts w:hint="default" w:ascii="Times New Roman" w:hAnsi="Times New Roman" w:eastAsia="宋体" w:cs="Times New Roman"/>
                <w:b/>
                <w:bCs w:val="0"/>
                <w:color w:val="auto"/>
                <w:sz w:val="21"/>
                <w:szCs w:val="21"/>
              </w:rPr>
              <w:t xml:space="preserve"> </w:t>
            </w:r>
            <w:r>
              <w:rPr>
                <w:rFonts w:hint="eastAsia" w:ascii="Times New Roman" w:hAnsi="Times New Roman" w:eastAsia="宋体" w:cs="Times New Roman"/>
                <w:b/>
                <w:bCs w:val="0"/>
                <w:color w:val="auto"/>
                <w:sz w:val="21"/>
                <w:szCs w:val="21"/>
                <w:lang w:val="en-US" w:eastAsia="zh-CN"/>
              </w:rPr>
              <w:t>项目</w:t>
            </w:r>
            <w:r>
              <w:rPr>
                <w:rFonts w:hint="default" w:ascii="Times New Roman" w:hAnsi="Times New Roman" w:eastAsia="宋体" w:cs="Times New Roman"/>
                <w:b/>
                <w:bCs w:val="0"/>
                <w:color w:val="auto"/>
                <w:sz w:val="21"/>
                <w:szCs w:val="21"/>
              </w:rPr>
              <w:t>水平衡图</w:t>
            </w:r>
            <w:r>
              <w:rPr>
                <w:rFonts w:hint="default" w:ascii="Times New Roman" w:hAnsi="Times New Roman" w:eastAsia="宋体" w:cs="Times New Roman"/>
                <w:b/>
                <w:bCs w:val="0"/>
                <w:color w:val="auto"/>
                <w:sz w:val="21"/>
                <w:szCs w:val="21"/>
                <w:lang w:eastAsia="zh-CN"/>
              </w:rPr>
              <w:t>（单位：</w:t>
            </w:r>
            <w:r>
              <w:rPr>
                <w:rFonts w:hint="default" w:ascii="Times New Roman" w:hAnsi="Times New Roman" w:eastAsia="宋体" w:cs="Times New Roman"/>
                <w:b/>
                <w:bCs w:val="0"/>
                <w:color w:val="auto"/>
                <w:sz w:val="21"/>
                <w:szCs w:val="21"/>
                <w:lang w:val="en-US" w:eastAsia="zh-CN"/>
              </w:rPr>
              <w:t>m</w:t>
            </w:r>
            <w:r>
              <w:rPr>
                <w:rFonts w:hint="default" w:ascii="Times New Roman" w:hAnsi="Times New Roman" w:eastAsia="宋体" w:cs="Times New Roman"/>
                <w:b/>
                <w:bCs w:val="0"/>
                <w:color w:val="auto"/>
                <w:sz w:val="21"/>
                <w:szCs w:val="21"/>
                <w:vertAlign w:val="superscript"/>
                <w:lang w:val="en-US" w:eastAsia="zh-CN"/>
              </w:rPr>
              <w:t>3</w:t>
            </w:r>
            <w:r>
              <w:rPr>
                <w:rFonts w:hint="default" w:ascii="Times New Roman" w:hAnsi="Times New Roman" w:eastAsia="宋体" w:cs="Times New Roman"/>
                <w:b/>
                <w:bCs w:val="0"/>
                <w:color w:val="auto"/>
                <w:sz w:val="21"/>
                <w:szCs w:val="21"/>
                <w:lang w:val="en-US" w:eastAsia="zh-CN"/>
              </w:rPr>
              <w:t>/a</w:t>
            </w:r>
            <w:r>
              <w:rPr>
                <w:rFonts w:hint="default" w:ascii="Times New Roman" w:hAnsi="Times New Roman" w:eastAsia="宋体" w:cs="Times New Roman"/>
                <w:b/>
                <w:bCs w:val="0"/>
                <w:color w:val="auto"/>
                <w:sz w:val="21"/>
                <w:szCs w:val="21"/>
                <w:lang w:eastAsia="zh-CN"/>
              </w:rPr>
              <w:t>）</w:t>
            </w:r>
          </w:p>
          <w:p>
            <w:pPr>
              <w:spacing w:line="360" w:lineRule="auto"/>
              <w:rPr>
                <w:rFonts w:hint="default" w:ascii="Times New Roman" w:hAnsi="Times New Roman" w:cs="Times New Roman"/>
                <w:color w:val="auto"/>
                <w:sz w:val="24"/>
                <w:highlight w:val="none"/>
              </w:rPr>
            </w:pPr>
            <w:r>
              <w:rPr>
                <w:rFonts w:hint="eastAsia" w:cs="Times New Roman"/>
                <w:color w:val="auto"/>
                <w:sz w:val="24"/>
                <w:lang w:val="en-US" w:eastAsia="zh-CN"/>
              </w:rPr>
              <w:t>5</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.3</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供电</w:t>
            </w:r>
          </w:p>
          <w:p>
            <w:pPr>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本项目年耗电量</w:t>
            </w:r>
            <w:r>
              <w:rPr>
                <w:rFonts w:hint="eastAsia" w:cs="Times New Roman"/>
                <w:color w:val="auto"/>
                <w:sz w:val="24"/>
                <w:highlight w:val="none"/>
                <w:lang w:val="en-US" w:eastAsia="zh-CN"/>
              </w:rPr>
              <w:t>200</w:t>
            </w:r>
            <w:r>
              <w:rPr>
                <w:rFonts w:hint="default" w:ascii="Times New Roman" w:hAnsi="Times New Roman" w:cs="Times New Roman"/>
                <w:color w:val="auto"/>
                <w:sz w:val="24"/>
                <w:highlight w:val="none"/>
              </w:rPr>
              <w:t>万度。项目用电由</w:t>
            </w:r>
            <w:r>
              <w:rPr>
                <w:rFonts w:hint="eastAsia" w:cs="Times New Roman"/>
                <w:color w:val="auto"/>
                <w:sz w:val="24"/>
                <w:highlight w:val="none"/>
                <w:lang w:val="en-US" w:eastAsia="zh-CN"/>
              </w:rPr>
              <w:t>里辛街道供电系统提供，厂区内自建变配电室</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eastAsia" w:cs="Times New Roman"/>
                <w:b/>
                <w:bCs/>
                <w:color w:val="auto"/>
                <w:kern w:val="0"/>
                <w:sz w:val="24"/>
                <w:lang w:val="en-US" w:eastAsia="zh-CN"/>
              </w:rPr>
              <w:t>6、</w:t>
            </w:r>
            <w:r>
              <w:rPr>
                <w:rFonts w:hint="default" w:ascii="Times New Roman" w:hAnsi="Times New Roman" w:cs="Times New Roman"/>
                <w:b/>
                <w:bCs/>
                <w:color w:val="auto"/>
                <w:sz w:val="24"/>
              </w:rPr>
              <w:t>环保设施及投资</w:t>
            </w:r>
          </w:p>
          <w:p>
            <w:pPr>
              <w:spacing w:line="360" w:lineRule="auto"/>
              <w:ind w:firstLine="480" w:firstLineChars="200"/>
              <w:rPr>
                <w:rFonts w:hint="eastAsia" w:cs="Times New Roman"/>
                <w:color w:val="auto"/>
                <w:sz w:val="24"/>
                <w:lang w:eastAsia="zh-CN"/>
              </w:rPr>
            </w:pPr>
            <w:r>
              <w:rPr>
                <w:rFonts w:hint="default" w:ascii="Times New Roman" w:hAnsi="Times New Roman" w:cs="Times New Roman"/>
                <w:color w:val="auto"/>
                <w:sz w:val="24"/>
              </w:rPr>
              <w:t>本项目总投资</w:t>
            </w:r>
            <w:r>
              <w:rPr>
                <w:rFonts w:hint="eastAsia" w:cs="Times New Roman"/>
                <w:color w:val="auto"/>
                <w:sz w:val="24"/>
                <w:lang w:val="en-US" w:eastAsia="zh-CN"/>
              </w:rPr>
              <w:t>3234万元</w:t>
            </w:r>
            <w:r>
              <w:rPr>
                <w:rFonts w:hint="default" w:ascii="Times New Roman" w:hAnsi="Times New Roman" w:cs="Times New Roman"/>
                <w:color w:val="auto"/>
                <w:sz w:val="24"/>
              </w:rPr>
              <w:t>，其中环保投资</w:t>
            </w:r>
            <w:r>
              <w:rPr>
                <w:rFonts w:hint="eastAsia" w:cs="Times New Roman"/>
                <w:color w:val="auto"/>
                <w:sz w:val="24"/>
                <w:lang w:val="en-US" w:eastAsia="zh-CN"/>
              </w:rPr>
              <w:t>315</w:t>
            </w:r>
            <w:r>
              <w:rPr>
                <w:rFonts w:hint="default" w:ascii="Times New Roman" w:hAnsi="Times New Roman" w:cs="Times New Roman"/>
                <w:color w:val="auto"/>
                <w:sz w:val="24"/>
              </w:rPr>
              <w:t>万元，占总投资额</w:t>
            </w:r>
            <w:r>
              <w:rPr>
                <w:rFonts w:hint="eastAsia" w:cs="Times New Roman"/>
                <w:color w:val="auto"/>
                <w:sz w:val="24"/>
                <w:lang w:val="en-US" w:eastAsia="zh-CN"/>
              </w:rPr>
              <w:t>9.7</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%；环保设施投资情况见</w:t>
            </w:r>
            <w:r>
              <w:rPr>
                <w:rFonts w:hint="eastAsia" w:ascii="Times New Roman" w:hAnsi="Times New Roman" w:cs="Times New Roman"/>
                <w:color w:val="auto"/>
                <w:sz w:val="24"/>
                <w:lang w:eastAsia="zh-CN"/>
              </w:rPr>
              <w:t>下表</w:t>
            </w:r>
            <w:r>
              <w:rPr>
                <w:rFonts w:hint="eastAsia" w:cs="Times New Roman"/>
                <w:color w:val="auto"/>
                <w:sz w:val="24"/>
                <w:lang w:eastAsia="zh-CN"/>
              </w:rPr>
              <w:t>：</w:t>
            </w:r>
          </w:p>
          <w:p>
            <w:pPr>
              <w:pStyle w:val="2"/>
              <w:rPr>
                <w:rFonts w:hint="eastAsia"/>
                <w:color w:val="auto"/>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1-</w:t>
            </w:r>
            <w:r>
              <w:rPr>
                <w:rFonts w:hint="eastAsia" w:cs="Times New Roman"/>
                <w:b/>
                <w:bCs w:val="0"/>
                <w:color w:val="auto"/>
                <w:kern w:val="2"/>
                <w:sz w:val="21"/>
                <w:szCs w:val="21"/>
                <w:lang w:val="en-US" w:eastAsia="zh-CN" w:bidi="ar-SA"/>
              </w:rPr>
              <w:t>13</w:t>
            </w:r>
            <w:r>
              <w:rPr>
                <w:rFonts w:hint="default" w:ascii="Times New Roman" w:hAnsi="Times New Roman" w:eastAsia="宋体" w:cs="Times New Roman"/>
                <w:b/>
                <w:bCs w:val="0"/>
                <w:color w:val="auto"/>
                <w:kern w:val="2"/>
                <w:sz w:val="21"/>
                <w:szCs w:val="21"/>
                <w:lang w:val="en-US" w:eastAsia="zh-CN" w:bidi="ar-SA"/>
              </w:rPr>
              <w:t xml:space="preserve"> </w:t>
            </w:r>
            <w:r>
              <w:rPr>
                <w:rFonts w:hint="default" w:ascii="Times New Roman" w:hAnsi="Times New Roman" w:eastAsia="宋体" w:cs="Times New Roman"/>
                <w:b/>
                <w:bCs w:val="0"/>
                <w:color w:val="auto"/>
                <w:kern w:val="2"/>
                <w:sz w:val="21"/>
                <w:szCs w:val="21"/>
                <w:lang w:val="en-GB" w:eastAsia="zh-CN" w:bidi="ar-SA"/>
              </w:rPr>
              <w:t xml:space="preserve"> 环保设施及投资一览</w:t>
            </w:r>
            <w:r>
              <w:rPr>
                <w:rFonts w:hint="eastAsia" w:cs="Times New Roman"/>
                <w:b/>
                <w:bCs w:val="0"/>
                <w:color w:val="auto"/>
                <w:kern w:val="2"/>
                <w:sz w:val="21"/>
                <w:szCs w:val="21"/>
                <w:lang w:val="en-US" w:eastAsia="zh-CN" w:bidi="ar-SA"/>
              </w:rPr>
              <w:t>表</w:t>
            </w:r>
          </w:p>
          <w:tbl>
            <w:tblPr>
              <w:tblStyle w:val="24"/>
              <w:tblpPr w:leftFromText="180" w:rightFromText="180" w:vertAnchor="text" w:horzAnchor="page" w:tblpX="142" w:tblpY="128"/>
              <w:tblOverlap w:val="never"/>
              <w:tblW w:w="94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03"/>
              <w:gridCol w:w="3127"/>
              <w:gridCol w:w="1418"/>
              <w:gridCol w:w="19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2903" w:type="dxa"/>
                  <w:tcBorders>
                    <w:tl2br w:val="nil"/>
                    <w:tr2bl w:val="nil"/>
                  </w:tcBorders>
                  <w:noWrap w:val="0"/>
                  <w:vAlign w:val="center"/>
                </w:tcPr>
                <w:p>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设施名称</w:t>
                  </w:r>
                </w:p>
              </w:tc>
              <w:tc>
                <w:tcPr>
                  <w:tcW w:w="3127" w:type="dxa"/>
                  <w:tcBorders>
                    <w:tl2br w:val="nil"/>
                    <w:tr2bl w:val="nil"/>
                  </w:tcBorders>
                  <w:noWrap w:val="0"/>
                  <w:vAlign w:val="center"/>
                </w:tcPr>
                <w:p>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用途</w:t>
                  </w:r>
                </w:p>
              </w:tc>
              <w:tc>
                <w:tcPr>
                  <w:tcW w:w="1418" w:type="dxa"/>
                  <w:tcBorders>
                    <w:tl2br w:val="nil"/>
                    <w:tr2bl w:val="nil"/>
                  </w:tcBorders>
                  <w:noWrap w:val="0"/>
                  <w:vAlign w:val="center"/>
                </w:tcPr>
                <w:p>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投资（万元）</w:t>
                  </w:r>
                </w:p>
              </w:tc>
              <w:tc>
                <w:tcPr>
                  <w:tcW w:w="1963" w:type="dxa"/>
                  <w:tcBorders>
                    <w:tl2br w:val="nil"/>
                    <w:tr2bl w:val="nil"/>
                  </w:tcBorders>
                  <w:noWrap w:val="0"/>
                  <w:vAlign w:val="center"/>
                </w:tcPr>
                <w:p>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2903" w:type="dxa"/>
                  <w:tcBorders>
                    <w:tl2br w:val="nil"/>
                    <w:tr2bl w:val="nil"/>
                  </w:tcBorders>
                  <w:noWrap w:val="0"/>
                  <w:vAlign w:val="center"/>
                </w:tcPr>
                <w:p>
                  <w:pPr>
                    <w:spacing w:line="240" w:lineRule="auto"/>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隔声门窗、设备减振垫等</w:t>
                  </w:r>
                </w:p>
              </w:tc>
              <w:tc>
                <w:tcPr>
                  <w:tcW w:w="3127" w:type="dxa"/>
                  <w:tcBorders>
                    <w:tl2br w:val="nil"/>
                    <w:tr2bl w:val="nil"/>
                  </w:tcBorders>
                  <w:noWrap w:val="0"/>
                  <w:vAlign w:val="center"/>
                </w:tcPr>
                <w:p>
                  <w:pPr>
                    <w:spacing w:line="240" w:lineRule="auto"/>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隔声降噪、基础减震</w:t>
                  </w:r>
                </w:p>
              </w:tc>
              <w:tc>
                <w:tcPr>
                  <w:tcW w:w="1418" w:type="dxa"/>
                  <w:tcBorders>
                    <w:tl2br w:val="nil"/>
                    <w:tr2bl w:val="nil"/>
                  </w:tcBorders>
                  <w:noWrap w:val="0"/>
                  <w:vAlign w:val="center"/>
                </w:tcPr>
                <w:p>
                  <w:pPr>
                    <w:spacing w:line="240" w:lineRule="auto"/>
                    <w:jc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lang w:val="en-US" w:eastAsia="zh-CN"/>
                    </w:rPr>
                    <w:t>6</w:t>
                  </w:r>
                </w:p>
              </w:tc>
              <w:tc>
                <w:tcPr>
                  <w:tcW w:w="1963"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2903" w:type="dxa"/>
                  <w:tcBorders>
                    <w:tl2br w:val="nil"/>
                    <w:tr2bl w:val="nil"/>
                  </w:tcBorders>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SCR脱硝+双碱法脱硫+湿式静电除尘设施+22米排气筒</w:t>
                  </w:r>
                </w:p>
              </w:tc>
              <w:tc>
                <w:tcPr>
                  <w:tcW w:w="3127" w:type="dxa"/>
                  <w:tcBorders>
                    <w:tl2br w:val="nil"/>
                    <w:tr2bl w:val="nil"/>
                  </w:tcBorders>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处理加热炉废气</w:t>
                  </w:r>
                </w:p>
              </w:tc>
              <w:tc>
                <w:tcPr>
                  <w:tcW w:w="1418" w:type="dxa"/>
                  <w:tcBorders>
                    <w:tl2br w:val="nil"/>
                    <w:tr2bl w:val="nil"/>
                  </w:tcBorders>
                  <w:noWrap w:val="0"/>
                  <w:vAlign w:val="center"/>
                </w:tcPr>
                <w:p>
                  <w:pPr>
                    <w:spacing w:line="240" w:lineRule="auto"/>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300</w:t>
                  </w:r>
                </w:p>
              </w:tc>
              <w:tc>
                <w:tcPr>
                  <w:tcW w:w="1963"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2903" w:type="dxa"/>
                  <w:tcBorders>
                    <w:tl2br w:val="nil"/>
                    <w:tr2bl w:val="nil"/>
                  </w:tcBorders>
                  <w:noWrap w:val="0"/>
                  <w:vAlign w:val="center"/>
                </w:tcPr>
                <w:p>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危废暂存间</w:t>
                  </w:r>
                </w:p>
              </w:tc>
              <w:tc>
                <w:tcPr>
                  <w:tcW w:w="3127" w:type="dxa"/>
                  <w:tcBorders>
                    <w:tl2br w:val="nil"/>
                    <w:tr2bl w:val="nil"/>
                  </w:tcBorders>
                  <w:noWrap w:val="0"/>
                  <w:vAlign w:val="center"/>
                </w:tcPr>
                <w:p>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暂存危险废物</w:t>
                  </w:r>
                </w:p>
              </w:tc>
              <w:tc>
                <w:tcPr>
                  <w:tcW w:w="1418" w:type="dxa"/>
                  <w:tcBorders>
                    <w:tl2br w:val="nil"/>
                    <w:tr2bl w:val="nil"/>
                  </w:tcBorders>
                  <w:noWrap w:val="0"/>
                  <w:vAlign w:val="center"/>
                </w:tcPr>
                <w:p>
                  <w:pPr>
                    <w:spacing w:line="240" w:lineRule="auto"/>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w:t>
                  </w:r>
                </w:p>
              </w:tc>
              <w:tc>
                <w:tcPr>
                  <w:tcW w:w="1963"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2903" w:type="dxa"/>
                  <w:tcBorders>
                    <w:tl2br w:val="nil"/>
                    <w:tr2bl w:val="nil"/>
                  </w:tcBorders>
                  <w:noWrap w:val="0"/>
                  <w:vAlign w:val="center"/>
                </w:tcPr>
                <w:p>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地埋式污水处理站</w:t>
                  </w:r>
                </w:p>
              </w:tc>
              <w:tc>
                <w:tcPr>
                  <w:tcW w:w="3127" w:type="dxa"/>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处理生活污水</w:t>
                  </w:r>
                </w:p>
              </w:tc>
              <w:tc>
                <w:tcPr>
                  <w:tcW w:w="1418" w:type="dxa"/>
                  <w:tcBorders>
                    <w:tl2br w:val="nil"/>
                    <w:tr2bl w:val="nil"/>
                  </w:tcBorders>
                  <w:noWrap w:val="0"/>
                  <w:vAlign w:val="center"/>
                </w:tcPr>
                <w:p>
                  <w:pPr>
                    <w:spacing w:line="240" w:lineRule="auto"/>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w:t>
                  </w:r>
                </w:p>
              </w:tc>
              <w:tc>
                <w:tcPr>
                  <w:tcW w:w="1963"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903" w:type="dxa"/>
                  <w:tcBorders>
                    <w:tl2br w:val="nil"/>
                    <w:tr2bl w:val="nil"/>
                  </w:tcBorders>
                  <w:noWrap w:val="0"/>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3127" w:type="dxa"/>
                  <w:tcBorders>
                    <w:tl2br w:val="nil"/>
                    <w:tr2bl w:val="nil"/>
                  </w:tcBorders>
                  <w:noWrap w:val="0"/>
                  <w:vAlign w:val="center"/>
                </w:tcPr>
                <w:p>
                  <w:pPr>
                    <w:spacing w:line="240" w:lineRule="auto"/>
                    <w:jc w:val="center"/>
                    <w:rPr>
                      <w:rFonts w:hint="default" w:ascii="Times New Roman" w:hAnsi="Times New Roman" w:cs="Times New Roman"/>
                      <w:color w:val="auto"/>
                      <w:sz w:val="21"/>
                      <w:szCs w:val="21"/>
                      <w:highlight w:val="none"/>
                    </w:rPr>
                  </w:pPr>
                </w:p>
              </w:tc>
              <w:tc>
                <w:tcPr>
                  <w:tcW w:w="141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315</w:t>
                  </w:r>
                </w:p>
              </w:tc>
              <w:tc>
                <w:tcPr>
                  <w:tcW w:w="1963" w:type="dxa"/>
                  <w:tcBorders>
                    <w:tl2br w:val="nil"/>
                    <w:tr2bl w:val="nil"/>
                  </w:tcBorders>
                  <w:noWrap w:val="0"/>
                  <w:vAlign w:val="center"/>
                </w:tcPr>
                <w:p>
                  <w:pPr>
                    <w:spacing w:line="240" w:lineRule="auto"/>
                    <w:jc w:val="center"/>
                    <w:rPr>
                      <w:rFonts w:hint="default" w:ascii="Times New Roman" w:hAnsi="Times New Roman" w:cs="Times New Roman"/>
                      <w:color w:val="auto"/>
                      <w:sz w:val="21"/>
                      <w:szCs w:val="21"/>
                      <w:highlight w:val="none"/>
                    </w:rPr>
                  </w:pPr>
                </w:p>
              </w:tc>
            </w:tr>
          </w:tbl>
          <w:p>
            <w:pPr>
              <w:pStyle w:val="2"/>
              <w:rPr>
                <w:rFonts w:hint="eastAsia" w:cs="Times New Roman"/>
                <w:b/>
                <w:bCs w:val="0"/>
                <w:color w:val="auto"/>
                <w:kern w:val="2"/>
                <w:sz w:val="21"/>
                <w:szCs w:val="21"/>
                <w:lang w:val="en-US" w:eastAsia="zh-CN" w:bidi="ar-SA"/>
              </w:rPr>
            </w:pPr>
          </w:p>
          <w:p>
            <w:pPr>
              <w:rPr>
                <w:rFonts w:hint="eastAsia" w:cs="Times New Roman"/>
                <w:b/>
                <w:bCs w:val="0"/>
                <w:color w:val="auto"/>
                <w:kern w:val="2"/>
                <w:sz w:val="21"/>
                <w:szCs w:val="21"/>
                <w:lang w:val="en-US" w:eastAsia="zh-CN" w:bidi="ar-SA"/>
              </w:rPr>
            </w:pPr>
          </w:p>
          <w:p>
            <w:pPr>
              <w:pStyle w:val="2"/>
              <w:rPr>
                <w:rFonts w:hint="eastAsia"/>
                <w:lang w:val="en-US" w:eastAsia="zh-CN"/>
              </w:rPr>
            </w:pPr>
          </w:p>
          <w:p>
            <w:pPr>
              <w:snapToGrid w:val="0"/>
              <w:spacing w:line="360" w:lineRule="auto"/>
              <w:rPr>
                <w:rFonts w:hint="default" w:ascii="Times New Roman" w:hAnsi="Times New Roman" w:eastAsia="宋体" w:cs="Times New Roman"/>
                <w:color w:val="auto"/>
                <w:kern w:val="0"/>
                <w:sz w:val="24"/>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38" w:type="dxa"/>
            <w:gridSpan w:val="9"/>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eastAsia="zh-CN"/>
              </w:rPr>
              <w:t>与</w:t>
            </w:r>
            <w:r>
              <w:rPr>
                <w:rFonts w:hint="default" w:ascii="Times New Roman" w:hAnsi="Times New Roman" w:eastAsia="宋体" w:cs="Times New Roman"/>
                <w:b/>
                <w:color w:val="auto"/>
                <w:sz w:val="24"/>
              </w:rPr>
              <w:t>本项目有关的原有污染情况及主要环境问题：</w:t>
            </w:r>
          </w:p>
          <w:p>
            <w:pPr>
              <w:autoSpaceDE/>
              <w:autoSpaceDN/>
              <w:adjustRightInd/>
              <w:snapToGrid w:val="0"/>
              <w:spacing w:line="360" w:lineRule="auto"/>
              <w:ind w:firstLine="480" w:firstLineChars="200"/>
              <w:jc w:val="both"/>
              <w:outlineLvl w:val="9"/>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原有项目于1989年建成，通过现场调查，项目污染情况及存在的环保问题如下：</w:t>
            </w:r>
          </w:p>
          <w:p>
            <w:pPr>
              <w:autoSpaceDE/>
              <w:autoSpaceDN/>
              <w:adjustRightInd/>
              <w:spacing w:line="360" w:lineRule="auto"/>
              <w:jc w:val="both"/>
              <w:outlineLvl w:val="9"/>
              <w:rPr>
                <w:rFonts w:hint="default" w:ascii="Times New Roman" w:hAnsi="Times New Roman" w:eastAsia="宋体"/>
                <w:b/>
                <w:bCs/>
                <w:color w:val="auto"/>
                <w:kern w:val="0"/>
                <w:sz w:val="24"/>
                <w:szCs w:val="24"/>
                <w:vertAlign w:val="baseline"/>
                <w:lang w:val="en-US" w:eastAsia="zh-CN"/>
              </w:rPr>
            </w:pPr>
            <w:r>
              <w:rPr>
                <w:rFonts w:hint="default"/>
                <w:b/>
                <w:bCs/>
                <w:color w:val="auto"/>
                <w:kern w:val="0"/>
                <w:sz w:val="24"/>
                <w:szCs w:val="24"/>
                <w:vertAlign w:val="baseline"/>
                <w:lang w:val="en-US" w:eastAsia="zh-CN"/>
              </w:rPr>
              <w:t>1</w:t>
            </w:r>
            <w:r>
              <w:rPr>
                <w:rFonts w:hint="eastAsia"/>
                <w:b/>
                <w:bCs/>
                <w:color w:val="auto"/>
                <w:kern w:val="0"/>
                <w:sz w:val="24"/>
                <w:szCs w:val="24"/>
                <w:vertAlign w:val="baseline"/>
                <w:lang w:val="en-US" w:eastAsia="zh-CN"/>
              </w:rPr>
              <w:t>、现有</w:t>
            </w:r>
            <w:r>
              <w:rPr>
                <w:rFonts w:hint="default"/>
                <w:b/>
                <w:bCs/>
                <w:color w:val="auto"/>
                <w:kern w:val="0"/>
                <w:sz w:val="24"/>
                <w:szCs w:val="24"/>
                <w:vertAlign w:val="baseline"/>
                <w:lang w:val="en-US" w:eastAsia="zh-CN"/>
              </w:rPr>
              <w:t>项目情况</w:t>
            </w:r>
          </w:p>
          <w:p>
            <w:pPr>
              <w:autoSpaceDE/>
              <w:autoSpaceDN/>
              <w:adjustRightInd/>
              <w:snapToGrid w:val="0"/>
              <w:spacing w:line="360" w:lineRule="auto"/>
              <w:ind w:firstLine="480" w:firstLineChars="200"/>
              <w:jc w:val="both"/>
              <w:outlineLvl w:val="9"/>
              <w:rPr>
                <w:rFonts w:hint="eastAsia" w:ascii="Times New Roman" w:hAnsi="Times New Roman" w:cs="Times New Roman"/>
                <w:color w:val="auto"/>
                <w:sz w:val="24"/>
                <w:szCs w:val="24"/>
                <w:highlight w:val="none"/>
                <w:lang w:val="en-US" w:eastAsia="zh-CN"/>
              </w:rPr>
            </w:pPr>
            <w:r>
              <w:rPr>
                <w:rFonts w:hint="eastAsia"/>
                <w:color w:val="auto"/>
                <w:sz w:val="24"/>
                <w:szCs w:val="24"/>
                <w:highlight w:val="none"/>
                <w:vertAlign w:val="baseline"/>
                <w:lang w:val="en-US" w:eastAsia="zh-CN"/>
              </w:rPr>
              <w:t>项目以钢材为原料，</w:t>
            </w:r>
            <w:r>
              <w:rPr>
                <w:rFonts w:hint="eastAsia" w:cs="Times New Roman"/>
                <w:color w:val="auto"/>
                <w:sz w:val="24"/>
                <w:szCs w:val="24"/>
                <w:highlight w:val="none"/>
                <w:lang w:val="en-US" w:eastAsia="zh-CN"/>
              </w:rPr>
              <w:t>经过加热、开坯、连轧、精轧、缓冷、矫直、切割等工序生产槽钢、方钢、工字钢等热轧钢材；经过加热、开坯、连轧、精轧、辊道立钢、卷机成型、切割、</w:t>
            </w:r>
            <w:r>
              <w:rPr>
                <w:rFonts w:hint="eastAsia" w:ascii="Times New Roman" w:hAnsi="Times New Roman" w:cs="Times New Roman"/>
                <w:color w:val="auto"/>
                <w:sz w:val="24"/>
                <w:szCs w:val="24"/>
                <w:highlight w:val="none"/>
                <w:lang w:val="en-US" w:eastAsia="zh-CN"/>
              </w:rPr>
              <w:t>焊接撵平、车削钻孔等工序，生产管桩法兰。</w:t>
            </w:r>
          </w:p>
          <w:p>
            <w:pPr>
              <w:autoSpaceDE/>
              <w:autoSpaceDN/>
              <w:adjustRightInd/>
              <w:spacing w:line="360" w:lineRule="auto"/>
              <w:ind w:firstLine="0" w:firstLineChars="0"/>
              <w:jc w:val="both"/>
              <w:outlineLvl w:val="9"/>
              <w:rPr>
                <w:rFonts w:hint="default" w:ascii="Times New Roman" w:hAnsi="Times New Roman" w:eastAsia="宋体"/>
                <w:b/>
                <w:bCs/>
                <w:color w:val="auto"/>
                <w:kern w:val="0"/>
                <w:sz w:val="24"/>
                <w:szCs w:val="24"/>
                <w:vertAlign w:val="baseline"/>
                <w:lang w:val="en-US" w:eastAsia="zh-CN"/>
              </w:rPr>
            </w:pPr>
            <w:r>
              <w:rPr>
                <w:rFonts w:hint="default" w:ascii="Times New Roman" w:hAnsi="Times New Roman" w:cs="Times New Roman"/>
                <w:b/>
                <w:bCs/>
                <w:color w:val="auto"/>
                <w:kern w:val="0"/>
                <w:sz w:val="24"/>
                <w:szCs w:val="24"/>
                <w:lang w:val="en-US" w:eastAsia="zh-CN"/>
              </w:rPr>
              <w:t>1.1废气</w:t>
            </w:r>
          </w:p>
          <w:p>
            <w:pPr>
              <w:pStyle w:val="2"/>
              <w:spacing w:after="0" w:line="360" w:lineRule="auto"/>
              <w:ind w:left="0" w:leftChars="0" w:firstLine="480"/>
              <w:rPr>
                <w:rFonts w:hint="eastAsia" w:ascii="Times New Roman" w:hAnsi="Times New Roman"/>
                <w:color w:val="auto"/>
                <w:sz w:val="24"/>
                <w:szCs w:val="24"/>
                <w:highlight w:val="none"/>
                <w:vertAlign w:val="baseline"/>
                <w:lang w:val="en-US" w:eastAsia="zh-CN" w:bidi="ar-SA"/>
              </w:rPr>
            </w:pPr>
            <w:r>
              <w:rPr>
                <w:rFonts w:hint="eastAsia" w:ascii="Times New Roman" w:hAnsi="Times New Roman"/>
                <w:color w:val="auto"/>
                <w:sz w:val="24"/>
                <w:szCs w:val="24"/>
                <w:highlight w:val="none"/>
                <w:vertAlign w:val="baseline"/>
                <w:lang w:val="en-US" w:eastAsia="zh-CN" w:bidi="ar-SA"/>
              </w:rPr>
              <w:t>项目废气主要为加热炉燃烧废气以及焊接烟尘。</w:t>
            </w:r>
          </w:p>
          <w:p>
            <w:pPr>
              <w:spacing w:line="360" w:lineRule="auto"/>
              <w:ind w:firstLine="480" w:firstLineChars="200"/>
              <w:rPr>
                <w:rFonts w:hint="eastAsia" w:ascii="Times New Roman" w:hAnsi="Times New Roman"/>
                <w:color w:val="auto"/>
                <w:sz w:val="24"/>
                <w:szCs w:val="24"/>
                <w:highlight w:val="none"/>
                <w:vertAlign w:val="baseline"/>
                <w:lang w:val="en-US" w:eastAsia="zh-CN" w:bidi="ar-SA"/>
              </w:rPr>
            </w:pPr>
            <w:r>
              <w:rPr>
                <w:rFonts w:hint="eastAsia" w:ascii="Times New Roman" w:hAnsi="Times New Roman"/>
                <w:color w:val="auto"/>
                <w:sz w:val="24"/>
                <w:szCs w:val="24"/>
                <w:highlight w:val="none"/>
                <w:vertAlign w:val="baseline"/>
                <w:lang w:val="en-US" w:eastAsia="zh-CN" w:bidi="ar-SA"/>
              </w:rPr>
              <w:t>现状加热炉燃烧废气经SCR脱硝+双碱法脱硫+湿式静电除尘处理后经1根排气筒排放。</w:t>
            </w:r>
          </w:p>
          <w:p>
            <w:pPr>
              <w:spacing w:line="360" w:lineRule="auto"/>
              <w:ind w:firstLine="480" w:firstLineChars="200"/>
              <w:rPr>
                <w:rFonts w:hint="eastAsia" w:ascii="Times New Roman" w:hAnsi="Times New Roman"/>
                <w:color w:val="auto"/>
                <w:sz w:val="24"/>
                <w:szCs w:val="24"/>
                <w:highlight w:val="none"/>
                <w:vertAlign w:val="baseline"/>
                <w:lang w:val="en-US" w:eastAsia="zh-CN" w:bidi="ar-SA"/>
              </w:rPr>
            </w:pPr>
            <w:r>
              <w:rPr>
                <w:rFonts w:hint="eastAsia" w:ascii="Times New Roman" w:hAnsi="Times New Roman"/>
                <w:color w:val="auto"/>
                <w:sz w:val="24"/>
                <w:szCs w:val="24"/>
                <w:highlight w:val="none"/>
                <w:vertAlign w:val="baseline"/>
                <w:lang w:val="en-US" w:eastAsia="zh-CN" w:bidi="ar-SA"/>
              </w:rPr>
              <w:t>现状焊接烟尘经移动式烟尘净化器处理后无组织排放。</w:t>
            </w:r>
          </w:p>
          <w:p>
            <w:pPr>
              <w:spacing w:line="360" w:lineRule="auto"/>
              <w:ind w:firstLine="0" w:firstLineChars="0"/>
              <w:rPr>
                <w:rFonts w:hint="eastAsia" w:ascii="Times New Roman" w:hAnsi="Times New Roman"/>
                <w:b/>
                <w:bCs/>
                <w:color w:val="auto"/>
                <w:sz w:val="24"/>
                <w:szCs w:val="24"/>
                <w:highlight w:val="none"/>
                <w:vertAlign w:val="baseline"/>
                <w:lang w:val="en-US" w:eastAsia="zh-CN" w:bidi="ar-SA"/>
              </w:rPr>
            </w:pPr>
            <w:r>
              <w:rPr>
                <w:rFonts w:hint="eastAsia" w:ascii="Times New Roman" w:hAnsi="Times New Roman"/>
                <w:b/>
                <w:bCs/>
                <w:color w:val="auto"/>
                <w:sz w:val="24"/>
                <w:szCs w:val="24"/>
                <w:highlight w:val="none"/>
                <w:vertAlign w:val="baseline"/>
                <w:lang w:val="en-US" w:eastAsia="zh-CN" w:bidi="ar-SA"/>
              </w:rPr>
              <w:t>1.2废水</w:t>
            </w:r>
          </w:p>
          <w:p>
            <w:pPr>
              <w:pStyle w:val="32"/>
              <w:spacing w:line="360" w:lineRule="auto"/>
              <w:ind w:firstLine="480" w:firstLineChars="200"/>
              <w:rPr>
                <w:rFonts w:hint="eastAsia" w:ascii="Times New Roman" w:hAnsi="Times New Roman"/>
                <w:color w:val="auto"/>
                <w:sz w:val="24"/>
                <w:szCs w:val="24"/>
                <w:highlight w:val="none"/>
                <w:vertAlign w:val="baseline"/>
                <w:lang w:val="en-US" w:eastAsia="zh-CN" w:bidi="ar-SA"/>
              </w:rPr>
            </w:pPr>
            <w:r>
              <w:rPr>
                <w:rFonts w:hint="eastAsia" w:ascii="Times New Roman" w:hAnsi="Times New Roman"/>
                <w:color w:val="auto"/>
                <w:sz w:val="24"/>
                <w:szCs w:val="24"/>
                <w:highlight w:val="none"/>
                <w:vertAlign w:val="baseline"/>
                <w:lang w:val="en-US" w:eastAsia="zh-CN" w:bidi="ar-SA"/>
              </w:rPr>
              <w:t>现状废水为热轧废水和生活污水。</w:t>
            </w:r>
          </w:p>
          <w:p>
            <w:pPr>
              <w:pStyle w:val="32"/>
              <w:spacing w:line="360" w:lineRule="auto"/>
              <w:ind w:firstLine="480" w:firstLineChars="200"/>
              <w:rPr>
                <w:rFonts w:hint="eastAsia" w:ascii="Times New Roman" w:hAnsi="Times New Roman"/>
                <w:color w:val="auto"/>
                <w:sz w:val="24"/>
                <w:szCs w:val="24"/>
                <w:highlight w:val="none"/>
                <w:vertAlign w:val="baseline"/>
                <w:lang w:val="en-US" w:eastAsia="zh-CN" w:bidi="ar-SA"/>
              </w:rPr>
            </w:pPr>
            <w:r>
              <w:rPr>
                <w:rFonts w:hint="eastAsia" w:ascii="Times New Roman" w:hAnsi="Times New Roman"/>
                <w:color w:val="auto"/>
                <w:sz w:val="24"/>
                <w:szCs w:val="24"/>
                <w:highlight w:val="none"/>
                <w:vertAlign w:val="baseline"/>
                <w:lang w:val="en-US" w:eastAsia="zh-CN" w:bidi="ar-SA"/>
              </w:rPr>
              <w:t>热轧废水经沉淀处理后循环使用，不排放。现状生活污水经化粪池收集，定期清运至污水处理厂处理达标后排放。</w:t>
            </w:r>
          </w:p>
          <w:p>
            <w:pPr>
              <w:pStyle w:val="32"/>
              <w:spacing w:line="360" w:lineRule="auto"/>
              <w:ind w:firstLine="0" w:firstLineChars="0"/>
              <w:rPr>
                <w:rFonts w:hint="eastAsia" w:ascii="Times New Roman" w:hAnsi="Times New Roman"/>
                <w:b/>
                <w:bCs/>
                <w:color w:val="auto"/>
                <w:sz w:val="24"/>
                <w:szCs w:val="24"/>
                <w:highlight w:val="none"/>
                <w:vertAlign w:val="baseline"/>
                <w:lang w:val="en-US" w:eastAsia="zh-CN" w:bidi="ar-SA"/>
              </w:rPr>
            </w:pPr>
            <w:r>
              <w:rPr>
                <w:rFonts w:hint="eastAsia" w:ascii="Times New Roman" w:hAnsi="Times New Roman"/>
                <w:b/>
                <w:bCs/>
                <w:color w:val="auto"/>
                <w:sz w:val="24"/>
                <w:szCs w:val="24"/>
                <w:highlight w:val="none"/>
                <w:vertAlign w:val="baseline"/>
                <w:lang w:val="en-US" w:eastAsia="zh-CN" w:bidi="ar-SA"/>
              </w:rPr>
              <w:t>1.3固废</w:t>
            </w:r>
          </w:p>
          <w:p>
            <w:pPr>
              <w:pStyle w:val="32"/>
              <w:spacing w:line="360" w:lineRule="auto"/>
              <w:ind w:firstLine="480" w:firstLineChars="200"/>
              <w:rPr>
                <w:rFonts w:hint="eastAsia" w:ascii="Times New Roman" w:hAnsi="Times New Roman" w:cs="Times New Roman"/>
                <w:color w:val="auto"/>
                <w:sz w:val="24"/>
                <w:szCs w:val="21"/>
                <w:lang w:val="en-US" w:eastAsia="zh-CN"/>
              </w:rPr>
            </w:pPr>
            <w:r>
              <w:rPr>
                <w:rFonts w:hint="eastAsia" w:ascii="Times New Roman" w:hAnsi="Times New Roman"/>
                <w:color w:val="auto"/>
                <w:sz w:val="24"/>
                <w:szCs w:val="24"/>
                <w:highlight w:val="none"/>
                <w:vertAlign w:val="baseline"/>
                <w:lang w:val="en-US" w:eastAsia="zh-CN" w:bidi="ar-SA"/>
              </w:rPr>
              <w:t>项目固废主要有</w:t>
            </w:r>
            <w:r>
              <w:rPr>
                <w:rFonts w:hint="eastAsia" w:ascii="Times New Roman" w:hAnsi="Times New Roman" w:cs="Times New Roman"/>
                <w:color w:val="auto"/>
                <w:sz w:val="24"/>
                <w:szCs w:val="21"/>
                <w:lang w:val="en-US" w:eastAsia="zh-CN"/>
              </w:rPr>
              <w:t>氧化铁皮、废钢料头、</w:t>
            </w:r>
            <w:r>
              <w:rPr>
                <w:rFonts w:hint="eastAsia" w:ascii="Times New Roman" w:cs="Times New Roman"/>
                <w:color w:val="FF0000"/>
                <w:sz w:val="24"/>
                <w:szCs w:val="21"/>
                <w:lang w:val="en-US" w:eastAsia="zh-CN"/>
              </w:rPr>
              <w:t>废铁屑、</w:t>
            </w:r>
            <w:r>
              <w:rPr>
                <w:rFonts w:hint="eastAsia" w:ascii="Times New Roman" w:hAnsi="Times New Roman" w:cs="Times New Roman"/>
                <w:color w:val="auto"/>
                <w:sz w:val="24"/>
                <w:szCs w:val="21"/>
                <w:lang w:val="en-US" w:eastAsia="zh-CN"/>
              </w:rPr>
              <w:t>脱硫石膏、废催化剂、</w:t>
            </w:r>
            <w:r>
              <w:rPr>
                <w:rFonts w:hint="eastAsia" w:ascii="Times New Roman" w:hAnsi="Times New Roman" w:eastAsia="宋体" w:cs="Times New Roman"/>
                <w:color w:val="auto"/>
                <w:sz w:val="24"/>
                <w:szCs w:val="21"/>
                <w:lang w:val="en-US" w:eastAsia="zh-CN"/>
              </w:rPr>
              <w:t>职工生活垃圾</w:t>
            </w:r>
            <w:r>
              <w:rPr>
                <w:rFonts w:hint="eastAsia" w:ascii="Times New Roman" w:hAnsi="Times New Roman" w:cs="Times New Roman"/>
                <w:color w:val="auto"/>
                <w:sz w:val="24"/>
                <w:szCs w:val="21"/>
                <w:lang w:val="en-US" w:eastAsia="zh-CN"/>
              </w:rPr>
              <w:t>。</w:t>
            </w:r>
          </w:p>
          <w:p>
            <w:pPr>
              <w:spacing w:line="360" w:lineRule="auto"/>
              <w:ind w:firstLine="480" w:firstLineChars="200"/>
              <w:rPr>
                <w:rFonts w:hint="default" w:ascii="Times New Roman" w:hAnsi="Times New Roman" w:cs="Times New Roman"/>
                <w:color w:val="auto"/>
                <w:sz w:val="24"/>
                <w:szCs w:val="21"/>
                <w:lang w:val="en-US" w:eastAsia="zh-CN"/>
              </w:rPr>
            </w:pPr>
            <w:r>
              <w:rPr>
                <w:rFonts w:hint="eastAsia" w:ascii="Times New Roman" w:hAnsi="Times New Roman" w:cs="Times New Roman"/>
                <w:color w:val="auto"/>
                <w:sz w:val="24"/>
                <w:szCs w:val="21"/>
                <w:lang w:val="en-US" w:eastAsia="zh-CN"/>
              </w:rPr>
              <w:t>氧化铁皮、废钢料头、</w:t>
            </w:r>
            <w:r>
              <w:rPr>
                <w:rFonts w:hint="eastAsia" w:cs="Times New Roman"/>
                <w:color w:val="FF0000"/>
                <w:sz w:val="24"/>
                <w:szCs w:val="21"/>
                <w:lang w:val="en-US" w:eastAsia="zh-CN"/>
              </w:rPr>
              <w:t>废铁屑</w:t>
            </w:r>
            <w:r>
              <w:rPr>
                <w:rFonts w:hint="eastAsia" w:cs="Times New Roman"/>
                <w:color w:val="auto"/>
                <w:sz w:val="24"/>
                <w:szCs w:val="21"/>
                <w:lang w:val="en-US" w:eastAsia="zh-CN"/>
              </w:rPr>
              <w:t>、</w:t>
            </w:r>
            <w:r>
              <w:rPr>
                <w:rFonts w:hint="eastAsia" w:ascii="Times New Roman" w:hAnsi="Times New Roman" w:cs="Times New Roman"/>
                <w:color w:val="auto"/>
                <w:sz w:val="24"/>
                <w:szCs w:val="21"/>
                <w:lang w:val="en-US" w:eastAsia="zh-CN"/>
              </w:rPr>
              <w:t>脱硫石膏等外售物资回收单位综合利用，废催化剂、</w:t>
            </w:r>
            <w:r>
              <w:rPr>
                <w:rFonts w:hint="eastAsia" w:cs="Times New Roman"/>
                <w:color w:val="auto"/>
                <w:sz w:val="24"/>
                <w:szCs w:val="21"/>
                <w:lang w:val="en-US" w:eastAsia="zh-CN"/>
              </w:rPr>
              <w:t>暂存入</w:t>
            </w:r>
            <w:r>
              <w:rPr>
                <w:rFonts w:hint="eastAsia" w:ascii="Times New Roman" w:hAnsi="Times New Roman" w:cs="Times New Roman"/>
                <w:color w:val="auto"/>
                <w:sz w:val="24"/>
                <w:szCs w:val="21"/>
                <w:lang w:val="en-US" w:eastAsia="zh-CN"/>
              </w:rPr>
              <w:t>危废暂存间，委托有资质单位处置，生活垃圾委托</w:t>
            </w:r>
            <w:r>
              <w:rPr>
                <w:rFonts w:hint="eastAsia" w:cs="Times New Roman"/>
                <w:color w:val="auto"/>
                <w:sz w:val="24"/>
                <w:szCs w:val="21"/>
                <w:lang w:val="en-US" w:eastAsia="zh-CN"/>
              </w:rPr>
              <w:t>环卫</w:t>
            </w:r>
            <w:r>
              <w:rPr>
                <w:rFonts w:hint="eastAsia" w:ascii="Times New Roman" w:hAnsi="Times New Roman" w:cs="Times New Roman"/>
                <w:color w:val="auto"/>
                <w:sz w:val="24"/>
                <w:szCs w:val="21"/>
                <w:lang w:val="en-US" w:eastAsia="zh-CN"/>
              </w:rPr>
              <w:t>部门定期清运。</w:t>
            </w:r>
            <w:r>
              <w:rPr>
                <w:rFonts w:hint="eastAsia" w:cs="Times New Roman"/>
                <w:color w:val="auto"/>
                <w:sz w:val="24"/>
                <w:szCs w:val="21"/>
                <w:lang w:val="en-US" w:eastAsia="zh-CN"/>
              </w:rPr>
              <w:t>项目现状一般固废贮存场所面积约500m</w:t>
            </w:r>
            <w:r>
              <w:rPr>
                <w:rFonts w:hint="eastAsia" w:cs="Times New Roman"/>
                <w:color w:val="auto"/>
                <w:sz w:val="24"/>
                <w:szCs w:val="21"/>
                <w:vertAlign w:val="superscript"/>
                <w:lang w:val="en-US" w:eastAsia="zh-CN"/>
              </w:rPr>
              <w:t>2</w:t>
            </w:r>
            <w:r>
              <w:rPr>
                <w:rFonts w:hint="eastAsia" w:cs="Times New Roman"/>
                <w:color w:val="auto"/>
                <w:sz w:val="24"/>
                <w:szCs w:val="21"/>
                <w:lang w:val="en-US" w:eastAsia="zh-CN"/>
              </w:rPr>
              <w:t>，危废间面积约100m</w:t>
            </w:r>
            <w:r>
              <w:rPr>
                <w:rFonts w:hint="eastAsia" w:cs="Times New Roman"/>
                <w:color w:val="auto"/>
                <w:sz w:val="24"/>
                <w:szCs w:val="21"/>
                <w:vertAlign w:val="superscript"/>
                <w:lang w:val="en-US" w:eastAsia="zh-CN"/>
              </w:rPr>
              <w:t>2</w:t>
            </w:r>
            <w:r>
              <w:rPr>
                <w:rFonts w:hint="eastAsia" w:cs="Times New Roman"/>
                <w:color w:val="auto"/>
                <w:sz w:val="24"/>
                <w:szCs w:val="21"/>
                <w:lang w:val="en-US" w:eastAsia="zh-CN"/>
              </w:rPr>
              <w:t>，能够满足项目各种固体废物的贮存处理要求。</w:t>
            </w:r>
          </w:p>
          <w:p>
            <w:pPr>
              <w:pStyle w:val="32"/>
              <w:spacing w:line="360" w:lineRule="auto"/>
              <w:ind w:firstLine="0" w:firstLineChars="0"/>
              <w:rPr>
                <w:rFonts w:hint="eastAsia" w:ascii="Times New Roman" w:hAnsi="Times New Roman" w:cs="Times New Roman"/>
                <w:b/>
                <w:bCs/>
                <w:color w:val="auto"/>
                <w:sz w:val="24"/>
                <w:szCs w:val="21"/>
                <w:lang w:val="en-US" w:eastAsia="zh-CN"/>
              </w:rPr>
            </w:pPr>
            <w:r>
              <w:rPr>
                <w:rFonts w:hint="eastAsia" w:ascii="Times New Roman" w:hAnsi="Times New Roman" w:cs="Times New Roman"/>
                <w:b/>
                <w:bCs/>
                <w:color w:val="auto"/>
                <w:sz w:val="24"/>
                <w:szCs w:val="21"/>
                <w:lang w:val="en-US" w:eastAsia="zh-CN"/>
              </w:rPr>
              <w:t>1.4噪声</w:t>
            </w:r>
          </w:p>
          <w:p>
            <w:pPr>
              <w:pStyle w:val="32"/>
              <w:spacing w:line="360" w:lineRule="auto"/>
              <w:ind w:firstLine="480" w:firstLineChars="200"/>
              <w:rPr>
                <w:rFonts w:hint="default" w:ascii="Times New Roman" w:hAnsi="Times New Roman" w:cs="Times New Roman"/>
                <w:color w:val="auto"/>
                <w:sz w:val="24"/>
                <w:szCs w:val="21"/>
                <w:lang w:val="en-US" w:eastAsia="zh-CN"/>
              </w:rPr>
            </w:pPr>
            <w:r>
              <w:rPr>
                <w:rFonts w:hint="eastAsia" w:ascii="Times New Roman" w:hAnsi="Times New Roman" w:cs="Times New Roman"/>
                <w:color w:val="auto"/>
                <w:sz w:val="24"/>
                <w:szCs w:val="21"/>
                <w:lang w:val="en-US" w:eastAsia="zh-CN"/>
              </w:rPr>
              <w:t>项目噪声主要为</w:t>
            </w:r>
            <w:r>
              <w:rPr>
                <w:rFonts w:hint="eastAsia" w:ascii="Times New Roman" w:cs="Times New Roman"/>
                <w:color w:val="auto"/>
                <w:sz w:val="24"/>
                <w:szCs w:val="21"/>
                <w:lang w:val="en-US" w:eastAsia="zh-CN"/>
              </w:rPr>
              <w:t>轧机以及机加工设备</w:t>
            </w:r>
            <w:r>
              <w:rPr>
                <w:rFonts w:hint="eastAsia" w:ascii="Times New Roman" w:hAnsi="Times New Roman" w:cs="Times New Roman"/>
                <w:color w:val="auto"/>
                <w:sz w:val="24"/>
                <w:szCs w:val="21"/>
                <w:lang w:val="en-US" w:eastAsia="zh-CN"/>
              </w:rPr>
              <w:t>产生的噪声，建设单位通过合理布置设备，采用低噪声设备，利用厂房隔声和距离衰减等降低噪声的影响。</w:t>
            </w:r>
          </w:p>
          <w:p>
            <w:pPr>
              <w:spacing w:line="360" w:lineRule="auto"/>
              <w:ind w:firstLine="0" w:firstLineChars="0"/>
              <w:rPr>
                <w:rFonts w:hint="default" w:ascii="Times New Roman" w:hAnsi="Times New Roman"/>
                <w:b/>
                <w:bCs/>
                <w:color w:val="auto"/>
                <w:sz w:val="24"/>
                <w:szCs w:val="24"/>
                <w:highlight w:val="none"/>
                <w:vertAlign w:val="baseline"/>
                <w:lang w:val="en-US" w:eastAsia="zh-CN" w:bidi="ar-SA"/>
              </w:rPr>
            </w:pPr>
            <w:r>
              <w:rPr>
                <w:rFonts w:hint="eastAsia" w:ascii="Times New Roman" w:hAnsi="Times New Roman"/>
                <w:b/>
                <w:bCs/>
                <w:color w:val="auto"/>
                <w:sz w:val="24"/>
                <w:szCs w:val="24"/>
                <w:highlight w:val="none"/>
                <w:vertAlign w:val="baseline"/>
                <w:lang w:val="en-US" w:eastAsia="zh-CN" w:bidi="ar-SA"/>
              </w:rPr>
              <w:t>2、现状达标情况</w:t>
            </w:r>
          </w:p>
          <w:p>
            <w:pPr>
              <w:spacing w:line="360" w:lineRule="auto"/>
              <w:ind w:firstLine="480" w:firstLineChars="200"/>
              <w:rPr>
                <w:rFonts w:hint="eastAsia" w:ascii="Times New Roman" w:hAnsi="Times New Roman"/>
                <w:color w:val="auto"/>
                <w:sz w:val="24"/>
                <w:szCs w:val="24"/>
                <w:highlight w:val="none"/>
                <w:vertAlign w:val="baseline"/>
                <w:lang w:val="en-US" w:eastAsia="zh-CN" w:bidi="ar-SA"/>
              </w:rPr>
            </w:pPr>
            <w:r>
              <w:rPr>
                <w:rFonts w:hint="eastAsia" w:ascii="Times New Roman" w:hAnsi="Times New Roman"/>
                <w:color w:val="auto"/>
                <w:sz w:val="24"/>
                <w:szCs w:val="24"/>
                <w:highlight w:val="none"/>
                <w:vertAlign w:val="baseline"/>
                <w:lang w:val="en-US" w:eastAsia="zh-CN" w:bidi="ar-SA"/>
              </w:rPr>
              <w:t>项目已与2020年1月对厂区有组织排气筒、厂界无组织废气以及厂界噪声进行了监测，监测结果如下：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1-</w:t>
            </w:r>
            <w:r>
              <w:rPr>
                <w:rFonts w:hint="eastAsia" w:cs="Times New Roman"/>
                <w:b/>
                <w:bCs w:val="0"/>
                <w:color w:val="auto"/>
                <w:kern w:val="2"/>
                <w:sz w:val="21"/>
                <w:szCs w:val="21"/>
                <w:lang w:val="en-US" w:eastAsia="zh-CN" w:bidi="ar-SA"/>
              </w:rPr>
              <w:t>14</w:t>
            </w:r>
            <w:r>
              <w:rPr>
                <w:rFonts w:hint="default" w:ascii="Times New Roman" w:hAnsi="Times New Roman" w:eastAsia="宋体" w:cs="Times New Roman"/>
                <w:b/>
                <w:bCs w:val="0"/>
                <w:color w:val="auto"/>
                <w:kern w:val="2"/>
                <w:sz w:val="21"/>
                <w:szCs w:val="21"/>
                <w:lang w:val="en-US" w:eastAsia="zh-CN" w:bidi="ar-SA"/>
              </w:rPr>
              <w:t xml:space="preserve"> </w:t>
            </w:r>
            <w:r>
              <w:rPr>
                <w:rFonts w:hint="default" w:ascii="Times New Roman" w:hAnsi="Times New Roman" w:eastAsia="宋体" w:cs="Times New Roman"/>
                <w:b/>
                <w:bCs w:val="0"/>
                <w:color w:val="auto"/>
                <w:kern w:val="2"/>
                <w:sz w:val="21"/>
                <w:szCs w:val="21"/>
                <w:lang w:val="en-GB" w:eastAsia="zh-CN" w:bidi="ar-SA"/>
              </w:rPr>
              <w:t xml:space="preserve"> </w:t>
            </w:r>
            <w:r>
              <w:rPr>
                <w:rFonts w:hint="eastAsia" w:cs="Times New Roman"/>
                <w:b/>
                <w:bCs w:val="0"/>
                <w:color w:val="auto"/>
                <w:kern w:val="2"/>
                <w:sz w:val="21"/>
                <w:szCs w:val="21"/>
                <w:lang w:val="en-GB" w:eastAsia="zh-CN" w:bidi="ar-SA"/>
              </w:rPr>
              <w:t>有组织废气监测结果一览表</w:t>
            </w:r>
          </w:p>
          <w:tbl>
            <w:tblPr>
              <w:tblStyle w:val="25"/>
              <w:tblW w:w="93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2499"/>
              <w:gridCol w:w="1878"/>
              <w:gridCol w:w="1880"/>
              <w:gridCol w:w="18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检测项目</w:t>
                  </w:r>
                </w:p>
              </w:tc>
              <w:tc>
                <w:tcPr>
                  <w:tcW w:w="5638" w:type="dxa"/>
                  <w:gridSpan w:val="3"/>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颗粒物、二氧化硫、氮氧化物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排气筒名称</w:t>
                  </w:r>
                </w:p>
              </w:tc>
              <w:tc>
                <w:tcPr>
                  <w:tcW w:w="5638" w:type="dxa"/>
                  <w:gridSpan w:val="3"/>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轧钢炉废气排气筒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排气筒高度（m）/截面积（m</w:t>
                  </w:r>
                  <w:r>
                    <w:rPr>
                      <w:rFonts w:hint="eastAsia" w:ascii="Times New Roman" w:hAnsi="Times New Roman"/>
                      <w:color w:val="auto"/>
                      <w:sz w:val="21"/>
                      <w:szCs w:val="24"/>
                      <w:vertAlign w:val="superscript"/>
                      <w:lang w:val="en-US" w:eastAsia="zh-CN" w:bidi="ar-SA"/>
                    </w:rPr>
                    <w:t>2</w:t>
                  </w:r>
                  <w:r>
                    <w:rPr>
                      <w:rFonts w:hint="eastAsia" w:ascii="Times New Roman" w:hAnsi="Times New Roman"/>
                      <w:color w:val="auto"/>
                      <w:sz w:val="21"/>
                      <w:szCs w:val="24"/>
                      <w:vertAlign w:val="baseline"/>
                      <w:lang w:val="en-US" w:eastAsia="zh-CN" w:bidi="ar-SA"/>
                    </w:rPr>
                    <w:t>）</w:t>
                  </w:r>
                </w:p>
              </w:tc>
              <w:tc>
                <w:tcPr>
                  <w:tcW w:w="5638" w:type="dxa"/>
                  <w:gridSpan w:val="3"/>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22/0.7854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检测日期</w:t>
                  </w:r>
                </w:p>
              </w:tc>
              <w:tc>
                <w:tcPr>
                  <w:tcW w:w="5638" w:type="dxa"/>
                  <w:gridSpan w:val="3"/>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2020.01.06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检测频次</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第一次</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第二次</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第三次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废气含氧量（%）</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16.2</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16.1</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废气温度（℃）</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49.7</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49.5</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废气流速（m/s）</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6.8</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7.1</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标杆废气量（m</w:t>
                  </w:r>
                  <w:r>
                    <w:rPr>
                      <w:rFonts w:hint="eastAsia" w:ascii="Times New Roman" w:hAnsi="Times New Roman"/>
                      <w:color w:val="auto"/>
                      <w:sz w:val="21"/>
                      <w:szCs w:val="24"/>
                      <w:vertAlign w:val="superscript"/>
                      <w:lang w:val="en-US" w:eastAsia="zh-CN" w:bidi="ar-SA"/>
                    </w:rPr>
                    <w:t>3</w:t>
                  </w:r>
                  <w:r>
                    <w:rPr>
                      <w:rFonts w:hint="eastAsia" w:ascii="Times New Roman" w:hAnsi="Times New Roman"/>
                      <w:color w:val="auto"/>
                      <w:sz w:val="21"/>
                      <w:szCs w:val="24"/>
                      <w:vertAlign w:val="baseline"/>
                      <w:lang w:val="en-US" w:eastAsia="zh-CN" w:bidi="ar-SA"/>
                    </w:rPr>
                    <w:t>/h）</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14184</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14906</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14947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Merge w:val="restart"/>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颗粒物</w:t>
                  </w:r>
                </w:p>
              </w:tc>
              <w:tc>
                <w:tcPr>
                  <w:tcW w:w="2499"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实测浓度（mg/m</w:t>
                  </w:r>
                  <w:r>
                    <w:rPr>
                      <w:rFonts w:hint="eastAsia" w:ascii="Times New Roman" w:hAnsi="Times New Roman"/>
                      <w:color w:val="auto"/>
                      <w:sz w:val="21"/>
                      <w:szCs w:val="24"/>
                      <w:vertAlign w:val="superscript"/>
                      <w:lang w:val="en-US" w:eastAsia="zh-CN" w:bidi="ar-SA"/>
                    </w:rPr>
                    <w:t>3</w:t>
                  </w:r>
                  <w:r>
                    <w:rPr>
                      <w:rFonts w:hint="eastAsia" w:ascii="Times New Roman" w:hAnsi="Times New Roman"/>
                      <w:color w:val="auto"/>
                      <w:sz w:val="21"/>
                      <w:szCs w:val="24"/>
                      <w:vertAlign w:val="baseline"/>
                      <w:lang w:val="en-US" w:eastAsia="zh-CN" w:bidi="ar-SA"/>
                    </w:rPr>
                    <w:t>）</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3.1</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3.3</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Merge w:val="continue"/>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p>
              </w:tc>
              <w:tc>
                <w:tcPr>
                  <w:tcW w:w="2499"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折算浓度（mg/m</w:t>
                  </w:r>
                  <w:r>
                    <w:rPr>
                      <w:rFonts w:hint="eastAsia" w:ascii="Times New Roman" w:hAnsi="Times New Roman"/>
                      <w:color w:val="auto"/>
                      <w:sz w:val="21"/>
                      <w:szCs w:val="24"/>
                      <w:vertAlign w:val="superscript"/>
                      <w:lang w:val="en-US" w:eastAsia="zh-CN" w:bidi="ar-SA"/>
                    </w:rPr>
                    <w:t>3</w:t>
                  </w:r>
                  <w:r>
                    <w:rPr>
                      <w:rFonts w:hint="eastAsia" w:ascii="Times New Roman" w:hAnsi="Times New Roman"/>
                      <w:color w:val="auto"/>
                      <w:sz w:val="21"/>
                      <w:szCs w:val="24"/>
                      <w:vertAlign w:val="baseline"/>
                      <w:lang w:val="en-US" w:eastAsia="zh-CN" w:bidi="ar-SA"/>
                    </w:rPr>
                    <w:t>）</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8.4</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8.7</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Merge w:val="continue"/>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p>
              </w:tc>
              <w:tc>
                <w:tcPr>
                  <w:tcW w:w="2499"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排放速率（kg/h）</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4.40</w:t>
                  </w:r>
                  <w:r>
                    <w:rPr>
                      <w:rFonts w:hint="default" w:ascii="Arial" w:hAnsi="Arial" w:cs="Arial"/>
                      <w:color w:val="auto"/>
                      <w:sz w:val="21"/>
                      <w:szCs w:val="24"/>
                      <w:vertAlign w:val="baseline"/>
                      <w:lang w:val="en-US" w:eastAsia="zh-CN" w:bidi="ar-SA"/>
                    </w:rPr>
                    <w:t>×</w:t>
                  </w:r>
                  <w:r>
                    <w:rPr>
                      <w:rFonts w:hint="eastAsia" w:ascii="Times New Roman" w:hAnsi="Times New Roman"/>
                      <w:color w:val="auto"/>
                      <w:sz w:val="21"/>
                      <w:szCs w:val="24"/>
                      <w:vertAlign w:val="baseline"/>
                      <w:lang w:val="en-US" w:eastAsia="zh-CN" w:bidi="ar-SA"/>
                    </w:rPr>
                    <w:t>10</w:t>
                  </w:r>
                  <w:r>
                    <w:rPr>
                      <w:rFonts w:hint="eastAsia" w:ascii="Times New Roman" w:hAnsi="Times New Roman"/>
                      <w:color w:val="auto"/>
                      <w:sz w:val="21"/>
                      <w:szCs w:val="24"/>
                      <w:vertAlign w:val="superscript"/>
                      <w:lang w:val="en-US" w:eastAsia="zh-CN" w:bidi="ar-SA"/>
                    </w:rPr>
                    <w:t>-2</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4.</w:t>
                  </w:r>
                  <w:r>
                    <w:rPr>
                      <w:rFonts w:hint="eastAsia" w:ascii="Times New Roman"/>
                      <w:color w:val="auto"/>
                      <w:sz w:val="21"/>
                      <w:szCs w:val="24"/>
                      <w:vertAlign w:val="baseline"/>
                      <w:lang w:val="en-US" w:eastAsia="zh-CN" w:bidi="ar-SA"/>
                    </w:rPr>
                    <w:t>92</w:t>
                  </w:r>
                  <w:r>
                    <w:rPr>
                      <w:rFonts w:hint="default" w:ascii="Arial" w:hAnsi="Arial" w:cs="Arial"/>
                      <w:color w:val="auto"/>
                      <w:sz w:val="21"/>
                      <w:szCs w:val="24"/>
                      <w:vertAlign w:val="baseline"/>
                      <w:lang w:val="en-US" w:eastAsia="zh-CN" w:bidi="ar-SA"/>
                    </w:rPr>
                    <w:t>×</w:t>
                  </w:r>
                  <w:r>
                    <w:rPr>
                      <w:rFonts w:hint="eastAsia" w:ascii="Times New Roman" w:hAnsi="Times New Roman"/>
                      <w:color w:val="auto"/>
                      <w:sz w:val="21"/>
                      <w:szCs w:val="24"/>
                      <w:vertAlign w:val="baseline"/>
                      <w:lang w:val="en-US" w:eastAsia="zh-CN" w:bidi="ar-SA"/>
                    </w:rPr>
                    <w:t>10</w:t>
                  </w:r>
                  <w:r>
                    <w:rPr>
                      <w:rFonts w:hint="eastAsia" w:ascii="Times New Roman" w:hAnsi="Times New Roman"/>
                      <w:color w:val="auto"/>
                      <w:sz w:val="21"/>
                      <w:szCs w:val="24"/>
                      <w:vertAlign w:val="superscript"/>
                      <w:lang w:val="en-US" w:eastAsia="zh-CN" w:bidi="ar-SA"/>
                    </w:rPr>
                    <w:t>-2</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color w:val="auto"/>
                      <w:sz w:val="21"/>
                      <w:szCs w:val="24"/>
                      <w:vertAlign w:val="baseline"/>
                      <w:lang w:val="en-US" w:eastAsia="zh-CN" w:bidi="ar-SA"/>
                    </w:rPr>
                    <w:t>5.08</w:t>
                  </w:r>
                  <w:r>
                    <w:rPr>
                      <w:rFonts w:hint="default" w:ascii="Arial" w:hAnsi="Arial" w:cs="Arial"/>
                      <w:color w:val="auto"/>
                      <w:sz w:val="21"/>
                      <w:szCs w:val="24"/>
                      <w:vertAlign w:val="baseline"/>
                      <w:lang w:val="en-US" w:eastAsia="zh-CN" w:bidi="ar-SA"/>
                    </w:rPr>
                    <w:t>×</w:t>
                  </w:r>
                  <w:r>
                    <w:rPr>
                      <w:rFonts w:hint="eastAsia" w:ascii="Times New Roman" w:hAnsi="Times New Roman"/>
                      <w:color w:val="auto"/>
                      <w:sz w:val="21"/>
                      <w:szCs w:val="24"/>
                      <w:vertAlign w:val="baseline"/>
                      <w:lang w:val="en-US" w:eastAsia="zh-CN" w:bidi="ar-SA"/>
                    </w:rPr>
                    <w:t>10</w:t>
                  </w:r>
                  <w:r>
                    <w:rPr>
                      <w:rFonts w:hint="eastAsia" w:ascii="Times New Roman" w:hAnsi="Times New Roman"/>
                      <w:color w:val="auto"/>
                      <w:sz w:val="21"/>
                      <w:szCs w:val="24"/>
                      <w:vertAlign w:val="superscript"/>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Merge w:val="restart"/>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二氧化硫</w:t>
                  </w:r>
                </w:p>
              </w:tc>
              <w:tc>
                <w:tcPr>
                  <w:tcW w:w="2499"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实测浓度（mg/m</w:t>
                  </w:r>
                  <w:r>
                    <w:rPr>
                      <w:rFonts w:hint="eastAsia" w:ascii="Times New Roman" w:hAnsi="Times New Roman"/>
                      <w:color w:val="auto"/>
                      <w:sz w:val="21"/>
                      <w:szCs w:val="24"/>
                      <w:vertAlign w:val="superscript"/>
                      <w:lang w:val="en-US" w:eastAsia="zh-CN" w:bidi="ar-SA"/>
                    </w:rPr>
                    <w:t>3</w:t>
                  </w:r>
                  <w:r>
                    <w:rPr>
                      <w:rFonts w:hint="eastAsia" w:ascii="Times New Roman" w:hAnsi="Times New Roman"/>
                      <w:color w:val="auto"/>
                      <w:sz w:val="21"/>
                      <w:szCs w:val="24"/>
                      <w:vertAlign w:val="baseline"/>
                      <w:lang w:val="en-US" w:eastAsia="zh-CN" w:bidi="ar-SA"/>
                    </w:rPr>
                    <w:t>）</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5</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4</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Merge w:val="continue"/>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p>
              </w:tc>
              <w:tc>
                <w:tcPr>
                  <w:tcW w:w="2499"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折算浓度（mg/m</w:t>
                  </w:r>
                  <w:r>
                    <w:rPr>
                      <w:rFonts w:hint="eastAsia" w:ascii="Times New Roman" w:hAnsi="Times New Roman"/>
                      <w:color w:val="auto"/>
                      <w:sz w:val="21"/>
                      <w:szCs w:val="24"/>
                      <w:vertAlign w:val="superscript"/>
                      <w:lang w:val="en-US" w:eastAsia="zh-CN" w:bidi="ar-SA"/>
                    </w:rPr>
                    <w:t>3</w:t>
                  </w:r>
                  <w:r>
                    <w:rPr>
                      <w:rFonts w:hint="eastAsia" w:ascii="Times New Roman" w:hAnsi="Times New Roman"/>
                      <w:color w:val="auto"/>
                      <w:sz w:val="21"/>
                      <w:szCs w:val="24"/>
                      <w:vertAlign w:val="baseline"/>
                      <w:lang w:val="en-US" w:eastAsia="zh-CN" w:bidi="ar-SA"/>
                    </w:rPr>
                    <w:t>）</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13</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11</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Merge w:val="continue"/>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p>
              </w:tc>
              <w:tc>
                <w:tcPr>
                  <w:tcW w:w="2499"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排放速率（kg/h）</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color w:val="auto"/>
                      <w:sz w:val="21"/>
                      <w:szCs w:val="24"/>
                      <w:vertAlign w:val="baseline"/>
                      <w:lang w:val="en-US" w:eastAsia="zh-CN" w:bidi="ar-SA"/>
                    </w:rPr>
                    <w:t>7.09</w:t>
                  </w:r>
                  <w:r>
                    <w:rPr>
                      <w:rFonts w:hint="default" w:ascii="Arial" w:hAnsi="Arial" w:cs="Arial"/>
                      <w:color w:val="auto"/>
                      <w:sz w:val="21"/>
                      <w:szCs w:val="24"/>
                      <w:vertAlign w:val="baseline"/>
                      <w:lang w:val="en-US" w:eastAsia="zh-CN" w:bidi="ar-SA"/>
                    </w:rPr>
                    <w:t>×</w:t>
                  </w:r>
                  <w:r>
                    <w:rPr>
                      <w:rFonts w:hint="eastAsia" w:ascii="Times New Roman" w:hAnsi="Times New Roman"/>
                      <w:color w:val="auto"/>
                      <w:sz w:val="21"/>
                      <w:szCs w:val="24"/>
                      <w:vertAlign w:val="baseline"/>
                      <w:lang w:val="en-US" w:eastAsia="zh-CN" w:bidi="ar-SA"/>
                    </w:rPr>
                    <w:t>10</w:t>
                  </w:r>
                  <w:r>
                    <w:rPr>
                      <w:rFonts w:hint="eastAsia" w:ascii="Times New Roman" w:hAnsi="Times New Roman"/>
                      <w:color w:val="auto"/>
                      <w:sz w:val="21"/>
                      <w:szCs w:val="24"/>
                      <w:vertAlign w:val="superscript"/>
                      <w:lang w:val="en-US" w:eastAsia="zh-CN" w:bidi="ar-SA"/>
                    </w:rPr>
                    <w:t>-2</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color w:val="auto"/>
                      <w:sz w:val="21"/>
                      <w:szCs w:val="24"/>
                      <w:vertAlign w:val="baseline"/>
                      <w:lang w:val="en-US" w:eastAsia="zh-CN" w:bidi="ar-SA"/>
                    </w:rPr>
                    <w:t>5.96</w:t>
                  </w:r>
                  <w:r>
                    <w:rPr>
                      <w:rFonts w:hint="default" w:ascii="Arial" w:hAnsi="Arial" w:cs="Arial"/>
                      <w:color w:val="auto"/>
                      <w:sz w:val="21"/>
                      <w:szCs w:val="24"/>
                      <w:vertAlign w:val="baseline"/>
                      <w:lang w:val="en-US" w:eastAsia="zh-CN" w:bidi="ar-SA"/>
                    </w:rPr>
                    <w:t>×</w:t>
                  </w:r>
                  <w:r>
                    <w:rPr>
                      <w:rFonts w:hint="eastAsia" w:ascii="Times New Roman" w:hAnsi="Times New Roman"/>
                      <w:color w:val="auto"/>
                      <w:sz w:val="21"/>
                      <w:szCs w:val="24"/>
                      <w:vertAlign w:val="baseline"/>
                      <w:lang w:val="en-US" w:eastAsia="zh-CN" w:bidi="ar-SA"/>
                    </w:rPr>
                    <w:t>10</w:t>
                  </w:r>
                  <w:r>
                    <w:rPr>
                      <w:rFonts w:hint="eastAsia" w:ascii="Times New Roman" w:hAnsi="Times New Roman"/>
                      <w:color w:val="auto"/>
                      <w:sz w:val="21"/>
                      <w:szCs w:val="24"/>
                      <w:vertAlign w:val="superscript"/>
                      <w:lang w:val="en-US" w:eastAsia="zh-CN" w:bidi="ar-SA"/>
                    </w:rPr>
                    <w:t>-2</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color w:val="auto"/>
                      <w:sz w:val="21"/>
                      <w:szCs w:val="24"/>
                      <w:vertAlign w:val="baseline"/>
                      <w:lang w:val="en-US" w:eastAsia="zh-CN" w:bidi="ar-SA"/>
                    </w:rPr>
                    <w:t>5.98</w:t>
                  </w:r>
                  <w:r>
                    <w:rPr>
                      <w:rFonts w:hint="default" w:ascii="Arial" w:hAnsi="Arial" w:cs="Arial"/>
                      <w:color w:val="auto"/>
                      <w:sz w:val="21"/>
                      <w:szCs w:val="24"/>
                      <w:vertAlign w:val="baseline"/>
                      <w:lang w:val="en-US" w:eastAsia="zh-CN" w:bidi="ar-SA"/>
                    </w:rPr>
                    <w:t>×</w:t>
                  </w:r>
                  <w:r>
                    <w:rPr>
                      <w:rFonts w:hint="eastAsia" w:ascii="Times New Roman" w:hAnsi="Times New Roman"/>
                      <w:color w:val="auto"/>
                      <w:sz w:val="21"/>
                      <w:szCs w:val="24"/>
                      <w:vertAlign w:val="baseline"/>
                      <w:lang w:val="en-US" w:eastAsia="zh-CN" w:bidi="ar-SA"/>
                    </w:rPr>
                    <w:t>10</w:t>
                  </w:r>
                  <w:r>
                    <w:rPr>
                      <w:rFonts w:hint="eastAsia" w:ascii="Times New Roman" w:hAnsi="Times New Roman"/>
                      <w:color w:val="auto"/>
                      <w:sz w:val="21"/>
                      <w:szCs w:val="24"/>
                      <w:vertAlign w:val="superscript"/>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Merge w:val="restart"/>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氮氧化物</w:t>
                  </w:r>
                </w:p>
              </w:tc>
              <w:tc>
                <w:tcPr>
                  <w:tcW w:w="2499"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实测浓度（mg/m</w:t>
                  </w:r>
                  <w:r>
                    <w:rPr>
                      <w:rFonts w:hint="eastAsia" w:ascii="Times New Roman" w:hAnsi="Times New Roman"/>
                      <w:color w:val="auto"/>
                      <w:sz w:val="21"/>
                      <w:szCs w:val="24"/>
                      <w:vertAlign w:val="superscript"/>
                      <w:lang w:val="en-US" w:eastAsia="zh-CN" w:bidi="ar-SA"/>
                    </w:rPr>
                    <w:t>3</w:t>
                  </w:r>
                  <w:r>
                    <w:rPr>
                      <w:rFonts w:hint="eastAsia" w:ascii="Times New Roman" w:hAnsi="Times New Roman"/>
                      <w:color w:val="auto"/>
                      <w:sz w:val="21"/>
                      <w:szCs w:val="24"/>
                      <w:vertAlign w:val="baseline"/>
                      <w:lang w:val="en-US" w:eastAsia="zh-CN" w:bidi="ar-SA"/>
                    </w:rPr>
                    <w:t>）</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14</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15</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57" w:type="dxa"/>
                  <w:vMerge w:val="continue"/>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p>
              </w:tc>
              <w:tc>
                <w:tcPr>
                  <w:tcW w:w="2499"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折算浓度（mg/m</w:t>
                  </w:r>
                  <w:r>
                    <w:rPr>
                      <w:rFonts w:hint="eastAsia" w:ascii="Times New Roman" w:hAnsi="Times New Roman"/>
                      <w:color w:val="auto"/>
                      <w:sz w:val="21"/>
                      <w:szCs w:val="24"/>
                      <w:vertAlign w:val="superscript"/>
                      <w:lang w:val="en-US" w:eastAsia="zh-CN" w:bidi="ar-SA"/>
                    </w:rPr>
                    <w:t>3</w:t>
                  </w:r>
                  <w:r>
                    <w:rPr>
                      <w:rFonts w:hint="eastAsia" w:ascii="Times New Roman" w:hAnsi="Times New Roman"/>
                      <w:color w:val="auto"/>
                      <w:sz w:val="21"/>
                      <w:szCs w:val="24"/>
                      <w:vertAlign w:val="baseline"/>
                      <w:lang w:val="en-US" w:eastAsia="zh-CN" w:bidi="ar-SA"/>
                    </w:rPr>
                    <w:t>）</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38</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40</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Merge w:val="continue"/>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p>
              </w:tc>
              <w:tc>
                <w:tcPr>
                  <w:tcW w:w="2499"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排放速率（kg/h）</w:t>
                  </w:r>
                </w:p>
              </w:tc>
              <w:tc>
                <w:tcPr>
                  <w:tcW w:w="1878"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0.199</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0.224</w:t>
                  </w:r>
                </w:p>
              </w:tc>
              <w:tc>
                <w:tcPr>
                  <w:tcW w:w="1880" w:type="dxa"/>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0.224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gridSpan w:val="2"/>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r>
                    <w:rPr>
                      <w:rFonts w:hint="eastAsia" w:ascii="Times New Roman" w:hAnsi="Times New Roman"/>
                      <w:color w:val="auto"/>
                      <w:sz w:val="21"/>
                      <w:szCs w:val="24"/>
                      <w:vertAlign w:val="baseline"/>
                      <w:lang w:val="en-US" w:eastAsia="zh-CN" w:bidi="ar-SA"/>
                    </w:rPr>
                    <w:t>备注</w:t>
                  </w:r>
                </w:p>
              </w:tc>
              <w:tc>
                <w:tcPr>
                  <w:tcW w:w="5638" w:type="dxa"/>
                  <w:gridSpan w:val="3"/>
                  <w:tcBorders>
                    <w:tl2br w:val="nil"/>
                    <w:tr2bl w:val="nil"/>
                  </w:tcBorders>
                  <w:vAlign w:val="center"/>
                </w:tcPr>
                <w:p>
                  <w:pPr>
                    <w:pStyle w:val="32"/>
                    <w:spacing w:line="240" w:lineRule="auto"/>
                    <w:jc w:val="center"/>
                    <w:rPr>
                      <w:rFonts w:hint="default" w:ascii="Times New Roman" w:hAnsi="Times New Roman" w:eastAsia="宋体"/>
                      <w:color w:val="auto"/>
                      <w:sz w:val="21"/>
                      <w:szCs w:val="24"/>
                      <w:vertAlign w:val="baseline"/>
                      <w:lang w:val="en-US" w:eastAsia="zh-CN" w:bidi="ar-SA"/>
                    </w:rPr>
                  </w:pPr>
                </w:p>
              </w:tc>
            </w:tr>
          </w:tbl>
          <w:p>
            <w:pPr>
              <w:pStyle w:val="32"/>
              <w:spacing w:line="360" w:lineRule="auto"/>
              <w:ind w:firstLine="480" w:firstLineChars="200"/>
              <w:rPr>
                <w:rFonts w:hint="default" w:ascii="Times New Roman" w:hAnsi="Times New Roman" w:eastAsia="宋体"/>
                <w:color w:val="auto"/>
                <w:sz w:val="24"/>
                <w:szCs w:val="24"/>
                <w:vertAlign w:val="baseline"/>
                <w:lang w:val="en-US" w:eastAsia="zh-CN" w:bidi="ar-SA"/>
              </w:rPr>
            </w:pPr>
            <w:r>
              <w:rPr>
                <w:rFonts w:hint="eastAsia" w:ascii="Times New Roman" w:hAnsi="Times New Roman"/>
                <w:color w:val="auto"/>
                <w:sz w:val="24"/>
                <w:szCs w:val="24"/>
                <w:vertAlign w:val="baseline"/>
                <w:lang w:val="en-US" w:eastAsia="zh-CN" w:bidi="ar-SA"/>
              </w:rPr>
              <w:t>根据检测数据，项目轧钢加热炉废气排放符合</w:t>
            </w:r>
            <w:r>
              <w:rPr>
                <w:rFonts w:hint="eastAsia" w:ascii="Times New Roman" w:cs="宋体"/>
                <w:color w:val="auto"/>
                <w:sz w:val="24"/>
                <w:highlight w:val="none"/>
                <w:lang w:val="en-US" w:eastAsia="zh-CN"/>
              </w:rPr>
              <w:t>《钢铁工业大气污染物排放标准》（DB37_990-2019）表1标准</w:t>
            </w:r>
            <w:r>
              <w:rPr>
                <w:rFonts w:hint="eastAsia" w:ascii="Times New Roman" w:hAnsi="Times New Roman"/>
                <w:color w:val="auto"/>
                <w:sz w:val="24"/>
                <w:szCs w:val="24"/>
                <w:vertAlign w:val="baseline"/>
                <w:lang w:val="en-US" w:eastAsia="zh-CN" w:bidi="ar-SA"/>
              </w:rPr>
              <w:t>（颗粒物10mg/m</w:t>
            </w:r>
            <w:r>
              <w:rPr>
                <w:rFonts w:hint="eastAsia" w:ascii="Times New Roman" w:hAnsi="Times New Roman"/>
                <w:color w:val="auto"/>
                <w:sz w:val="24"/>
                <w:szCs w:val="24"/>
                <w:vertAlign w:val="superscript"/>
                <w:lang w:val="en-US" w:eastAsia="zh-CN" w:bidi="ar-SA"/>
              </w:rPr>
              <w:t>3</w:t>
            </w:r>
            <w:r>
              <w:rPr>
                <w:rFonts w:hint="eastAsia" w:ascii="Times New Roman" w:hAnsi="Times New Roman"/>
                <w:color w:val="auto"/>
                <w:sz w:val="24"/>
                <w:szCs w:val="24"/>
                <w:vertAlign w:val="baseline"/>
                <w:lang w:val="en-US" w:eastAsia="zh-CN" w:bidi="ar-SA"/>
              </w:rPr>
              <w:t>，二氧化硫</w:t>
            </w:r>
            <w:r>
              <w:rPr>
                <w:rFonts w:hint="eastAsia" w:ascii="Times New Roman"/>
                <w:color w:val="auto"/>
                <w:sz w:val="24"/>
                <w:szCs w:val="24"/>
                <w:vertAlign w:val="baseline"/>
                <w:lang w:val="en-US" w:eastAsia="zh-CN" w:bidi="ar-SA"/>
              </w:rPr>
              <w:t>50</w:t>
            </w:r>
            <w:r>
              <w:rPr>
                <w:rFonts w:hint="eastAsia" w:ascii="Times New Roman" w:hAnsi="Times New Roman"/>
                <w:color w:val="auto"/>
                <w:sz w:val="24"/>
                <w:szCs w:val="24"/>
                <w:vertAlign w:val="baseline"/>
                <w:lang w:val="en-US" w:eastAsia="zh-CN" w:bidi="ar-SA"/>
              </w:rPr>
              <w:t>mg/m</w:t>
            </w:r>
            <w:r>
              <w:rPr>
                <w:rFonts w:hint="eastAsia" w:ascii="Times New Roman" w:hAnsi="Times New Roman"/>
                <w:color w:val="auto"/>
                <w:sz w:val="24"/>
                <w:szCs w:val="24"/>
                <w:vertAlign w:val="superscript"/>
                <w:lang w:val="en-US" w:eastAsia="zh-CN" w:bidi="ar-SA"/>
              </w:rPr>
              <w:t>3</w:t>
            </w:r>
            <w:r>
              <w:rPr>
                <w:rFonts w:hint="eastAsia" w:ascii="Times New Roman" w:hAnsi="Times New Roman"/>
                <w:color w:val="auto"/>
                <w:sz w:val="24"/>
                <w:szCs w:val="24"/>
                <w:vertAlign w:val="baseline"/>
                <w:lang w:val="en-US" w:eastAsia="zh-CN" w:bidi="ar-SA"/>
              </w:rPr>
              <w:t>，</w:t>
            </w:r>
            <w:r>
              <w:rPr>
                <w:rFonts w:hint="eastAsia" w:ascii="Times New Roman"/>
                <w:color w:val="auto"/>
                <w:sz w:val="24"/>
                <w:szCs w:val="24"/>
                <w:vertAlign w:val="baseline"/>
                <w:lang w:val="en-US" w:eastAsia="zh-CN" w:bidi="ar-SA"/>
              </w:rPr>
              <w:t>氮氧化物150</w:t>
            </w:r>
            <w:r>
              <w:rPr>
                <w:rFonts w:hint="eastAsia" w:ascii="Times New Roman" w:hAnsi="Times New Roman"/>
                <w:color w:val="auto"/>
                <w:sz w:val="24"/>
                <w:szCs w:val="24"/>
                <w:vertAlign w:val="baseline"/>
                <w:lang w:val="en-US" w:eastAsia="zh-CN" w:bidi="ar-SA"/>
              </w:rPr>
              <w:t>mg/m</w:t>
            </w:r>
            <w:r>
              <w:rPr>
                <w:rFonts w:hint="eastAsia" w:ascii="Times New Roman" w:hAnsi="Times New Roman"/>
                <w:color w:val="auto"/>
                <w:sz w:val="24"/>
                <w:szCs w:val="24"/>
                <w:vertAlign w:val="superscript"/>
                <w:lang w:val="en-US" w:eastAsia="zh-CN" w:bidi="ar-SA"/>
              </w:rPr>
              <w:t>3</w:t>
            </w:r>
            <w:r>
              <w:rPr>
                <w:rFonts w:hint="eastAsia" w:ascii="Times New Roman" w:hAnsi="Times New Roman"/>
                <w:color w:val="auto"/>
                <w:sz w:val="24"/>
                <w:szCs w:val="24"/>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1-</w:t>
            </w:r>
            <w:r>
              <w:rPr>
                <w:rFonts w:hint="eastAsia" w:cs="Times New Roman"/>
                <w:b/>
                <w:bCs w:val="0"/>
                <w:color w:val="auto"/>
                <w:kern w:val="2"/>
                <w:sz w:val="21"/>
                <w:szCs w:val="21"/>
                <w:lang w:val="en-US" w:eastAsia="zh-CN" w:bidi="ar-SA"/>
              </w:rPr>
              <w:t xml:space="preserve">15 </w:t>
            </w:r>
            <w:r>
              <w:rPr>
                <w:rFonts w:hint="default" w:ascii="Times New Roman" w:hAnsi="Times New Roman" w:eastAsia="宋体" w:cs="Times New Roman"/>
                <w:b/>
                <w:bCs w:val="0"/>
                <w:color w:val="auto"/>
                <w:kern w:val="2"/>
                <w:sz w:val="21"/>
                <w:szCs w:val="21"/>
                <w:lang w:val="en-GB" w:eastAsia="zh-CN" w:bidi="ar-SA"/>
              </w:rPr>
              <w:t xml:space="preserve"> </w:t>
            </w:r>
            <w:r>
              <w:rPr>
                <w:rFonts w:hint="eastAsia" w:cs="Times New Roman"/>
                <w:b/>
                <w:bCs w:val="0"/>
                <w:color w:val="auto"/>
                <w:kern w:val="2"/>
                <w:sz w:val="21"/>
                <w:szCs w:val="21"/>
                <w:lang w:val="en-GB" w:eastAsia="zh-CN" w:bidi="ar-SA"/>
              </w:rPr>
              <w:t>无组织废气监测结果一览表</w:t>
            </w:r>
          </w:p>
          <w:tbl>
            <w:tblPr>
              <w:tblStyle w:val="25"/>
              <w:tblW w:w="93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2348"/>
              <w:gridCol w:w="2349"/>
              <w:gridCol w:w="23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48" w:type="dxa"/>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检测项目</w:t>
                  </w:r>
                </w:p>
              </w:tc>
              <w:tc>
                <w:tcPr>
                  <w:tcW w:w="7046" w:type="dxa"/>
                  <w:gridSpan w:val="3"/>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颗粒物（mg/m</w:t>
                  </w:r>
                  <w:r>
                    <w:rPr>
                      <w:rFonts w:hint="eastAsia" w:ascii="Times New Roman" w:hAnsi="Times New Roman"/>
                      <w:color w:val="auto"/>
                      <w:sz w:val="21"/>
                      <w:szCs w:val="24"/>
                      <w:highlight w:val="none"/>
                      <w:vertAlign w:val="superscript"/>
                      <w:lang w:val="en-US" w:eastAsia="zh-CN"/>
                    </w:rPr>
                    <w:t>3</w:t>
                  </w:r>
                  <w:r>
                    <w:rPr>
                      <w:rFonts w:hint="eastAsia" w:ascii="Times New Roman" w:hAnsi="Times New Roman"/>
                      <w:color w:val="auto"/>
                      <w:sz w:val="21"/>
                      <w:szCs w:val="24"/>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48" w:type="dxa"/>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检测时间</w:t>
                  </w:r>
                </w:p>
              </w:tc>
              <w:tc>
                <w:tcPr>
                  <w:tcW w:w="7046" w:type="dxa"/>
                  <w:gridSpan w:val="3"/>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2020.01.14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48" w:type="dxa"/>
                  <w:tcBorders>
                    <w:tl2br w:val="single" w:color="auto" w:sz="4" w:space="0"/>
                  </w:tcBorders>
                  <w:vAlign w:val="center"/>
                </w:tcPr>
                <w:p>
                  <w:pPr>
                    <w:spacing w:line="240" w:lineRule="auto"/>
                    <w:jc w:val="right"/>
                    <w:rPr>
                      <w:rFonts w:hint="eastAsia" w:ascii="Times New Roman" w:hAnsi="Times New Roman"/>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检测结果</w:t>
                  </w:r>
                </w:p>
                <w:p>
                  <w:pPr>
                    <w:spacing w:line="240" w:lineRule="auto"/>
                    <w:jc w:val="left"/>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检测点位</w:t>
                  </w:r>
                </w:p>
              </w:tc>
              <w:tc>
                <w:tcPr>
                  <w:tcW w:w="2348" w:type="dxa"/>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第一次</w:t>
                  </w:r>
                </w:p>
              </w:tc>
              <w:tc>
                <w:tcPr>
                  <w:tcW w:w="2349" w:type="dxa"/>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第二次</w:t>
                  </w:r>
                </w:p>
              </w:tc>
              <w:tc>
                <w:tcPr>
                  <w:tcW w:w="2349" w:type="dxa"/>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第三次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48"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上风向1#</w:t>
                  </w:r>
                </w:p>
              </w:tc>
              <w:tc>
                <w:tcPr>
                  <w:tcW w:w="2348"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0.195</w:t>
                  </w:r>
                </w:p>
              </w:tc>
              <w:tc>
                <w:tcPr>
                  <w:tcW w:w="2349"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0.199</w:t>
                  </w:r>
                </w:p>
              </w:tc>
              <w:tc>
                <w:tcPr>
                  <w:tcW w:w="2349"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48"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下方向2#</w:t>
                  </w:r>
                </w:p>
              </w:tc>
              <w:tc>
                <w:tcPr>
                  <w:tcW w:w="2348"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0.322</w:t>
                  </w:r>
                </w:p>
              </w:tc>
              <w:tc>
                <w:tcPr>
                  <w:tcW w:w="2349"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0.336</w:t>
                  </w:r>
                </w:p>
              </w:tc>
              <w:tc>
                <w:tcPr>
                  <w:tcW w:w="2349"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0.322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48"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下风向3#</w:t>
                  </w:r>
                </w:p>
              </w:tc>
              <w:tc>
                <w:tcPr>
                  <w:tcW w:w="2348"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0.320</w:t>
                  </w:r>
                </w:p>
              </w:tc>
              <w:tc>
                <w:tcPr>
                  <w:tcW w:w="2349"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0.309</w:t>
                  </w:r>
                </w:p>
              </w:tc>
              <w:tc>
                <w:tcPr>
                  <w:tcW w:w="2349"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48"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下风向4#</w:t>
                  </w:r>
                </w:p>
              </w:tc>
              <w:tc>
                <w:tcPr>
                  <w:tcW w:w="2348"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0.316</w:t>
                  </w:r>
                </w:p>
              </w:tc>
              <w:tc>
                <w:tcPr>
                  <w:tcW w:w="2349"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0.329</w:t>
                  </w:r>
                </w:p>
              </w:tc>
              <w:tc>
                <w:tcPr>
                  <w:tcW w:w="2349"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0.337</w:t>
                  </w:r>
                </w:p>
              </w:tc>
            </w:tr>
          </w:tbl>
          <w:p>
            <w:pPr>
              <w:spacing w:line="360" w:lineRule="auto"/>
              <w:ind w:firstLine="480" w:firstLineChars="200"/>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根据检测数据，项目无组织颗粒物排放符合</w:t>
            </w:r>
            <w:r>
              <w:rPr>
                <w:rFonts w:hint="eastAsia" w:ascii="Times New Roman" w:cs="宋体"/>
                <w:color w:val="auto"/>
                <w:sz w:val="24"/>
                <w:lang w:val="en-US" w:eastAsia="zh-CN"/>
              </w:rPr>
              <w:t>《钢铁工业大气污染物排放标准》（DB37_990-2019）</w:t>
            </w:r>
            <w:r>
              <w:rPr>
                <w:rFonts w:hint="eastAsia" w:ascii="Times New Roman" w:hAnsi="Times New Roman"/>
                <w:color w:val="auto"/>
                <w:sz w:val="24"/>
                <w:szCs w:val="24"/>
                <w:highlight w:val="none"/>
                <w:vertAlign w:val="baseline"/>
                <w:lang w:val="en-US" w:eastAsia="zh-CN"/>
              </w:rPr>
              <w:t>表2标准（颗粒物</w:t>
            </w:r>
            <w:r>
              <w:rPr>
                <w:rFonts w:hint="eastAsia" w:ascii="Times New Roman" w:hAnsi="Times New Roman"/>
                <w:color w:val="auto"/>
                <w:sz w:val="24"/>
                <w:szCs w:val="24"/>
                <w:vertAlign w:val="baseline"/>
                <w:lang w:val="en-US" w:eastAsia="zh-CN" w:bidi="ar-SA"/>
              </w:rPr>
              <w:t>1</w:t>
            </w:r>
            <w:r>
              <w:rPr>
                <w:rFonts w:hint="eastAsia"/>
                <w:color w:val="auto"/>
                <w:sz w:val="24"/>
                <w:szCs w:val="24"/>
                <w:vertAlign w:val="baseline"/>
                <w:lang w:val="en-US" w:eastAsia="zh-CN" w:bidi="ar-SA"/>
              </w:rPr>
              <w:t>.</w:t>
            </w:r>
            <w:r>
              <w:rPr>
                <w:rFonts w:hint="eastAsia" w:ascii="Times New Roman" w:hAnsi="Times New Roman"/>
                <w:color w:val="auto"/>
                <w:sz w:val="24"/>
                <w:szCs w:val="24"/>
                <w:vertAlign w:val="baseline"/>
                <w:lang w:val="en-US" w:eastAsia="zh-CN" w:bidi="ar-SA"/>
              </w:rPr>
              <w:t>0mg/m</w:t>
            </w:r>
            <w:r>
              <w:rPr>
                <w:rFonts w:hint="eastAsia" w:ascii="Times New Roman" w:hAnsi="Times New Roman"/>
                <w:color w:val="auto"/>
                <w:sz w:val="24"/>
                <w:szCs w:val="24"/>
                <w:vertAlign w:val="superscript"/>
                <w:lang w:val="en-US" w:eastAsia="zh-CN" w:bidi="ar-SA"/>
              </w:rPr>
              <w:t>3</w:t>
            </w:r>
            <w:r>
              <w:rPr>
                <w:rFonts w:hint="eastAsia" w:ascii="Times New Roman" w:hAnsi="Times New Roman"/>
                <w:color w:val="auto"/>
                <w:sz w:val="24"/>
                <w:szCs w:val="24"/>
                <w:highlight w:val="none"/>
                <w:vertAlign w:val="baseline"/>
                <w:lang w:val="en-US" w:eastAsia="zh-CN"/>
              </w:rPr>
              <w:t>）。</w:t>
            </w:r>
          </w:p>
          <w:p>
            <w:pPr>
              <w:spacing w:line="240" w:lineRule="auto"/>
              <w:ind w:firstLine="0" w:firstLineChars="0"/>
              <w:jc w:val="center"/>
              <w:outlineLvl w:val="9"/>
              <w:rPr>
                <w:rFonts w:hint="default" w:ascii="Times New Roman" w:hAnsi="Times New Roman" w:eastAsia="宋体"/>
                <w:b/>
                <w:color w:val="auto"/>
                <w:sz w:val="21"/>
                <w:szCs w:val="21"/>
                <w:vertAlign w:val="baseline"/>
                <w:lang w:val="en-US" w:eastAsia="zh-CN" w:bidi="ar-SA"/>
              </w:rPr>
            </w:pPr>
            <w:r>
              <w:rPr>
                <w:rFonts w:hint="default" w:ascii="Times New Roman" w:hAnsi="Times New Roman"/>
                <w:b/>
                <w:color w:val="auto"/>
                <w:sz w:val="21"/>
                <w:szCs w:val="21"/>
                <w:vertAlign w:val="baseline"/>
                <w:lang w:val="en-GB" w:eastAsia="zh-CN" w:bidi="ar-SA"/>
              </w:rPr>
              <w:t>表1-16</w:t>
            </w:r>
            <w:r>
              <w:rPr>
                <w:rFonts w:hint="eastAsia"/>
                <w:b/>
                <w:color w:val="auto"/>
                <w:sz w:val="21"/>
                <w:szCs w:val="21"/>
                <w:vertAlign w:val="baseline"/>
                <w:lang w:val="en-US" w:eastAsia="zh-CN" w:bidi="ar-SA"/>
              </w:rPr>
              <w:t xml:space="preserve">  噪声检测结果一览表</w:t>
            </w:r>
          </w:p>
          <w:tbl>
            <w:tblPr>
              <w:tblStyle w:val="25"/>
              <w:tblW w:w="93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565"/>
              <w:gridCol w:w="1565"/>
              <w:gridCol w:w="1565"/>
              <w:gridCol w:w="1567"/>
              <w:gridCol w:w="1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30" w:type="dxa"/>
                  <w:gridSpan w:val="2"/>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检测点位</w:t>
                  </w:r>
                </w:p>
              </w:tc>
              <w:tc>
                <w:tcPr>
                  <w:tcW w:w="6264" w:type="dxa"/>
                  <w:gridSpan w:val="4"/>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检测结果Leq（单位：dB（A））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30" w:type="dxa"/>
                  <w:gridSpan w:val="2"/>
                  <w:tcBorders>
                    <w:tl2br w:val="single" w:color="auto" w:sz="4" w:space="0"/>
                  </w:tcBorders>
                  <w:vAlign w:val="center"/>
                </w:tcPr>
                <w:p>
                  <w:pPr>
                    <w:spacing w:line="240" w:lineRule="auto"/>
                    <w:jc w:val="right"/>
                    <w:rPr>
                      <w:rFonts w:hint="eastAsia" w:ascii="Times New Roman" w:hAnsi="Times New Roman"/>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检测时间</w:t>
                  </w:r>
                </w:p>
                <w:p>
                  <w:pPr>
                    <w:spacing w:line="240" w:lineRule="auto"/>
                    <w:jc w:val="left"/>
                    <w:rPr>
                      <w:rFonts w:hint="eastAsia"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检测结果</w:t>
                  </w:r>
                </w:p>
              </w:tc>
              <w:tc>
                <w:tcPr>
                  <w:tcW w:w="1565"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北厂界1#</w:t>
                  </w:r>
                </w:p>
              </w:tc>
              <w:tc>
                <w:tcPr>
                  <w:tcW w:w="1565"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西厂界2#</w:t>
                  </w:r>
                </w:p>
              </w:tc>
              <w:tc>
                <w:tcPr>
                  <w:tcW w:w="1567"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南厂界3#</w:t>
                  </w:r>
                </w:p>
              </w:tc>
              <w:tc>
                <w:tcPr>
                  <w:tcW w:w="1567"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东厂界4#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65" w:type="dxa"/>
                  <w:vMerge w:val="restart"/>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2020.01.06</w:t>
                  </w:r>
                </w:p>
              </w:tc>
              <w:tc>
                <w:tcPr>
                  <w:tcW w:w="1565"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14:31-14.54：</w:t>
                  </w:r>
                </w:p>
              </w:tc>
              <w:tc>
                <w:tcPr>
                  <w:tcW w:w="1565"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56.3</w:t>
                  </w:r>
                </w:p>
              </w:tc>
              <w:tc>
                <w:tcPr>
                  <w:tcW w:w="1565"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57.5</w:t>
                  </w:r>
                </w:p>
              </w:tc>
              <w:tc>
                <w:tcPr>
                  <w:tcW w:w="1567"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55.0</w:t>
                  </w:r>
                </w:p>
              </w:tc>
              <w:tc>
                <w:tcPr>
                  <w:tcW w:w="1567"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65" w:type="dxa"/>
                  <w:vMerge w:val="continue"/>
                  <w:tcBorders>
                    <w:tl2br w:val="nil"/>
                    <w:tr2bl w:val="nil"/>
                  </w:tcBorders>
                  <w:vAlign w:val="center"/>
                </w:tcPr>
                <w:p>
                  <w:pPr>
                    <w:spacing w:line="240" w:lineRule="auto"/>
                    <w:jc w:val="center"/>
                    <w:rPr>
                      <w:rFonts w:hint="eastAsia" w:ascii="Times New Roman" w:hAnsi="Times New Roman" w:eastAsia="宋体"/>
                      <w:color w:val="auto"/>
                      <w:sz w:val="21"/>
                      <w:szCs w:val="24"/>
                      <w:highlight w:val="none"/>
                      <w:vertAlign w:val="baseline"/>
                      <w:lang w:val="en-US" w:eastAsia="zh-CN"/>
                    </w:rPr>
                  </w:pPr>
                </w:p>
              </w:tc>
              <w:tc>
                <w:tcPr>
                  <w:tcW w:w="1565"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22:02-22:25</w:t>
                  </w:r>
                </w:p>
              </w:tc>
              <w:tc>
                <w:tcPr>
                  <w:tcW w:w="1565"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47.8</w:t>
                  </w:r>
                </w:p>
              </w:tc>
              <w:tc>
                <w:tcPr>
                  <w:tcW w:w="1565"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47.5</w:t>
                  </w:r>
                </w:p>
              </w:tc>
              <w:tc>
                <w:tcPr>
                  <w:tcW w:w="1567"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45.8</w:t>
                  </w:r>
                </w:p>
              </w:tc>
              <w:tc>
                <w:tcPr>
                  <w:tcW w:w="1567" w:type="dxa"/>
                  <w:tcBorders>
                    <w:tl2br w:val="nil"/>
                    <w:tr2bl w:val="nil"/>
                  </w:tcBorders>
                  <w:vAlign w:val="center"/>
                </w:tcPr>
                <w:p>
                  <w:pPr>
                    <w:spacing w:line="240" w:lineRule="auto"/>
                    <w:jc w:val="center"/>
                    <w:rPr>
                      <w:rFonts w:hint="default" w:ascii="Times New Roman" w:hAnsi="Times New Roman" w:eastAsia="宋体"/>
                      <w:color w:val="auto"/>
                      <w:sz w:val="21"/>
                      <w:szCs w:val="24"/>
                      <w:highlight w:val="none"/>
                      <w:vertAlign w:val="baseline"/>
                      <w:lang w:val="en-US" w:eastAsia="zh-CN"/>
                    </w:rPr>
                  </w:pPr>
                  <w:r>
                    <w:rPr>
                      <w:rFonts w:hint="eastAsia" w:ascii="Times New Roman" w:hAnsi="Times New Roman"/>
                      <w:color w:val="auto"/>
                      <w:sz w:val="21"/>
                      <w:szCs w:val="24"/>
                      <w:highlight w:val="none"/>
                      <w:vertAlign w:val="baseline"/>
                      <w:lang w:val="en-US" w:eastAsia="zh-CN"/>
                    </w:rPr>
                    <w:t>48.3</w:t>
                  </w:r>
                </w:p>
              </w:tc>
            </w:tr>
          </w:tbl>
          <w:p>
            <w:pPr>
              <w:spacing w:line="360" w:lineRule="auto"/>
              <w:ind w:firstLine="480" w:firstLineChars="200"/>
              <w:rPr>
                <w:rFonts w:hint="eastAsia"/>
                <w:color w:val="auto"/>
                <w:sz w:val="24"/>
                <w:lang w:eastAsia="zh-CN"/>
              </w:rPr>
            </w:pPr>
            <w:r>
              <w:rPr>
                <w:rFonts w:hint="eastAsia" w:ascii="Times New Roman" w:hAnsi="Times New Roman"/>
                <w:color w:val="auto"/>
                <w:sz w:val="24"/>
                <w:szCs w:val="24"/>
                <w:highlight w:val="none"/>
                <w:vertAlign w:val="baseline"/>
                <w:lang w:val="en-US" w:eastAsia="zh-CN"/>
              </w:rPr>
              <w:t>根据检测数据，项目厂界噪声符合</w:t>
            </w:r>
            <w:r>
              <w:rPr>
                <w:rFonts w:ascii="Times New Roman" w:hAnsi="Times New Roman" w:eastAsia="宋体"/>
                <w:color w:val="auto"/>
                <w:sz w:val="24"/>
              </w:rPr>
              <w:t>《工业企业厂界环境噪声排放标准》（GB12348-2008）2类标准</w:t>
            </w:r>
            <w:r>
              <w:rPr>
                <w:rFonts w:hint="eastAsia"/>
                <w:color w:val="auto"/>
                <w:sz w:val="24"/>
                <w:lang w:eastAsia="zh-CN"/>
              </w:rPr>
              <w:t>。</w:t>
            </w:r>
          </w:p>
          <w:p>
            <w:pPr>
              <w:pStyle w:val="2"/>
              <w:spacing w:after="0" w:line="360" w:lineRule="auto"/>
              <w:ind w:left="0" w:leftChars="0"/>
              <w:rPr>
                <w:rFonts w:hint="eastAsia"/>
                <w:color w:val="auto"/>
                <w:lang w:val="en-US" w:eastAsia="zh-CN"/>
              </w:rPr>
            </w:pPr>
            <w:r>
              <w:rPr>
                <w:rFonts w:hint="eastAsia"/>
                <w:color w:val="auto"/>
                <w:sz w:val="24"/>
                <w:lang w:eastAsia="zh-CN"/>
              </w:rPr>
              <w:t>综上，项目可以实现达标排放的要求，对周围环境的影响可以接受。</w:t>
            </w:r>
          </w:p>
          <w:p>
            <w:pPr>
              <w:ind w:firstLine="0" w:firstLineChars="0"/>
              <w:rPr>
                <w:rFonts w:hint="eastAsia" w:ascii="Times New Roman" w:hAnsi="Times New Roman" w:eastAsia="宋体"/>
                <w:b/>
                <w:bCs/>
                <w:color w:val="auto"/>
                <w:sz w:val="24"/>
                <w:szCs w:val="24"/>
                <w:highlight w:val="none"/>
                <w:vertAlign w:val="baseline"/>
                <w:lang w:val="en-US" w:eastAsia="zh-CN" w:bidi="ar-SA"/>
              </w:rPr>
            </w:pPr>
            <w:r>
              <w:rPr>
                <w:rFonts w:hint="eastAsia" w:ascii="Times New Roman" w:hAnsi="Times New Roman"/>
                <w:b/>
                <w:bCs/>
                <w:color w:val="auto"/>
                <w:sz w:val="24"/>
                <w:szCs w:val="24"/>
                <w:highlight w:val="none"/>
                <w:vertAlign w:val="baseline"/>
                <w:lang w:val="en-US" w:eastAsia="zh-CN" w:bidi="ar-SA"/>
              </w:rPr>
              <w:t>3、现存的问题</w:t>
            </w:r>
            <w:r>
              <w:rPr>
                <w:rFonts w:hint="eastAsia"/>
                <w:b/>
                <w:bCs/>
                <w:color w:val="auto"/>
                <w:sz w:val="24"/>
                <w:szCs w:val="24"/>
                <w:highlight w:val="none"/>
                <w:vertAlign w:val="baseline"/>
                <w:lang w:val="en-US" w:eastAsia="zh-CN" w:bidi="ar-SA"/>
              </w:rPr>
              <w:t>以及整改意见</w:t>
            </w:r>
          </w:p>
          <w:p>
            <w:pPr>
              <w:spacing w:line="360" w:lineRule="auto"/>
              <w:ind w:firstLine="480" w:firstLineChars="200"/>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通过现场查看，项目存在的问题有：</w:t>
            </w:r>
          </w:p>
          <w:p>
            <w:pPr>
              <w:pStyle w:val="32"/>
              <w:numPr>
                <w:ilvl w:val="0"/>
                <w:numId w:val="5"/>
              </w:numPr>
              <w:spacing w:line="360" w:lineRule="auto"/>
              <w:ind w:firstLine="480" w:firstLineChars="200"/>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项目生活污水采用化粪池收集后定期清运至污水处理厂处理达标后排放。项目员工200人，</w:t>
            </w:r>
            <w:r>
              <w:rPr>
                <w:rFonts w:hint="eastAsia" w:ascii="Times New Roman"/>
                <w:color w:val="auto"/>
                <w:sz w:val="24"/>
                <w:szCs w:val="24"/>
                <w:highlight w:val="none"/>
                <w:vertAlign w:val="baseline"/>
                <w:lang w:val="en-US" w:eastAsia="zh-CN"/>
              </w:rPr>
              <w:t>生活污水量较大，建议</w:t>
            </w:r>
            <w:r>
              <w:rPr>
                <w:rFonts w:hint="eastAsia" w:ascii="Times New Roman" w:hAnsi="Times New Roman"/>
                <w:color w:val="auto"/>
                <w:sz w:val="24"/>
                <w:szCs w:val="24"/>
                <w:highlight w:val="none"/>
                <w:vertAlign w:val="baseline"/>
                <w:lang w:val="en-US" w:eastAsia="zh-CN"/>
              </w:rPr>
              <w:t>厂区内建设污水处理站，对生活污水处理达标后回用。</w:t>
            </w:r>
          </w:p>
          <w:p>
            <w:pPr>
              <w:pStyle w:val="32"/>
              <w:numPr>
                <w:ilvl w:val="0"/>
                <w:numId w:val="5"/>
              </w:numPr>
              <w:spacing w:line="360" w:lineRule="auto"/>
              <w:ind w:firstLine="480" w:firstLineChars="200"/>
              <w:rPr>
                <w:rFonts w:hint="default"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项目产生的废催化剂等均属于危险废物，应暂存入危废暂存间，委托有资质单位处置。经现场查看，项目危废间建设不规范。</w:t>
            </w:r>
          </w:p>
          <w:p>
            <w:pPr>
              <w:pStyle w:val="32"/>
              <w:numPr>
                <w:ilvl w:val="-1"/>
                <w:numId w:val="0"/>
              </w:numPr>
              <w:spacing w:line="360" w:lineRule="auto"/>
              <w:ind w:firstLine="480" w:firstLineChars="200"/>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整改意见：</w:t>
            </w:r>
          </w:p>
          <w:p>
            <w:pPr>
              <w:pStyle w:val="32"/>
              <w:numPr>
                <w:ilvl w:val="-1"/>
                <w:numId w:val="0"/>
              </w:numPr>
              <w:spacing w:line="360" w:lineRule="auto"/>
              <w:ind w:firstLine="480" w:firstLineChars="200"/>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（1）建设单位应自建污水处理站，将生活污水处理达标后回用，不外排。</w:t>
            </w:r>
          </w:p>
          <w:p>
            <w:pPr>
              <w:pStyle w:val="32"/>
              <w:numPr>
                <w:ilvl w:val="-1"/>
                <w:numId w:val="0"/>
              </w:numPr>
              <w:spacing w:line="360" w:lineRule="auto"/>
              <w:ind w:firstLine="480" w:firstLineChars="200"/>
              <w:rPr>
                <w:rFonts w:hint="default"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（2）建设单位应参照《危险废物贮存污染控制标准》（GB18597-2001）要求，建设危废暂存间。</w:t>
            </w:r>
            <w:r>
              <w:rPr>
                <w:rFonts w:hint="eastAsia" w:ascii="Times New Roman" w:hAnsi="Times New Roman"/>
                <w:color w:val="auto"/>
                <w:sz w:val="24"/>
                <w:szCs w:val="24"/>
                <w:lang w:val="en-US" w:eastAsia="zh-CN"/>
              </w:rPr>
              <w:t>盛装危险废物的容器上必须黏贴符合标准规定的标志，地面与裙脚要用坚固、防渗的材料建造，用于存放装载液体、半固体危险废物容器的地方，必须有耐腐蚀的硬化地面，且表面无裂痕。</w:t>
            </w:r>
          </w:p>
          <w:p>
            <w:pPr>
              <w:pStyle w:val="2"/>
              <w:ind w:left="0" w:leftChars="0" w:firstLine="0" w:firstLineChars="0"/>
              <w:rPr>
                <w:rFonts w:hint="eastAsia"/>
                <w:color w:val="auto"/>
                <w:lang w:val="en-US" w:eastAsia="zh-CN"/>
              </w:rPr>
            </w:pPr>
          </w:p>
          <w:p>
            <w:pPr>
              <w:autoSpaceDE/>
              <w:autoSpaceDN/>
              <w:adjustRightInd/>
              <w:snapToGrid w:val="0"/>
              <w:spacing w:line="360" w:lineRule="auto"/>
              <w:ind w:firstLine="0" w:firstLineChars="0"/>
              <w:jc w:val="both"/>
              <w:outlineLvl w:val="9"/>
              <w:rPr>
                <w:rFonts w:hint="eastAsia" w:ascii="Times New Roman" w:hAnsi="Times New Roman" w:eastAsia="宋体"/>
                <w:color w:val="auto"/>
                <w:sz w:val="24"/>
                <w:szCs w:val="24"/>
                <w:highlight w:val="none"/>
                <w:vertAlign w:val="baseline"/>
                <w:lang w:val="en-US" w:eastAsia="zh-CN"/>
              </w:rPr>
            </w:pPr>
          </w:p>
          <w:p>
            <w:pPr>
              <w:pStyle w:val="2"/>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pStyle w:val="2"/>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pStyle w:val="2"/>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pStyle w:val="2"/>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pStyle w:val="2"/>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pStyle w:val="2"/>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pStyle w:val="2"/>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pStyle w:val="2"/>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rPr>
                <w:rFonts w:hint="eastAsia" w:ascii="Times New Roman" w:hAnsi="Times New Roman" w:eastAsia="宋体"/>
                <w:color w:val="auto"/>
                <w:sz w:val="24"/>
                <w:szCs w:val="24"/>
                <w:highlight w:val="none"/>
                <w:vertAlign w:val="baseline"/>
                <w:lang w:val="en-US" w:eastAsia="zh-CN"/>
              </w:rPr>
            </w:pPr>
          </w:p>
          <w:p>
            <w:pPr>
              <w:pStyle w:val="2"/>
              <w:rPr>
                <w:rFonts w:hint="eastAsia"/>
                <w:color w:val="auto"/>
                <w:lang w:val="en-US" w:eastAsia="zh-CN"/>
              </w:rPr>
            </w:pPr>
          </w:p>
          <w:p>
            <w:pPr>
              <w:autoSpaceDE/>
              <w:autoSpaceDN/>
              <w:adjustRightInd/>
              <w:snapToGrid w:val="0"/>
              <w:spacing w:line="360" w:lineRule="auto"/>
              <w:ind w:firstLine="480" w:firstLineChars="200"/>
              <w:jc w:val="both"/>
              <w:outlineLvl w:val="9"/>
              <w:rPr>
                <w:rFonts w:hint="default" w:ascii="Times New Roman" w:hAnsi="Times New Roman" w:eastAsia="宋体" w:cs="Times New Roman"/>
                <w:color w:val="auto"/>
                <w:kern w:val="0"/>
                <w:sz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二、建设项目所在地自然环境社会环境简况</w:t>
      </w:r>
    </w:p>
    <w:tbl>
      <w:tblPr>
        <w:tblStyle w:val="24"/>
        <w:tblW w:w="92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7" w:hRule="atLeast"/>
          <w:jc w:val="center"/>
        </w:trPr>
        <w:tc>
          <w:tcPr>
            <w:tcW w:w="9290" w:type="dxa"/>
            <w:tcBorders>
              <w:top w:val="single" w:color="auto" w:sz="8" w:space="0"/>
              <w:left w:val="single" w:color="auto" w:sz="8" w:space="0"/>
              <w:bottom w:val="single" w:color="auto" w:sz="6" w:space="0"/>
              <w:right w:val="single" w:color="auto" w:sz="8" w:space="0"/>
            </w:tcBorders>
            <w:noWrap w:val="0"/>
            <w:vAlign w:val="top"/>
          </w:tcPr>
          <w:p>
            <w:pPr>
              <w:pageBreakBefore w:val="0"/>
              <w:widowControl w:val="0"/>
              <w:kinsoku/>
              <w:wordWrap/>
              <w:overflowPunct/>
              <w:topLinePunct w:val="0"/>
              <w:autoSpaceDE/>
              <w:autoSpaceDN/>
              <w:bidi w:val="0"/>
              <w:adjustRightInd/>
              <w:snapToGrid/>
              <w:spacing w:beforeLines="0" w:afterLines="0" w:line="360" w:lineRule="auto"/>
              <w:ind w:left="0" w:leftChars="0"/>
              <w:jc w:val="both"/>
              <w:textAlignment w:val="auto"/>
              <w:rPr>
                <w:rFonts w:ascii="Times New Roman" w:hAnsi="Times New Roman" w:eastAsia="宋体"/>
                <w:b/>
                <w:color w:val="auto"/>
                <w:kern w:val="0"/>
                <w:sz w:val="28"/>
                <w:szCs w:val="28"/>
                <w:highlight w:val="none"/>
              </w:rPr>
            </w:pPr>
            <w:r>
              <w:rPr>
                <w:rFonts w:ascii="Times New Roman" w:hAnsi="Times New Roman" w:eastAsia="宋体"/>
                <w:b/>
                <w:color w:val="auto"/>
                <w:kern w:val="0"/>
                <w:sz w:val="28"/>
                <w:szCs w:val="28"/>
                <w:highlight w:val="none"/>
              </w:rPr>
              <w:t>自然环境简况(地形、地貌、地质、气候、气象、水文、植被、生物多样性等)：</w:t>
            </w:r>
          </w:p>
          <w:p>
            <w:pPr>
              <w:pageBreakBefore w:val="0"/>
              <w:widowControl w:val="0"/>
              <w:numPr>
                <w:ilvl w:val="0"/>
                <w:numId w:val="6"/>
              </w:numPr>
              <w:kinsoku/>
              <w:wordWrap/>
              <w:overflowPunct/>
              <w:topLinePunct w:val="0"/>
              <w:autoSpaceDE/>
              <w:autoSpaceDN/>
              <w:bidi w:val="0"/>
              <w:adjustRightInd/>
              <w:snapToGrid/>
              <w:spacing w:beforeLines="0" w:afterLines="0" w:line="360" w:lineRule="auto"/>
              <w:ind w:left="0" w:leftChars="0"/>
              <w:jc w:val="both"/>
              <w:textAlignment w:val="auto"/>
              <w:rPr>
                <w:rFonts w:ascii="Times New Roman" w:hAnsi="Times New Roman" w:eastAsia="宋体"/>
                <w:b/>
                <w:bCs/>
                <w:color w:val="auto"/>
                <w:sz w:val="24"/>
              </w:rPr>
            </w:pPr>
            <w:bookmarkStart w:id="2" w:name="_Toc103741282"/>
            <w:bookmarkStart w:id="3" w:name="_Toc103759373"/>
            <w:bookmarkStart w:id="4" w:name="_Toc103741658"/>
            <w:r>
              <w:rPr>
                <w:rFonts w:ascii="Times New Roman" w:hAnsi="Times New Roman" w:eastAsia="宋体"/>
                <w:b/>
                <w:bCs/>
                <w:color w:val="auto"/>
                <w:sz w:val="24"/>
              </w:rPr>
              <w:t>地理位置</w:t>
            </w:r>
            <w:bookmarkEnd w:id="2"/>
            <w:bookmarkEnd w:id="3"/>
            <w:bookmarkEnd w:id="4"/>
          </w:p>
          <w:p>
            <w:pPr>
              <w:spacing w:line="360" w:lineRule="auto"/>
              <w:ind w:firstLine="480" w:firstLineChars="200"/>
              <w:rPr>
                <w:rFonts w:hint="default" w:ascii="Times New Roman" w:hAnsi="Times New Roman" w:eastAsia="宋体"/>
                <w:color w:val="auto"/>
                <w:sz w:val="24"/>
                <w:szCs w:val="22"/>
              </w:rPr>
            </w:pPr>
            <w:bookmarkStart w:id="5" w:name="_Toc103759374"/>
            <w:bookmarkStart w:id="6" w:name="_Toc103741283"/>
            <w:bookmarkStart w:id="7" w:name="_Toc103741659"/>
            <w:r>
              <w:rPr>
                <w:rFonts w:hint="default" w:ascii="Times New Roman" w:hAnsi="Times New Roman" w:eastAsia="宋体"/>
                <w:color w:val="auto"/>
                <w:sz w:val="24"/>
                <w:szCs w:val="22"/>
              </w:rPr>
              <w:t>济南市钢城区地处鲁中腹地，北、西两面接莱城区，南邻新泰市，东邻沂源县。地貌单元由南至北为剥蚀成因的残丘和冲积而成的平原。境内气候属于暖温带大陆性季风气候，四季分明。辖</w:t>
            </w:r>
            <w:r>
              <w:rPr>
                <w:rFonts w:hint="eastAsia"/>
                <w:color w:val="auto"/>
                <w:sz w:val="24"/>
                <w:szCs w:val="22"/>
                <w:lang w:val="en-US" w:eastAsia="zh-CN"/>
              </w:rPr>
              <w:t>5</w:t>
            </w:r>
            <w:r>
              <w:rPr>
                <w:rFonts w:hint="default" w:ascii="Times New Roman" w:hAnsi="Times New Roman" w:eastAsia="宋体"/>
                <w:color w:val="auto"/>
                <w:sz w:val="24"/>
                <w:szCs w:val="22"/>
              </w:rPr>
              <w:t>个街道。截至</w:t>
            </w:r>
            <w:r>
              <w:rPr>
                <w:rFonts w:ascii="Times New Roman" w:hAnsi="Times New Roman" w:eastAsia="宋体"/>
                <w:color w:val="auto"/>
                <w:sz w:val="24"/>
                <w:szCs w:val="22"/>
              </w:rPr>
              <w:t>2015</w:t>
            </w:r>
            <w:r>
              <w:rPr>
                <w:rFonts w:hint="default" w:ascii="Times New Roman" w:hAnsi="Times New Roman" w:eastAsia="宋体"/>
                <w:color w:val="auto"/>
                <w:sz w:val="24"/>
                <w:szCs w:val="22"/>
              </w:rPr>
              <w:t>年底，全区户籍人口</w:t>
            </w:r>
            <w:r>
              <w:rPr>
                <w:rFonts w:ascii="Times New Roman" w:hAnsi="Times New Roman" w:eastAsia="宋体"/>
                <w:color w:val="auto"/>
                <w:sz w:val="24"/>
                <w:szCs w:val="22"/>
              </w:rPr>
              <w:t>321627</w:t>
            </w:r>
            <w:r>
              <w:rPr>
                <w:rFonts w:hint="default" w:ascii="Times New Roman" w:hAnsi="Times New Roman" w:eastAsia="宋体"/>
                <w:color w:val="auto"/>
                <w:sz w:val="24"/>
                <w:szCs w:val="22"/>
              </w:rPr>
              <w:t>人，总面积</w:t>
            </w:r>
            <w:r>
              <w:rPr>
                <w:rFonts w:ascii="Times New Roman" w:hAnsi="Times New Roman" w:eastAsia="宋体"/>
                <w:color w:val="auto"/>
                <w:sz w:val="24"/>
                <w:szCs w:val="22"/>
              </w:rPr>
              <w:t>507</w:t>
            </w:r>
            <w:r>
              <w:rPr>
                <w:rFonts w:hint="default" w:ascii="Times New Roman" w:hAnsi="Times New Roman" w:eastAsia="宋体"/>
                <w:color w:val="auto"/>
                <w:sz w:val="24"/>
                <w:szCs w:val="22"/>
              </w:rPr>
              <w:t>平方公里。</w:t>
            </w:r>
          </w:p>
          <w:p>
            <w:pPr>
              <w:keepNext/>
              <w:keepLines/>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ascii="Times New Roman" w:hAnsi="Times New Roman" w:eastAsia="宋体"/>
                <w:bCs w:val="0"/>
                <w:color w:val="auto"/>
                <w:sz w:val="24"/>
                <w:szCs w:val="22"/>
              </w:rPr>
            </w:pPr>
            <w:r>
              <w:rPr>
                <w:rFonts w:hint="default" w:ascii="Times New Roman" w:hAnsi="Times New Roman" w:eastAsia="宋体" w:cs="Times New Roman"/>
                <w:color w:val="auto"/>
                <w:sz w:val="24"/>
                <w:szCs w:val="22"/>
              </w:rPr>
              <w:t>济南市钢城区地理位置优越，交通网络发达，南接京沪高速，北接济青高速，西临京沪铁路，境内辛泰铁路（辛店</w:t>
            </w:r>
            <w:r>
              <w:rPr>
                <w:rFonts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rPr>
              <w:t>泰安）横贯东西，交通便利，区位优势明显，位于山东省的地理几何中心，</w:t>
            </w:r>
            <w:r>
              <w:rPr>
                <w:rFonts w:ascii="Times New Roman" w:hAnsi="Times New Roman" w:eastAsia="宋体" w:cs="Times New Roman"/>
                <w:color w:val="auto"/>
                <w:sz w:val="24"/>
                <w:szCs w:val="22"/>
              </w:rPr>
              <w:t>4</w:t>
            </w:r>
            <w:r>
              <w:rPr>
                <w:rFonts w:hint="default" w:ascii="Times New Roman" w:hAnsi="Times New Roman" w:eastAsia="宋体" w:cs="Times New Roman"/>
                <w:color w:val="auto"/>
                <w:sz w:val="24"/>
                <w:szCs w:val="22"/>
              </w:rPr>
              <w:t>条高速公路穿境而过，其中有</w:t>
            </w:r>
            <w:r>
              <w:rPr>
                <w:rFonts w:ascii="Times New Roman" w:hAnsi="Times New Roman" w:eastAsia="宋体" w:cs="Times New Roman"/>
                <w:color w:val="auto"/>
                <w:sz w:val="24"/>
                <w:szCs w:val="22"/>
              </w:rPr>
              <w:t>3</w:t>
            </w:r>
            <w:r>
              <w:rPr>
                <w:rFonts w:hint="default" w:ascii="Times New Roman" w:hAnsi="Times New Roman" w:eastAsia="宋体" w:cs="Times New Roman"/>
                <w:color w:val="auto"/>
                <w:sz w:val="24"/>
                <w:szCs w:val="22"/>
              </w:rPr>
              <w:t>条分别与京沪、京福和济青相连；</w:t>
            </w:r>
            <w:r>
              <w:rPr>
                <w:rFonts w:ascii="Times New Roman" w:hAnsi="Times New Roman" w:eastAsia="宋体" w:cs="Times New Roman"/>
                <w:color w:val="auto"/>
                <w:sz w:val="24"/>
                <w:szCs w:val="22"/>
              </w:rPr>
              <w:t>2</w:t>
            </w:r>
            <w:r>
              <w:rPr>
                <w:rFonts w:hint="default" w:ascii="Times New Roman" w:hAnsi="Times New Roman" w:eastAsia="宋体" w:cs="Times New Roman"/>
                <w:color w:val="auto"/>
                <w:sz w:val="24"/>
                <w:szCs w:val="22"/>
              </w:rPr>
              <w:t>条铁路在境内交汇，与京沪、胶济铁路相连；</w:t>
            </w:r>
            <w:r>
              <w:rPr>
                <w:rFonts w:ascii="Times New Roman" w:hAnsi="Times New Roman" w:eastAsia="宋体" w:cs="Times New Roman"/>
                <w:color w:val="auto"/>
                <w:sz w:val="24"/>
                <w:szCs w:val="22"/>
              </w:rPr>
              <w:t>30min</w:t>
            </w:r>
            <w:r>
              <w:rPr>
                <w:rFonts w:hint="default" w:ascii="Times New Roman" w:hAnsi="Times New Roman" w:eastAsia="宋体" w:cs="Times New Roman"/>
                <w:color w:val="auto"/>
                <w:sz w:val="24"/>
                <w:szCs w:val="22"/>
              </w:rPr>
              <w:t>可以到达泰山，距济南国际机场仅</w:t>
            </w:r>
            <w:r>
              <w:rPr>
                <w:rFonts w:ascii="Times New Roman" w:hAnsi="Times New Roman" w:eastAsia="宋体" w:cs="Times New Roman"/>
                <w:color w:val="auto"/>
                <w:sz w:val="24"/>
                <w:szCs w:val="22"/>
              </w:rPr>
              <w:t>80km</w:t>
            </w:r>
            <w:r>
              <w:rPr>
                <w:rFonts w:hint="default" w:ascii="Times New Roman" w:hAnsi="Times New Roman" w:eastAsia="宋体" w:cs="Times New Roman"/>
                <w:color w:val="auto"/>
                <w:sz w:val="24"/>
                <w:szCs w:val="22"/>
              </w:rPr>
              <w:t>，</w:t>
            </w:r>
            <w:r>
              <w:rPr>
                <w:rFonts w:ascii="Times New Roman" w:hAnsi="Times New Roman" w:eastAsia="宋体" w:cs="Times New Roman"/>
                <w:color w:val="auto"/>
                <w:sz w:val="24"/>
                <w:szCs w:val="22"/>
              </w:rPr>
              <w:t>40min</w:t>
            </w:r>
            <w:r>
              <w:rPr>
                <w:rFonts w:hint="default" w:ascii="Times New Roman" w:hAnsi="Times New Roman" w:eastAsia="宋体" w:cs="Times New Roman"/>
                <w:color w:val="auto"/>
                <w:sz w:val="24"/>
                <w:szCs w:val="22"/>
              </w:rPr>
              <w:t>即可到达，济南</w:t>
            </w:r>
            <w:r>
              <w:rPr>
                <w:rFonts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rPr>
              <w:t>莱芜城际轻轨正在规划建设，通车后济南至莱芜可缩短为</w:t>
            </w:r>
            <w:r>
              <w:rPr>
                <w:rFonts w:ascii="Times New Roman" w:hAnsi="Times New Roman" w:eastAsia="宋体" w:cs="Times New Roman"/>
                <w:color w:val="auto"/>
                <w:sz w:val="24"/>
                <w:szCs w:val="22"/>
              </w:rPr>
              <w:t>20min</w:t>
            </w:r>
            <w:r>
              <w:rPr>
                <w:rFonts w:hint="default" w:ascii="Times New Roman" w:hAnsi="Times New Roman" w:eastAsia="宋体" w:cs="Times New Roman"/>
                <w:color w:val="auto"/>
                <w:sz w:val="24"/>
                <w:szCs w:val="22"/>
              </w:rPr>
              <w:t>，到达开放港口青岛仅需</w:t>
            </w:r>
            <w:r>
              <w:rPr>
                <w:rFonts w:ascii="Times New Roman" w:hAnsi="Times New Roman" w:eastAsia="宋体" w:cs="Times New Roman"/>
                <w:color w:val="auto"/>
                <w:sz w:val="24"/>
                <w:szCs w:val="22"/>
              </w:rPr>
              <w:t>2h</w:t>
            </w:r>
            <w:r>
              <w:rPr>
                <w:rFonts w:ascii="Times New Roman" w:hAnsi="Times New Roman" w:eastAsia="宋体"/>
                <w:bCs w:val="0"/>
                <w:color w:val="auto"/>
                <w:sz w:val="24"/>
                <w:szCs w:val="22"/>
              </w:rPr>
              <w:t>。</w:t>
            </w:r>
          </w:p>
          <w:p>
            <w:pPr>
              <w:keepNext/>
              <w:keepLines/>
              <w:pageBreakBefore w:val="0"/>
              <w:widowControl w:val="0"/>
              <w:numPr>
                <w:ilvl w:val="0"/>
                <w:numId w:val="6"/>
              </w:numPr>
              <w:kinsoku/>
              <w:wordWrap/>
              <w:overflowPunct/>
              <w:topLinePunct w:val="0"/>
              <w:autoSpaceDE/>
              <w:autoSpaceDN/>
              <w:bidi w:val="0"/>
              <w:adjustRightInd/>
              <w:snapToGrid/>
              <w:spacing w:beforeLines="0" w:afterLines="0" w:line="360" w:lineRule="auto"/>
              <w:ind w:left="0" w:leftChars="0" w:firstLine="0" w:firstLineChars="0"/>
              <w:jc w:val="both"/>
              <w:textAlignment w:val="auto"/>
              <w:rPr>
                <w:rFonts w:ascii="Times New Roman" w:hAnsi="Times New Roman" w:eastAsia="宋体"/>
                <w:b/>
                <w:bCs/>
                <w:color w:val="auto"/>
                <w:sz w:val="24"/>
              </w:rPr>
            </w:pPr>
            <w:r>
              <w:rPr>
                <w:rFonts w:ascii="Times New Roman" w:hAnsi="Times New Roman" w:eastAsia="宋体"/>
                <w:b/>
                <w:bCs/>
                <w:color w:val="auto"/>
                <w:sz w:val="24"/>
              </w:rPr>
              <w:t>地形地貌</w:t>
            </w:r>
            <w:bookmarkEnd w:id="5"/>
            <w:bookmarkEnd w:id="6"/>
            <w:bookmarkEnd w:id="7"/>
          </w:p>
          <w:p>
            <w:pPr>
              <w:pStyle w:val="12"/>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ascii="Times New Roman" w:hAnsi="Times New Roman" w:eastAsia="宋体"/>
                <w:color w:val="auto"/>
                <w:sz w:val="24"/>
              </w:rPr>
            </w:pPr>
            <w:r>
              <w:rPr>
                <w:rFonts w:hint="eastAsia" w:ascii="Times New Roman" w:hAnsi="Times New Roman"/>
                <w:color w:val="auto"/>
                <w:sz w:val="24"/>
              </w:rPr>
              <w:t>钢城区境内出露地层由老到新依次为寒武系、奥陶系、石炭系、二叠系、白垩系和第四系。地质构造属鲁西弧形构造体系的一部分，以断裂为主，褶皱次之。主要断裂构造有清泥沟断裂、里辛——郑王庄断裂、西冶断裂。除上述断裂之外，区内小断裂发育主要有</w:t>
            </w:r>
            <w:r>
              <w:rPr>
                <w:rFonts w:ascii="Times New Roman" w:hAnsi="Times New Roman"/>
                <w:color w:val="auto"/>
                <w:sz w:val="24"/>
              </w:rPr>
              <w:t>NE</w:t>
            </w:r>
            <w:r>
              <w:rPr>
                <w:rFonts w:hint="eastAsia" w:ascii="Times New Roman" w:hAnsi="Times New Roman"/>
                <w:color w:val="auto"/>
                <w:sz w:val="24"/>
              </w:rPr>
              <w:t>、</w:t>
            </w:r>
            <w:r>
              <w:rPr>
                <w:rFonts w:ascii="Times New Roman" w:hAnsi="Times New Roman"/>
                <w:color w:val="auto"/>
                <w:sz w:val="24"/>
              </w:rPr>
              <w:t>NW</w:t>
            </w:r>
            <w:r>
              <w:rPr>
                <w:rFonts w:hint="eastAsia" w:ascii="Times New Roman" w:hAnsi="Times New Roman"/>
                <w:color w:val="auto"/>
                <w:sz w:val="24"/>
              </w:rPr>
              <w:t>、</w:t>
            </w:r>
            <w:r>
              <w:rPr>
                <w:rFonts w:ascii="Times New Roman" w:hAnsi="Times New Roman"/>
                <w:color w:val="auto"/>
                <w:sz w:val="24"/>
              </w:rPr>
              <w:t>NNW</w:t>
            </w:r>
            <w:r>
              <w:rPr>
                <w:rFonts w:hint="eastAsia" w:ascii="Times New Roman" w:hAnsi="Times New Roman"/>
                <w:color w:val="auto"/>
                <w:sz w:val="24"/>
              </w:rPr>
              <w:t>及近</w:t>
            </w:r>
            <w:r>
              <w:rPr>
                <w:rFonts w:ascii="Times New Roman" w:hAnsi="Times New Roman"/>
                <w:color w:val="auto"/>
                <w:sz w:val="24"/>
              </w:rPr>
              <w:t>EW</w:t>
            </w:r>
            <w:r>
              <w:rPr>
                <w:rFonts w:hint="eastAsia" w:ascii="Times New Roman" w:hAnsi="Times New Roman"/>
                <w:color w:val="auto"/>
                <w:sz w:val="24"/>
              </w:rPr>
              <w:t>向发育。几条主要断裂的切割、错动，构成东泉断块、清泥沟断块和丈八丘断块</w:t>
            </w:r>
            <w:r>
              <w:rPr>
                <w:rFonts w:ascii="Times New Roman" w:hAnsi="Times New Roman"/>
                <w:color w:val="auto"/>
                <w:sz w:val="24"/>
              </w:rPr>
              <w:t>3</w:t>
            </w:r>
            <w:r>
              <w:rPr>
                <w:rFonts w:hint="eastAsia" w:ascii="Times New Roman" w:hAnsi="Times New Roman"/>
                <w:color w:val="auto"/>
                <w:sz w:val="24"/>
              </w:rPr>
              <w:t>个断块，每个断块均为各自独立的水文地质单元。地势南陡北缓，东高西低，呈向西北方向敞开的扇形地貌。东、南、西三面环山，沟壑纵横，牟汶河及其支流流向以东南向西北为主，地貌单元由南至北为剥蚀成因的残丘和冲积而成的平原。具体分为低山丘陵、岭坡梯田、山前阶地、河谷平原</w:t>
            </w:r>
            <w:r>
              <w:rPr>
                <w:rFonts w:ascii="Times New Roman" w:hAnsi="Times New Roman"/>
                <w:color w:val="auto"/>
                <w:sz w:val="24"/>
              </w:rPr>
              <w:t>4</w:t>
            </w:r>
            <w:r>
              <w:rPr>
                <w:rFonts w:hint="eastAsia" w:ascii="Times New Roman" w:hAnsi="Times New Roman"/>
                <w:color w:val="auto"/>
                <w:sz w:val="24"/>
              </w:rPr>
              <w:t>个微地貌单元</w:t>
            </w:r>
            <w:r>
              <w:rPr>
                <w:rFonts w:ascii="Times New Roman" w:hAnsi="Times New Roman" w:eastAsia="宋体"/>
                <w:color w:val="auto"/>
                <w:sz w:val="24"/>
              </w:rPr>
              <w:t>。</w:t>
            </w:r>
          </w:p>
          <w:p>
            <w:pPr>
              <w:keepNext/>
              <w:keepLines/>
              <w:pageBreakBefore w:val="0"/>
              <w:widowControl w:val="0"/>
              <w:numPr>
                <w:ilvl w:val="0"/>
                <w:numId w:val="6"/>
              </w:numPr>
              <w:kinsoku/>
              <w:wordWrap/>
              <w:overflowPunct/>
              <w:topLinePunct w:val="0"/>
              <w:autoSpaceDE/>
              <w:autoSpaceDN/>
              <w:bidi w:val="0"/>
              <w:adjustRightInd/>
              <w:snapToGrid/>
              <w:spacing w:beforeLines="0" w:afterLines="0" w:line="360" w:lineRule="auto"/>
              <w:ind w:left="0" w:leftChars="0" w:firstLine="0" w:firstLineChars="0"/>
              <w:jc w:val="both"/>
              <w:textAlignment w:val="auto"/>
              <w:rPr>
                <w:rFonts w:ascii="Times New Roman" w:hAnsi="Times New Roman" w:eastAsia="宋体"/>
                <w:b/>
                <w:bCs/>
                <w:color w:val="auto"/>
                <w:sz w:val="24"/>
              </w:rPr>
            </w:pPr>
            <w:bookmarkStart w:id="8" w:name="_Toc103759375"/>
            <w:bookmarkStart w:id="9" w:name="_Toc103741284"/>
            <w:bookmarkStart w:id="10" w:name="_Toc103741660"/>
            <w:r>
              <w:rPr>
                <w:rFonts w:ascii="Times New Roman" w:hAnsi="Times New Roman" w:eastAsia="宋体"/>
                <w:b/>
                <w:bCs/>
                <w:color w:val="auto"/>
                <w:sz w:val="24"/>
              </w:rPr>
              <w:t>气候状况</w:t>
            </w:r>
            <w:bookmarkEnd w:id="8"/>
            <w:bookmarkEnd w:id="9"/>
            <w:bookmarkEnd w:id="10"/>
          </w:p>
          <w:p>
            <w:pPr>
              <w:pStyle w:val="32"/>
              <w:autoSpaceDE/>
              <w:autoSpaceDN/>
              <w:adjustRightInd/>
              <w:spacing w:line="360" w:lineRule="auto"/>
              <w:ind w:firstLine="480" w:firstLineChars="200"/>
              <w:jc w:val="both"/>
              <w:rPr>
                <w:rFonts w:ascii="Times New Roman" w:cs="Times New Roman"/>
                <w:color w:val="auto"/>
                <w:szCs w:val="23"/>
              </w:rPr>
            </w:pPr>
            <w:r>
              <w:rPr>
                <w:rFonts w:hint="eastAsia" w:ascii="Times New Roman" w:cs="Times New Roman"/>
                <w:color w:val="auto"/>
                <w:szCs w:val="23"/>
              </w:rPr>
              <w:t>项目区域大陆度为</w:t>
            </w:r>
            <w:r>
              <w:rPr>
                <w:rFonts w:ascii="Times New Roman" w:cs="Times New Roman"/>
                <w:color w:val="auto"/>
                <w:szCs w:val="23"/>
              </w:rPr>
              <w:t>65.9%</w:t>
            </w:r>
            <w:r>
              <w:rPr>
                <w:rFonts w:hint="eastAsia" w:ascii="Times New Roman" w:cs="Times New Roman"/>
                <w:color w:val="auto"/>
                <w:szCs w:val="23"/>
              </w:rPr>
              <w:t>，属暖温带大陆性流域推进，而且稳定并分裂为小高压控制本季风气候，冬冷夏热，四季分明。</w:t>
            </w:r>
          </w:p>
          <w:p>
            <w:pPr>
              <w:pStyle w:val="32"/>
              <w:autoSpaceDE/>
              <w:autoSpaceDN/>
              <w:adjustRightInd/>
              <w:spacing w:line="360" w:lineRule="auto"/>
              <w:ind w:firstLine="480" w:firstLineChars="200"/>
              <w:jc w:val="both"/>
              <w:rPr>
                <w:rFonts w:ascii="Times New Roman" w:cs="Times New Roman"/>
                <w:color w:val="auto"/>
                <w:szCs w:val="23"/>
              </w:rPr>
            </w:pPr>
            <w:r>
              <w:rPr>
                <w:rFonts w:hint="eastAsia" w:ascii="Times New Roman" w:cs="Times New Roman"/>
                <w:color w:val="auto"/>
                <w:szCs w:val="23"/>
              </w:rPr>
              <w:t>气</w:t>
            </w:r>
            <w:r>
              <w:rPr>
                <w:rFonts w:ascii="Times New Roman" w:cs="Times New Roman"/>
                <w:color w:val="auto"/>
                <w:szCs w:val="23"/>
              </w:rPr>
              <w:t>温：境内年平均气温在11.0~13.0℃之间，南部高于北部，中部高于东部和西部，东北部和西北部山区较低。年平均最高气温为18.60℃，7月份最高，为30.9度，极端最高为39.2℃；1月份最低，为8.1℃，极端最低为-22.5℃。</w:t>
            </w:r>
          </w:p>
          <w:p>
            <w:pPr>
              <w:pStyle w:val="32"/>
              <w:autoSpaceDE/>
              <w:autoSpaceDN/>
              <w:adjustRightInd/>
              <w:spacing w:line="360" w:lineRule="auto"/>
              <w:ind w:firstLine="480" w:firstLineChars="200"/>
              <w:jc w:val="both"/>
              <w:rPr>
                <w:rFonts w:ascii="Times New Roman" w:cs="Times New Roman"/>
                <w:color w:val="auto"/>
                <w:szCs w:val="23"/>
              </w:rPr>
            </w:pPr>
            <w:r>
              <w:rPr>
                <w:rFonts w:ascii="Times New Roman" w:cs="Times New Roman"/>
                <w:color w:val="auto"/>
                <w:szCs w:val="23"/>
              </w:rPr>
              <w:t>日照：境内全年光照时数平均为2629.2小时，光照率59%。5月份最多，平均274.4小时；12月份最少，平均181.9小时。平均每天光照7.2小时，最长13.8小时。</w:t>
            </w:r>
          </w:p>
          <w:p>
            <w:pPr>
              <w:pStyle w:val="32"/>
              <w:autoSpaceDE/>
              <w:autoSpaceDN/>
              <w:adjustRightInd/>
              <w:spacing w:line="360" w:lineRule="auto"/>
              <w:ind w:firstLine="480" w:firstLineChars="200"/>
              <w:jc w:val="both"/>
              <w:rPr>
                <w:rFonts w:ascii="Times New Roman" w:cs="Times New Roman"/>
                <w:color w:val="auto"/>
                <w:szCs w:val="23"/>
              </w:rPr>
            </w:pPr>
            <w:r>
              <w:rPr>
                <w:rFonts w:ascii="Times New Roman" w:cs="Times New Roman"/>
                <w:color w:val="auto"/>
                <w:szCs w:val="23"/>
              </w:rPr>
              <w:t>降水：境内平均年降水量731.2mm。7月份最多，为244.8mm；1月份最少，为7.5mm。年降水量北部山区最多，为750.2mm；南部山区次多，为749.6mm；东北部山丘地区最少，为673.7mm；西部平原及长埠岭次少，在676.4mm以下</w:t>
            </w:r>
            <w:r>
              <w:rPr>
                <w:rFonts w:hint="eastAsia" w:ascii="Times New Roman" w:cs="Times New Roman"/>
                <w:color w:val="auto"/>
                <w:szCs w:val="23"/>
              </w:rPr>
              <w:t>。</w:t>
            </w:r>
          </w:p>
          <w:p>
            <w:pPr>
              <w:pStyle w:val="12"/>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ascii="Times New Roman" w:hAnsi="Times New Roman" w:eastAsia="宋体"/>
                <w:color w:val="auto"/>
                <w:sz w:val="24"/>
              </w:rPr>
            </w:pPr>
            <w:r>
              <w:rPr>
                <w:rFonts w:hint="eastAsia"/>
                <w:color w:val="auto"/>
                <w:sz w:val="24"/>
                <w:szCs w:val="23"/>
              </w:rPr>
              <w:t>风：境内春末夏初多偏南大风，夏季多雷雨大风，冬季多偏北大风。偏南大风主要发生在</w:t>
            </w:r>
            <w:r>
              <w:rPr>
                <w:color w:val="auto"/>
                <w:sz w:val="24"/>
                <w:szCs w:val="23"/>
              </w:rPr>
              <w:t>5</w:t>
            </w:r>
            <w:r>
              <w:rPr>
                <w:rFonts w:hint="eastAsia"/>
                <w:color w:val="auto"/>
                <w:sz w:val="24"/>
                <w:szCs w:val="23"/>
              </w:rPr>
              <w:t>月中旬</w:t>
            </w:r>
            <w:r>
              <w:rPr>
                <w:color w:val="auto"/>
                <w:sz w:val="24"/>
                <w:szCs w:val="23"/>
              </w:rPr>
              <w:t>-6</w:t>
            </w:r>
            <w:r>
              <w:rPr>
                <w:rFonts w:hint="eastAsia"/>
                <w:color w:val="auto"/>
                <w:sz w:val="24"/>
                <w:szCs w:val="23"/>
              </w:rPr>
              <w:t>月上旬，有明显的日变化，风速以午后最大，一般</w:t>
            </w:r>
            <w:r>
              <w:rPr>
                <w:color w:val="auto"/>
                <w:sz w:val="24"/>
                <w:szCs w:val="23"/>
              </w:rPr>
              <w:t>5</w:t>
            </w:r>
            <w:r>
              <w:rPr>
                <w:rFonts w:hint="eastAsia"/>
                <w:color w:val="auto"/>
                <w:sz w:val="24"/>
                <w:szCs w:val="23"/>
              </w:rPr>
              <w:t>~</w:t>
            </w:r>
            <w:r>
              <w:rPr>
                <w:color w:val="auto"/>
                <w:sz w:val="24"/>
                <w:szCs w:val="23"/>
              </w:rPr>
              <w:t>6</w:t>
            </w:r>
            <w:r>
              <w:rPr>
                <w:rFonts w:hint="eastAsia"/>
                <w:color w:val="auto"/>
                <w:sz w:val="24"/>
                <w:szCs w:val="23"/>
              </w:rPr>
              <w:t>级，且具有阵性。雷雨大风产生于小尺度天气系统，风向不定，强雷暴多伴有大风，少数还带有龙卷风，但时间短促，一般只有几分钟。偏北大风伴随强冷锋过境而产生，持续时间长，风力一般</w:t>
            </w:r>
            <w:r>
              <w:rPr>
                <w:color w:val="auto"/>
                <w:sz w:val="24"/>
                <w:szCs w:val="23"/>
              </w:rPr>
              <w:t>6</w:t>
            </w:r>
            <w:r>
              <w:rPr>
                <w:rFonts w:hint="eastAsia"/>
                <w:color w:val="auto"/>
                <w:sz w:val="24"/>
                <w:szCs w:val="23"/>
              </w:rPr>
              <w:t>~</w:t>
            </w:r>
            <w:r>
              <w:rPr>
                <w:color w:val="auto"/>
                <w:sz w:val="24"/>
                <w:szCs w:val="23"/>
              </w:rPr>
              <w:t>7</w:t>
            </w:r>
            <w:r>
              <w:rPr>
                <w:rFonts w:hint="eastAsia"/>
                <w:color w:val="auto"/>
                <w:sz w:val="24"/>
                <w:szCs w:val="23"/>
              </w:rPr>
              <w:t>级，多产生在冬季。干热风多发生在</w:t>
            </w:r>
            <w:r>
              <w:rPr>
                <w:color w:val="auto"/>
                <w:sz w:val="24"/>
                <w:szCs w:val="23"/>
              </w:rPr>
              <w:t>5</w:t>
            </w:r>
            <w:r>
              <w:rPr>
                <w:rFonts w:hint="eastAsia"/>
                <w:color w:val="auto"/>
                <w:sz w:val="24"/>
                <w:szCs w:val="23"/>
              </w:rPr>
              <w:t>月中旬~</w:t>
            </w:r>
            <w:r>
              <w:rPr>
                <w:color w:val="auto"/>
                <w:sz w:val="24"/>
                <w:szCs w:val="23"/>
              </w:rPr>
              <w:t>6</w:t>
            </w:r>
            <w:r>
              <w:rPr>
                <w:rFonts w:hint="eastAsia"/>
                <w:color w:val="auto"/>
                <w:sz w:val="24"/>
                <w:szCs w:val="23"/>
              </w:rPr>
              <w:t>月上旬。轻干热风日，平均每年</w:t>
            </w:r>
            <w:r>
              <w:rPr>
                <w:color w:val="auto"/>
                <w:sz w:val="24"/>
                <w:szCs w:val="23"/>
              </w:rPr>
              <w:t>2.6</w:t>
            </w:r>
            <w:r>
              <w:rPr>
                <w:rFonts w:hint="eastAsia"/>
                <w:color w:val="auto"/>
                <w:sz w:val="24"/>
                <w:szCs w:val="23"/>
              </w:rPr>
              <w:t>天；重干热风日，约</w:t>
            </w:r>
            <w:r>
              <w:rPr>
                <w:color w:val="auto"/>
                <w:sz w:val="24"/>
                <w:szCs w:val="23"/>
              </w:rPr>
              <w:t>5</w:t>
            </w:r>
            <w:r>
              <w:rPr>
                <w:rFonts w:hint="eastAsia"/>
                <w:color w:val="auto"/>
                <w:sz w:val="24"/>
                <w:szCs w:val="23"/>
              </w:rPr>
              <w:t>年</w:t>
            </w:r>
            <w:r>
              <w:rPr>
                <w:color w:val="auto"/>
                <w:sz w:val="24"/>
                <w:szCs w:val="23"/>
              </w:rPr>
              <w:t>2</w:t>
            </w:r>
            <w:r>
              <w:rPr>
                <w:rFonts w:hint="eastAsia"/>
                <w:color w:val="auto"/>
                <w:sz w:val="24"/>
                <w:szCs w:val="23"/>
              </w:rPr>
              <w:t>遇，最多年份达</w:t>
            </w:r>
            <w:r>
              <w:rPr>
                <w:color w:val="auto"/>
                <w:sz w:val="24"/>
                <w:szCs w:val="23"/>
              </w:rPr>
              <w:t>3</w:t>
            </w:r>
            <w:r>
              <w:rPr>
                <w:rFonts w:hint="eastAsia"/>
                <w:color w:val="auto"/>
                <w:sz w:val="24"/>
                <w:szCs w:val="23"/>
              </w:rPr>
              <w:t>天，集中出现在</w:t>
            </w:r>
            <w:r>
              <w:rPr>
                <w:color w:val="auto"/>
                <w:sz w:val="24"/>
                <w:szCs w:val="23"/>
              </w:rPr>
              <w:t>6</w:t>
            </w:r>
            <w:r>
              <w:rPr>
                <w:rFonts w:hint="eastAsia"/>
                <w:color w:val="auto"/>
                <w:sz w:val="24"/>
                <w:szCs w:val="23"/>
              </w:rPr>
              <w:t>月上旬。全年平均风速</w:t>
            </w:r>
            <w:r>
              <w:rPr>
                <w:color w:val="auto"/>
                <w:sz w:val="24"/>
                <w:szCs w:val="23"/>
              </w:rPr>
              <w:t>2.</w:t>
            </w:r>
            <w:r>
              <w:rPr>
                <w:rFonts w:hint="eastAsia"/>
                <w:color w:val="auto"/>
                <w:sz w:val="24"/>
                <w:szCs w:val="23"/>
              </w:rPr>
              <w:t>0</w:t>
            </w:r>
            <w:r>
              <w:rPr>
                <w:color w:val="auto"/>
                <w:sz w:val="24"/>
                <w:szCs w:val="23"/>
              </w:rPr>
              <w:t>m/s</w:t>
            </w:r>
            <w:r>
              <w:rPr>
                <w:rFonts w:ascii="Times New Roman" w:hAnsi="Times New Roman" w:eastAsia="宋体"/>
                <w:color w:val="auto"/>
                <w:sz w:val="24"/>
              </w:rPr>
              <w:t>。</w:t>
            </w:r>
          </w:p>
          <w:p>
            <w:pPr>
              <w:keepNext/>
              <w:keepLines/>
              <w:pageBreakBefore w:val="0"/>
              <w:widowControl w:val="0"/>
              <w:numPr>
                <w:ilvl w:val="0"/>
                <w:numId w:val="6"/>
              </w:numPr>
              <w:kinsoku/>
              <w:wordWrap/>
              <w:overflowPunct/>
              <w:topLinePunct w:val="0"/>
              <w:autoSpaceDE/>
              <w:autoSpaceDN/>
              <w:bidi w:val="0"/>
              <w:adjustRightInd/>
              <w:snapToGrid/>
              <w:spacing w:beforeLines="0" w:afterLines="0" w:line="360" w:lineRule="auto"/>
              <w:ind w:left="0" w:leftChars="0" w:firstLine="0" w:firstLineChars="0"/>
              <w:jc w:val="both"/>
              <w:textAlignment w:val="auto"/>
              <w:rPr>
                <w:rFonts w:ascii="Times New Roman" w:hAnsi="Times New Roman" w:eastAsia="宋体"/>
                <w:b/>
                <w:bCs/>
                <w:color w:val="auto"/>
                <w:sz w:val="24"/>
              </w:rPr>
            </w:pPr>
            <w:bookmarkStart w:id="11" w:name="_Toc103741661"/>
            <w:bookmarkStart w:id="12" w:name="_Toc103759376"/>
            <w:bookmarkStart w:id="13" w:name="_Toc103741285"/>
            <w:r>
              <w:rPr>
                <w:rFonts w:ascii="Times New Roman" w:hAnsi="Times New Roman" w:eastAsia="宋体"/>
                <w:b/>
                <w:bCs/>
                <w:color w:val="auto"/>
                <w:sz w:val="24"/>
              </w:rPr>
              <w:t>水文</w:t>
            </w:r>
            <w:bookmarkEnd w:id="11"/>
            <w:bookmarkEnd w:id="12"/>
            <w:bookmarkEnd w:id="13"/>
            <w:r>
              <w:rPr>
                <w:rFonts w:ascii="Times New Roman" w:hAnsi="Times New Roman" w:eastAsia="宋体"/>
                <w:b/>
                <w:bCs/>
                <w:color w:val="auto"/>
                <w:sz w:val="24"/>
              </w:rPr>
              <w:t>地质</w:t>
            </w:r>
          </w:p>
          <w:p>
            <w:pPr>
              <w:spacing w:line="360" w:lineRule="auto"/>
              <w:ind w:firstLine="480" w:firstLineChars="200"/>
              <w:rPr>
                <w:rFonts w:hint="eastAsia"/>
                <w:color w:val="auto"/>
                <w:sz w:val="24"/>
              </w:rPr>
            </w:pPr>
            <w:r>
              <w:rPr>
                <w:rFonts w:hint="eastAsia"/>
                <w:color w:val="auto"/>
                <w:sz w:val="24"/>
              </w:rPr>
              <w:t>该项目所在区域</w:t>
            </w:r>
            <w:r>
              <w:rPr>
                <w:color w:val="auto"/>
                <w:sz w:val="24"/>
              </w:rPr>
              <w:t>在大地构造位置上，隶属于中朝准地台（</w:t>
            </w:r>
            <w:r>
              <w:rPr>
                <w:color w:val="auto"/>
                <w:sz w:val="24"/>
              </w:rPr>
              <w:fldChar w:fldCharType="begin"/>
            </w:r>
            <w:r>
              <w:rPr>
                <w:color w:val="auto"/>
                <w:sz w:val="24"/>
              </w:rPr>
              <w:instrText xml:space="preserve"> </w:instrText>
            </w:r>
            <w:r>
              <w:rPr>
                <w:rFonts w:hint="eastAsia"/>
                <w:color w:val="auto"/>
                <w:sz w:val="24"/>
              </w:rPr>
              <w:instrText xml:space="preserve">= 1 \* ROMAN</w:instrText>
            </w:r>
            <w:r>
              <w:rPr>
                <w:color w:val="auto"/>
                <w:sz w:val="24"/>
              </w:rPr>
              <w:instrText xml:space="preserve"> </w:instrText>
            </w:r>
            <w:r>
              <w:rPr>
                <w:color w:val="auto"/>
                <w:sz w:val="24"/>
              </w:rPr>
              <w:fldChar w:fldCharType="separate"/>
            </w:r>
            <w:r>
              <w:rPr>
                <w:color w:val="auto"/>
                <w:sz w:val="24"/>
              </w:rPr>
              <w:t>I</w:t>
            </w:r>
            <w:r>
              <w:rPr>
                <w:color w:val="auto"/>
                <w:sz w:val="24"/>
              </w:rPr>
              <w:fldChar w:fldCharType="end"/>
            </w:r>
            <w:r>
              <w:rPr>
                <w:color w:val="auto"/>
                <w:sz w:val="24"/>
              </w:rPr>
              <w:t>）、鲁西隆起区（</w:t>
            </w:r>
            <w:r>
              <w:rPr>
                <w:color w:val="auto"/>
                <w:sz w:val="24"/>
              </w:rPr>
              <w:fldChar w:fldCharType="begin"/>
            </w:r>
            <w:r>
              <w:rPr>
                <w:color w:val="auto"/>
                <w:sz w:val="24"/>
              </w:rPr>
              <w:instrText xml:space="preserve"> </w:instrText>
            </w:r>
            <w:r>
              <w:rPr>
                <w:rFonts w:hint="eastAsia"/>
                <w:color w:val="auto"/>
                <w:sz w:val="24"/>
              </w:rPr>
              <w:instrText xml:space="preserve">= 2 \* ROMAN</w:instrText>
            </w:r>
            <w:r>
              <w:rPr>
                <w:color w:val="auto"/>
                <w:sz w:val="24"/>
              </w:rPr>
              <w:instrText xml:space="preserve"> </w:instrText>
            </w:r>
            <w:r>
              <w:rPr>
                <w:color w:val="auto"/>
                <w:sz w:val="24"/>
              </w:rPr>
              <w:fldChar w:fldCharType="separate"/>
            </w:r>
            <w:r>
              <w:rPr>
                <w:color w:val="auto"/>
                <w:sz w:val="24"/>
              </w:rPr>
              <w:t>II</w:t>
            </w:r>
            <w:r>
              <w:rPr>
                <w:color w:val="auto"/>
                <w:sz w:val="24"/>
              </w:rPr>
              <w:fldChar w:fldCharType="end"/>
            </w:r>
            <w:r>
              <w:rPr>
                <w:color w:val="auto"/>
                <w:sz w:val="24"/>
              </w:rPr>
              <w:t>）、泰山-沂山隆起（</w:t>
            </w:r>
            <w:r>
              <w:rPr>
                <w:color w:val="auto"/>
                <w:sz w:val="24"/>
              </w:rPr>
              <w:fldChar w:fldCharType="begin"/>
            </w:r>
            <w:r>
              <w:rPr>
                <w:color w:val="auto"/>
                <w:sz w:val="24"/>
              </w:rPr>
              <w:instrText xml:space="preserve"> </w:instrText>
            </w:r>
            <w:r>
              <w:rPr>
                <w:rFonts w:hint="eastAsia"/>
                <w:color w:val="auto"/>
                <w:sz w:val="24"/>
              </w:rPr>
              <w:instrText xml:space="preserve">= 3 \* ROMAN</w:instrText>
            </w:r>
            <w:r>
              <w:rPr>
                <w:color w:val="auto"/>
                <w:sz w:val="24"/>
              </w:rPr>
              <w:instrText xml:space="preserve"> </w:instrText>
            </w:r>
            <w:r>
              <w:rPr>
                <w:color w:val="auto"/>
                <w:sz w:val="24"/>
              </w:rPr>
              <w:fldChar w:fldCharType="separate"/>
            </w:r>
            <w:r>
              <w:rPr>
                <w:color w:val="auto"/>
                <w:sz w:val="24"/>
              </w:rPr>
              <w:t>III</w:t>
            </w:r>
            <w:r>
              <w:rPr>
                <w:color w:val="auto"/>
                <w:sz w:val="24"/>
              </w:rPr>
              <w:fldChar w:fldCharType="end"/>
            </w:r>
            <w:r>
              <w:rPr>
                <w:color w:val="auto"/>
                <w:sz w:val="24"/>
              </w:rPr>
              <w:t>）、泰莱凹陷区（</w:t>
            </w:r>
            <w:r>
              <w:rPr>
                <w:color w:val="auto"/>
                <w:sz w:val="24"/>
              </w:rPr>
              <w:fldChar w:fldCharType="begin"/>
            </w:r>
            <w:r>
              <w:rPr>
                <w:color w:val="auto"/>
                <w:sz w:val="24"/>
              </w:rPr>
              <w:instrText xml:space="preserve"> </w:instrText>
            </w:r>
            <w:r>
              <w:rPr>
                <w:rFonts w:hint="eastAsia"/>
                <w:color w:val="auto"/>
                <w:sz w:val="24"/>
              </w:rPr>
              <w:instrText xml:space="preserve">= 4 \* ROMAN</w:instrText>
            </w:r>
            <w:r>
              <w:rPr>
                <w:color w:val="auto"/>
                <w:sz w:val="24"/>
              </w:rPr>
              <w:instrText xml:space="preserve"> </w:instrText>
            </w:r>
            <w:r>
              <w:rPr>
                <w:color w:val="auto"/>
                <w:sz w:val="24"/>
              </w:rPr>
              <w:fldChar w:fldCharType="separate"/>
            </w:r>
            <w:r>
              <w:rPr>
                <w:color w:val="auto"/>
                <w:sz w:val="24"/>
              </w:rPr>
              <w:t>IV</w:t>
            </w:r>
            <w:r>
              <w:rPr>
                <w:color w:val="auto"/>
                <w:sz w:val="24"/>
              </w:rPr>
              <w:fldChar w:fldCharType="end"/>
            </w:r>
            <w:r>
              <w:rPr>
                <w:color w:val="auto"/>
                <w:sz w:val="24"/>
              </w:rPr>
              <w:t>）单元的东部。</w:t>
            </w:r>
            <w:r>
              <w:rPr>
                <w:rFonts w:hint="eastAsia"/>
                <w:color w:val="auto"/>
                <w:sz w:val="24"/>
              </w:rPr>
              <w:t>钢城区内的</w:t>
            </w:r>
            <w:r>
              <w:rPr>
                <w:color w:val="auto"/>
                <w:sz w:val="24"/>
              </w:rPr>
              <w:t>断裂构造较发育，方向为北北西向与北北东向，分布于</w:t>
            </w:r>
            <w:r>
              <w:rPr>
                <w:rFonts w:hint="eastAsia"/>
                <w:color w:val="auto"/>
                <w:sz w:val="24"/>
              </w:rPr>
              <w:t>莱城区</w:t>
            </w:r>
            <w:r>
              <w:rPr>
                <w:color w:val="auto"/>
                <w:sz w:val="24"/>
              </w:rPr>
              <w:t>的</w:t>
            </w:r>
            <w:r>
              <w:rPr>
                <w:rFonts w:hint="eastAsia"/>
                <w:color w:val="auto"/>
                <w:sz w:val="24"/>
              </w:rPr>
              <w:t>东</w:t>
            </w:r>
            <w:r>
              <w:rPr>
                <w:color w:val="auto"/>
                <w:sz w:val="24"/>
              </w:rPr>
              <w:t>北部，为区域性大断裂泰安-大王庄断裂的次一级断裂，倾向南东，倾角68~70°，断裂性质呈压扭性。</w:t>
            </w:r>
          </w:p>
          <w:p>
            <w:pPr>
              <w:spacing w:line="360" w:lineRule="auto"/>
              <w:ind w:firstLine="480" w:firstLineChars="200"/>
              <w:rPr>
                <w:color w:val="auto"/>
                <w:sz w:val="24"/>
              </w:rPr>
            </w:pPr>
            <w:r>
              <w:rPr>
                <w:rFonts w:hint="eastAsia"/>
                <w:color w:val="auto"/>
                <w:sz w:val="24"/>
              </w:rPr>
              <w:t>该区</w:t>
            </w:r>
            <w:r>
              <w:rPr>
                <w:color w:val="auto"/>
                <w:sz w:val="24"/>
              </w:rPr>
              <w:t>地层出露较为齐全，自太古界至第四系地层多有出露，寒武系奥陶系石灰岩，泥质灰岩，白云质灰岩及沿河股呈条带状分布的第四系冲、洪积层（砂、砾、乱石）储水条件较好，为较好的含水层。</w:t>
            </w:r>
          </w:p>
          <w:p>
            <w:pPr>
              <w:spacing w:line="360" w:lineRule="auto"/>
              <w:ind w:firstLine="480" w:firstLineChars="200"/>
              <w:rPr>
                <w:color w:val="auto"/>
                <w:sz w:val="24"/>
              </w:rPr>
            </w:pPr>
            <w:r>
              <w:rPr>
                <w:color w:val="auto"/>
                <w:sz w:val="24"/>
              </w:rPr>
              <w:t>本区曾发生过多次构造变动，对水文地质条件起控制作用的是东西向构造和鲁西系旋扭构造，东西向构造以压性断裂为主，旋扭构造以压扭性断裂为主。两次强烈的构造变动都影响到寒武奥陶系地层，使得寒武奥陶系灰岩严重破碎，有利于岩溶的发育，溶孔、溶洞、溶蚀裂隙十分普遍，有利于地下水的储存和运动，使岩溶水十分丰富，岩溶水主要为承压水，地下水埋深10~50m，单井出水量10~50m</w:t>
            </w:r>
            <w:r>
              <w:rPr>
                <w:color w:val="auto"/>
                <w:sz w:val="24"/>
                <w:vertAlign w:val="superscript"/>
              </w:rPr>
              <w:t>3</w:t>
            </w:r>
            <w:r>
              <w:rPr>
                <w:color w:val="auto"/>
                <w:sz w:val="24"/>
              </w:rPr>
              <w:t>/h，沿构造带单井出水量可达50~500m</w:t>
            </w:r>
            <w:r>
              <w:rPr>
                <w:color w:val="auto"/>
                <w:sz w:val="24"/>
                <w:vertAlign w:val="superscript"/>
              </w:rPr>
              <w:t>3</w:t>
            </w:r>
            <w:r>
              <w:rPr>
                <w:color w:val="auto"/>
                <w:sz w:val="24"/>
              </w:rPr>
              <w:t>/h。</w:t>
            </w:r>
          </w:p>
          <w:p>
            <w:pPr>
              <w:spacing w:line="360" w:lineRule="auto"/>
              <w:ind w:firstLine="480" w:firstLineChars="200"/>
              <w:rPr>
                <w:color w:val="auto"/>
                <w:sz w:val="24"/>
              </w:rPr>
            </w:pPr>
            <w:r>
              <w:rPr>
                <w:color w:val="auto"/>
                <w:sz w:val="24"/>
              </w:rPr>
              <w:t>岩溶水的储存与运动完全受地质构造与岩层走向影响，其富水性极不均匀，沿构造带富水性极强，远离构造带富水性很弱。同时，由于构造为压性断裂，起到相对隔水作用，使莱芜地区形成了独立的水文地质单元。</w:t>
            </w:r>
          </w:p>
          <w:p>
            <w:pPr>
              <w:spacing w:line="360" w:lineRule="auto"/>
              <w:ind w:firstLine="480" w:firstLineChars="200"/>
              <w:rPr>
                <w:color w:val="auto"/>
                <w:sz w:val="24"/>
              </w:rPr>
            </w:pPr>
            <w:r>
              <w:rPr>
                <w:color w:val="auto"/>
                <w:sz w:val="24"/>
              </w:rPr>
              <w:t>沿河谷分布的冲洪积层中埋藏有丰富的潜水，含水层岩性以粗砂、砾石、卵石为主，厚度1~20m不等。地下水位埋深丰水季节小于1m，枯水季节大于3m，井深5~20m，单井出水量50~300m</w:t>
            </w:r>
            <w:r>
              <w:rPr>
                <w:color w:val="auto"/>
                <w:sz w:val="24"/>
                <w:vertAlign w:val="superscript"/>
              </w:rPr>
              <w:t>3</w:t>
            </w:r>
            <w:r>
              <w:rPr>
                <w:color w:val="auto"/>
                <w:sz w:val="24"/>
              </w:rPr>
              <w:t>/h。但由于河谷内随意采砂，使部分河段含水层变薄，影响地下水的储存。</w:t>
            </w:r>
          </w:p>
          <w:p>
            <w:pPr>
              <w:spacing w:line="360" w:lineRule="auto"/>
              <w:ind w:firstLine="480" w:firstLineChars="200"/>
              <w:rPr>
                <w:color w:val="auto"/>
                <w:sz w:val="24"/>
              </w:rPr>
            </w:pPr>
            <w:r>
              <w:rPr>
                <w:color w:val="auto"/>
                <w:sz w:val="24"/>
              </w:rPr>
              <w:t>根据现有地质勘查提供的资料，市区岩（土）体工程地质特性及承载能力指标为：</w:t>
            </w:r>
          </w:p>
          <w:p>
            <w:pPr>
              <w:spacing w:line="360" w:lineRule="auto"/>
              <w:ind w:firstLine="480" w:firstLineChars="200"/>
              <w:rPr>
                <w:color w:val="auto"/>
                <w:sz w:val="24"/>
              </w:rPr>
            </w:pPr>
            <w:r>
              <w:rPr>
                <w:color w:val="auto"/>
                <w:sz w:val="24"/>
              </w:rPr>
              <w:t>1）亚粘土、亚砂土：一般为洪冲击、坡冲击层，稍干、中密，属中等压缩性土，地基承载力一般在100~450kPa（10~45t/m</w:t>
            </w:r>
            <w:r>
              <w:rPr>
                <w:color w:val="auto"/>
                <w:sz w:val="24"/>
                <w:vertAlign w:val="superscript"/>
              </w:rPr>
              <w:t>2</w:t>
            </w:r>
            <w:r>
              <w:rPr>
                <w:color w:val="auto"/>
                <w:sz w:val="24"/>
              </w:rPr>
              <w:t>）范围内。</w:t>
            </w:r>
          </w:p>
          <w:p>
            <w:pPr>
              <w:spacing w:line="360" w:lineRule="auto"/>
              <w:ind w:firstLine="480" w:firstLineChars="200"/>
              <w:rPr>
                <w:color w:val="auto"/>
                <w:sz w:val="24"/>
              </w:rPr>
            </w:pPr>
            <w:r>
              <w:rPr>
                <w:color w:val="auto"/>
                <w:sz w:val="24"/>
              </w:rPr>
              <w:t>2）第三系长石砂岩：褐红色，岩石碎屑主要以石英为主，长石次之，地基承载力一般在2~4MPa（200~400t/m</w:t>
            </w:r>
            <w:r>
              <w:rPr>
                <w:color w:val="auto"/>
                <w:sz w:val="24"/>
                <w:vertAlign w:val="superscript"/>
              </w:rPr>
              <w:t>2</w:t>
            </w:r>
            <w:r>
              <w:rPr>
                <w:color w:val="auto"/>
                <w:sz w:val="24"/>
              </w:rPr>
              <w:t>）范围内。</w:t>
            </w:r>
          </w:p>
          <w:p>
            <w:pPr>
              <w:spacing w:line="360" w:lineRule="auto"/>
              <w:ind w:firstLine="480" w:firstLineChars="200"/>
              <w:rPr>
                <w:color w:val="auto"/>
                <w:sz w:val="24"/>
              </w:rPr>
            </w:pPr>
            <w:r>
              <w:rPr>
                <w:color w:val="auto"/>
                <w:sz w:val="24"/>
              </w:rPr>
              <w:t>3）石灰岩：灰白色、白色、块状构造。地基承载力一般在2~2.5MPa（200~250t/m</w:t>
            </w:r>
            <w:r>
              <w:rPr>
                <w:color w:val="auto"/>
                <w:sz w:val="24"/>
                <w:vertAlign w:val="superscript"/>
              </w:rPr>
              <w:t>2</w:t>
            </w:r>
            <w:r>
              <w:rPr>
                <w:color w:val="auto"/>
                <w:sz w:val="24"/>
              </w:rPr>
              <w:t>）范围内。</w:t>
            </w:r>
          </w:p>
          <w:p>
            <w:pPr>
              <w:pStyle w:val="12"/>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ascii="Times New Roman" w:hAnsi="Times New Roman" w:eastAsia="宋体"/>
                <w:color w:val="auto"/>
                <w:sz w:val="24"/>
              </w:rPr>
            </w:pPr>
            <w:r>
              <w:rPr>
                <w:color w:val="auto"/>
                <w:sz w:val="24"/>
              </w:rPr>
              <w:t>4）闪长石：灰绿色，一般分布于矿山岩体。地基承载力一般在4~6MPa（400~600t/m</w:t>
            </w:r>
            <w:r>
              <w:rPr>
                <w:color w:val="auto"/>
                <w:sz w:val="24"/>
                <w:vertAlign w:val="superscript"/>
              </w:rPr>
              <w:t>2</w:t>
            </w:r>
            <w:r>
              <w:rPr>
                <w:color w:val="auto"/>
                <w:sz w:val="24"/>
              </w:rPr>
              <w:t>）范围内</w:t>
            </w:r>
            <w:r>
              <w:rPr>
                <w:rFonts w:ascii="Times New Roman" w:hAnsi="Times New Roman" w:eastAsia="宋体"/>
                <w:color w:val="auto"/>
                <w:sz w:val="24"/>
              </w:rPr>
              <w:t>。</w:t>
            </w:r>
          </w:p>
          <w:p>
            <w:pPr>
              <w:keepNext/>
              <w:keepLines/>
              <w:pageBreakBefore w:val="0"/>
              <w:widowControl w:val="0"/>
              <w:numPr>
                <w:ilvl w:val="0"/>
                <w:numId w:val="6"/>
              </w:numPr>
              <w:kinsoku/>
              <w:wordWrap/>
              <w:overflowPunct/>
              <w:topLinePunct w:val="0"/>
              <w:autoSpaceDE/>
              <w:autoSpaceDN/>
              <w:bidi w:val="0"/>
              <w:adjustRightInd/>
              <w:snapToGrid/>
              <w:spacing w:beforeLines="0" w:afterLines="0" w:line="360" w:lineRule="auto"/>
              <w:ind w:left="0" w:leftChars="0" w:firstLine="0" w:firstLineChars="0"/>
              <w:jc w:val="both"/>
              <w:textAlignment w:val="auto"/>
              <w:rPr>
                <w:rFonts w:ascii="Times New Roman" w:hAnsi="Times New Roman" w:eastAsia="宋体"/>
                <w:b/>
                <w:bCs/>
                <w:color w:val="auto"/>
                <w:sz w:val="24"/>
              </w:rPr>
            </w:pPr>
            <w:r>
              <w:rPr>
                <w:rFonts w:ascii="Times New Roman" w:hAnsi="Times New Roman" w:eastAsia="宋体"/>
                <w:b/>
                <w:bCs/>
                <w:color w:val="auto"/>
                <w:sz w:val="24"/>
              </w:rPr>
              <w:t>植被生物多样性</w:t>
            </w:r>
          </w:p>
          <w:p>
            <w:pPr>
              <w:pStyle w:val="49"/>
              <w:pageBreakBefore w:val="0"/>
              <w:widowControl w:val="0"/>
              <w:kinsoku/>
              <w:wordWrap/>
              <w:overflowPunct/>
              <w:topLinePunct w:val="0"/>
              <w:autoSpaceDE/>
              <w:autoSpaceDN/>
              <w:bidi w:val="0"/>
              <w:adjustRightInd/>
              <w:snapToGrid/>
              <w:spacing w:beforeLines="0" w:afterLines="0" w:line="360" w:lineRule="auto"/>
              <w:ind w:left="0" w:leftChars="0" w:right="-55" w:firstLine="480"/>
              <w:jc w:val="both"/>
              <w:textAlignment w:val="auto"/>
              <w:rPr>
                <w:rFonts w:ascii="Times New Roman" w:hAnsi="Times New Roman" w:eastAsia="宋体" w:cs="Times New Roman"/>
                <w:color w:val="auto"/>
                <w:szCs w:val="24"/>
              </w:rPr>
            </w:pPr>
            <w:r>
              <w:rPr>
                <w:rFonts w:hint="eastAsia" w:ascii="Times New Roman" w:hAnsi="Times New Roman" w:cs="Times New Roman"/>
                <w:color w:val="auto"/>
                <w:szCs w:val="24"/>
                <w:lang w:val="en-US" w:eastAsia="zh-CN"/>
              </w:rPr>
              <w:t>钢城</w:t>
            </w:r>
            <w:r>
              <w:rPr>
                <w:rFonts w:hint="eastAsia" w:ascii="Times New Roman" w:hAnsi="Times New Roman" w:eastAsia="宋体" w:cs="Times New Roman"/>
                <w:color w:val="auto"/>
                <w:szCs w:val="24"/>
                <w:lang w:eastAsia="zh-CN"/>
              </w:rPr>
              <w:t>区</w:t>
            </w:r>
            <w:r>
              <w:rPr>
                <w:rFonts w:ascii="Times New Roman" w:hAnsi="Times New Roman" w:eastAsia="宋体" w:cs="Times New Roman"/>
                <w:color w:val="auto"/>
                <w:szCs w:val="24"/>
              </w:rPr>
              <w:t>植被原属暖温带落叶阔叶林带。自然植被率很小，且具有明显的次生性质，除个别山地丘陵和沟谷中可见零星次生落叶、阔叶杂林外，主要是抗旱耐瘠的针叶树种。大面积的是人工植被。</w:t>
            </w:r>
          </w:p>
          <w:p>
            <w:pPr>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hint="eastAsia" w:ascii="Times New Roman" w:hAnsi="Times New Roman" w:eastAsia="宋体"/>
                <w:color w:val="auto"/>
                <w:sz w:val="24"/>
                <w:lang w:eastAsia="zh-CN"/>
              </w:rPr>
            </w:pPr>
            <w:r>
              <w:rPr>
                <w:rFonts w:ascii="Times New Roman" w:hAnsi="Times New Roman" w:eastAsia="宋体"/>
                <w:color w:val="auto"/>
                <w:sz w:val="24"/>
              </w:rPr>
              <w:t>生物资源野生动物有野兔、黄鼬、狐狸、獾等；鸟类有啄木鸟、灰喜鹊等；有益昆虫有3纲9目26科118种；野生中药材有汶香附、柏子仁、酸枣仁、丹参、远志、黄芩、柴胡、全蝎等450多种，年采集近200种；野生鱼类有鲶鱼、马口鱼等；水生植物有苇、蒲、荻等</w:t>
            </w:r>
            <w:r>
              <w:rPr>
                <w:rFonts w:hint="eastAsia" w:ascii="Times New Roman" w:hAnsi="Times New Roman" w:eastAsia="宋体"/>
                <w:color w:val="auto"/>
                <w:sz w:val="24"/>
                <w:lang w:eastAsia="zh-CN"/>
              </w:rPr>
              <w:t>。</w:t>
            </w:r>
          </w:p>
          <w:p>
            <w:pPr>
              <w:pStyle w:val="32"/>
              <w:rPr>
                <w:rFonts w:hint="eastAsia" w:ascii="Times New Roman" w:hAnsi="Times New Roman" w:eastAsia="宋体" w:cs="Times New Roman"/>
                <w:color w:val="auto"/>
                <w:sz w:val="24"/>
                <w:lang w:eastAsia="zh-CN"/>
              </w:rPr>
            </w:pPr>
          </w:p>
          <w:p>
            <w:pPr>
              <w:pStyle w:val="32"/>
              <w:rPr>
                <w:rFonts w:hint="default" w:ascii="Times New Roman" w:hAnsi="Times New Roman" w:eastAsia="宋体" w:cs="Times New Roman"/>
                <w:color w:val="auto"/>
                <w:sz w:val="24"/>
              </w:rPr>
            </w:pPr>
          </w:p>
          <w:p>
            <w:pPr>
              <w:pStyle w:val="32"/>
              <w:rPr>
                <w:rFonts w:hint="default" w:ascii="Times New Roman" w:hAnsi="Times New Roman" w:eastAsia="宋体" w:cs="Times New Roman"/>
                <w:color w:val="auto"/>
                <w:sz w:val="24"/>
              </w:rPr>
            </w:pPr>
          </w:p>
          <w:p>
            <w:pPr>
              <w:pStyle w:val="32"/>
              <w:rPr>
                <w:rFonts w:hint="default" w:ascii="Times New Roman" w:hAnsi="Times New Roman" w:eastAsia="宋体" w:cs="Times New Roman"/>
                <w:color w:val="auto"/>
                <w:sz w:val="24"/>
              </w:rPr>
            </w:pPr>
          </w:p>
          <w:p>
            <w:pPr>
              <w:pStyle w:val="32"/>
              <w:rPr>
                <w:rFonts w:hint="default" w:ascii="Times New Roman" w:hAnsi="Times New Roman" w:eastAsia="宋体" w:cs="Times New Roman"/>
                <w:color w:val="auto"/>
                <w:sz w:val="24"/>
              </w:rPr>
            </w:pPr>
          </w:p>
          <w:p>
            <w:pPr>
              <w:pStyle w:val="32"/>
              <w:rPr>
                <w:rFonts w:hint="default" w:ascii="Times New Roman" w:hAnsi="Times New Roman" w:eastAsia="宋体" w:cs="Times New Roman"/>
                <w:color w:val="auto"/>
                <w:sz w:val="24"/>
              </w:rPr>
            </w:pPr>
          </w:p>
          <w:p>
            <w:pPr>
              <w:pStyle w:val="32"/>
              <w:rPr>
                <w:rFonts w:hint="default" w:ascii="Times New Roman" w:hAnsi="Times New Roman" w:eastAsia="宋体" w:cs="Times New Roman"/>
                <w:color w:val="auto"/>
                <w:sz w:val="24"/>
              </w:rPr>
            </w:pPr>
          </w:p>
          <w:p>
            <w:pPr>
              <w:pStyle w:val="32"/>
              <w:rPr>
                <w:rFonts w:hint="default" w:ascii="Times New Roman" w:hAnsi="Times New Roman" w:eastAsia="宋体" w:cs="Times New Roman"/>
                <w:color w:val="auto"/>
                <w:sz w:val="24"/>
              </w:rPr>
            </w:pPr>
          </w:p>
          <w:p>
            <w:pPr>
              <w:pStyle w:val="32"/>
              <w:rPr>
                <w:rFonts w:hint="default" w:ascii="Times New Roman" w:hAnsi="Times New Roman" w:eastAsia="宋体" w:cs="Times New Roman"/>
                <w:color w:val="auto"/>
                <w:sz w:val="24"/>
              </w:rPr>
            </w:pPr>
          </w:p>
          <w:p>
            <w:pPr>
              <w:pStyle w:val="32"/>
              <w:rPr>
                <w:rFonts w:hint="default" w:ascii="Times New Roman" w:hAnsi="Times New Roman" w:eastAsia="宋体" w:cs="Times New Roman"/>
                <w:color w:val="auto"/>
                <w:sz w:val="24"/>
              </w:rPr>
            </w:pPr>
          </w:p>
          <w:p>
            <w:pPr>
              <w:pStyle w:val="32"/>
              <w:rPr>
                <w:rFonts w:hint="default" w:ascii="Times New Roman" w:hAnsi="Times New Roman" w:cs="Times New Roman"/>
                <w:color w:val="auto"/>
                <w:sz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三、环境质量状况</w:t>
      </w:r>
    </w:p>
    <w:tbl>
      <w:tblPr>
        <w:tblStyle w:val="24"/>
        <w:tblW w:w="9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9638"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建设项目所在地区域环境质量现状及主要环境问题(环境空气、地面水、地下水、声环境、生态环境等)：</w:t>
            </w:r>
          </w:p>
          <w:p>
            <w:pPr>
              <w:tabs>
                <w:tab w:val="left" w:pos="720"/>
              </w:tabs>
              <w:spacing w:line="360" w:lineRule="auto"/>
              <w:ind w:firstLine="480" w:firstLineChars="200"/>
              <w:rPr>
                <w:rFonts w:ascii="Times New Roman" w:hAnsi="Times New Roman"/>
                <w:color w:val="auto"/>
                <w:sz w:val="24"/>
              </w:rPr>
            </w:pPr>
            <w:r>
              <w:rPr>
                <w:rFonts w:ascii="Times New Roman" w:hAnsi="Times New Roman"/>
                <w:color w:val="auto"/>
                <w:sz w:val="24"/>
              </w:rPr>
              <w:t>根据当地环境规划，该区域属于《环境空气质量标准》（GB3095-2012）及其修改单二级标准适用区，环境空气执行《环境空气质量标准》（GB3095-2012）及其修改单二级标准；项目区域地下水环境执行《地下水质量标准》（GB/T14848-2017）Ⅲ类标准；项目区域地表水环境执行《地表水环境质量标准》（GB3838-2002）Ⅲ类标准；区域声环境为2类功能区，声环境执行《声环境质量标准》（GB3096-2008）的2类标准。</w:t>
            </w:r>
          </w:p>
          <w:p>
            <w:pPr>
              <w:tabs>
                <w:tab w:val="left" w:pos="720"/>
              </w:tabs>
              <w:spacing w:line="360" w:lineRule="auto"/>
              <w:ind w:firstLine="0" w:firstLineChars="0"/>
              <w:rPr>
                <w:rFonts w:ascii="Times New Roman" w:hAnsi="Times New Roman"/>
                <w:b/>
                <w:color w:val="auto"/>
                <w:sz w:val="24"/>
              </w:rPr>
            </w:pPr>
            <w:r>
              <w:rPr>
                <w:rFonts w:ascii="Times New Roman" w:hAnsi="Times New Roman"/>
                <w:b/>
                <w:color w:val="auto"/>
                <w:sz w:val="24"/>
              </w:rPr>
              <w:t>1、环境空气质量现状</w:t>
            </w:r>
          </w:p>
          <w:p>
            <w:pPr>
              <w:tabs>
                <w:tab w:val="left" w:pos="720"/>
              </w:tabs>
              <w:spacing w:line="360" w:lineRule="auto"/>
              <w:ind w:firstLine="482" w:firstLineChars="200"/>
              <w:rPr>
                <w:rFonts w:hint="eastAsia"/>
                <w:b/>
                <w:color w:val="auto"/>
                <w:sz w:val="24"/>
              </w:rPr>
            </w:pPr>
            <w:r>
              <w:rPr>
                <w:rFonts w:hint="eastAsia"/>
                <w:b/>
                <w:color w:val="auto"/>
                <w:sz w:val="24"/>
              </w:rPr>
              <w:t>（1）项目所在区域达标判断</w:t>
            </w:r>
          </w:p>
          <w:p>
            <w:pPr>
              <w:spacing w:line="360" w:lineRule="auto"/>
              <w:ind w:firstLine="480" w:firstLineChars="200"/>
              <w:rPr>
                <w:color w:val="auto"/>
                <w:sz w:val="24"/>
                <w:lang w:bidi="en-US"/>
              </w:rPr>
            </w:pPr>
            <w:r>
              <w:rPr>
                <w:color w:val="auto"/>
                <w:sz w:val="24"/>
              </w:rPr>
              <w:t>为进一步了解项目附近环境空气质量现状，</w:t>
            </w:r>
            <w:r>
              <w:rPr>
                <w:rFonts w:hint="eastAsia"/>
                <w:color w:val="auto"/>
                <w:sz w:val="24"/>
                <w:lang w:bidi="en-US"/>
              </w:rPr>
              <w:t>本次评价调查收集钢城区环保局监测点S</w:t>
            </w:r>
            <w:r>
              <w:rPr>
                <w:color w:val="auto"/>
                <w:sz w:val="24"/>
                <w:lang w:bidi="en-US"/>
              </w:rPr>
              <w:t>O</w:t>
            </w:r>
            <w:r>
              <w:rPr>
                <w:color w:val="auto"/>
                <w:sz w:val="24"/>
                <w:vertAlign w:val="subscript"/>
                <w:lang w:bidi="en-US"/>
              </w:rPr>
              <w:t>2</w:t>
            </w:r>
            <w:r>
              <w:rPr>
                <w:rFonts w:hint="eastAsia"/>
                <w:color w:val="auto"/>
                <w:sz w:val="24"/>
                <w:lang w:bidi="en-US"/>
              </w:rPr>
              <w:t>、N</w:t>
            </w:r>
            <w:r>
              <w:rPr>
                <w:color w:val="auto"/>
                <w:sz w:val="24"/>
                <w:lang w:bidi="en-US"/>
              </w:rPr>
              <w:t>O</w:t>
            </w:r>
            <w:r>
              <w:rPr>
                <w:color w:val="auto"/>
                <w:sz w:val="24"/>
                <w:vertAlign w:val="subscript"/>
                <w:lang w:bidi="en-US"/>
              </w:rPr>
              <w:t>2</w:t>
            </w:r>
            <w:r>
              <w:rPr>
                <w:rFonts w:hint="eastAsia"/>
                <w:color w:val="auto"/>
                <w:sz w:val="24"/>
                <w:lang w:bidi="en-US"/>
              </w:rPr>
              <w:t>、P</w:t>
            </w:r>
            <w:r>
              <w:rPr>
                <w:color w:val="auto"/>
                <w:sz w:val="24"/>
                <w:lang w:bidi="en-US"/>
              </w:rPr>
              <w:t>M</w:t>
            </w:r>
            <w:r>
              <w:rPr>
                <w:color w:val="auto"/>
                <w:sz w:val="24"/>
                <w:vertAlign w:val="subscript"/>
                <w:lang w:bidi="en-US"/>
              </w:rPr>
              <w:t>10</w:t>
            </w:r>
            <w:r>
              <w:rPr>
                <w:rFonts w:hint="eastAsia"/>
                <w:color w:val="auto"/>
                <w:sz w:val="24"/>
                <w:lang w:bidi="en-US"/>
              </w:rPr>
              <w:t>、P</w:t>
            </w:r>
            <w:r>
              <w:rPr>
                <w:color w:val="auto"/>
                <w:sz w:val="24"/>
                <w:lang w:bidi="en-US"/>
              </w:rPr>
              <w:t>M</w:t>
            </w:r>
            <w:r>
              <w:rPr>
                <w:color w:val="auto"/>
                <w:sz w:val="24"/>
                <w:vertAlign w:val="subscript"/>
                <w:lang w:bidi="en-US"/>
              </w:rPr>
              <w:t>2.5</w:t>
            </w:r>
            <w:r>
              <w:rPr>
                <w:rFonts w:hint="eastAsia"/>
                <w:color w:val="auto"/>
                <w:sz w:val="24"/>
                <w:lang w:bidi="en-US"/>
              </w:rPr>
              <w:t>、C</w:t>
            </w:r>
            <w:r>
              <w:rPr>
                <w:color w:val="auto"/>
                <w:sz w:val="24"/>
                <w:lang w:bidi="en-US"/>
              </w:rPr>
              <w:t>O</w:t>
            </w:r>
            <w:r>
              <w:rPr>
                <w:rFonts w:hint="eastAsia"/>
                <w:color w:val="auto"/>
                <w:sz w:val="24"/>
                <w:lang w:bidi="en-US"/>
              </w:rPr>
              <w:t>、O</w:t>
            </w:r>
            <w:r>
              <w:rPr>
                <w:color w:val="auto"/>
                <w:sz w:val="24"/>
                <w:vertAlign w:val="subscript"/>
                <w:lang w:bidi="en-US"/>
              </w:rPr>
              <w:t>3</w:t>
            </w:r>
            <w:r>
              <w:rPr>
                <w:rFonts w:hint="eastAsia"/>
                <w:color w:val="auto"/>
                <w:sz w:val="24"/>
                <w:lang w:bidi="en-US"/>
              </w:rPr>
              <w:t>六项基本污染物2</w:t>
            </w:r>
            <w:r>
              <w:rPr>
                <w:color w:val="auto"/>
                <w:sz w:val="24"/>
                <w:lang w:bidi="en-US"/>
              </w:rPr>
              <w:t>019.1.1</w:t>
            </w:r>
            <w:r>
              <w:rPr>
                <w:rFonts w:hint="eastAsia"/>
                <w:color w:val="auto"/>
                <w:sz w:val="24"/>
                <w:lang w:bidi="en-US"/>
              </w:rPr>
              <w:t>至2</w:t>
            </w:r>
            <w:r>
              <w:rPr>
                <w:color w:val="auto"/>
                <w:sz w:val="24"/>
                <w:lang w:bidi="en-US"/>
              </w:rPr>
              <w:t>019.12.31</w:t>
            </w:r>
            <w:r>
              <w:rPr>
                <w:rFonts w:hint="eastAsia"/>
                <w:color w:val="auto"/>
                <w:sz w:val="24"/>
                <w:lang w:bidi="en-US"/>
              </w:rPr>
              <w:t>连续一年监测数据，按照《环境空气质量评价技术规范（试行）》（H</w:t>
            </w:r>
            <w:r>
              <w:rPr>
                <w:color w:val="auto"/>
                <w:sz w:val="24"/>
                <w:lang w:bidi="en-US"/>
              </w:rPr>
              <w:t>J663-2013</w:t>
            </w:r>
            <w:r>
              <w:rPr>
                <w:rFonts w:hint="eastAsia"/>
                <w:color w:val="auto"/>
                <w:sz w:val="24"/>
                <w:lang w:bidi="en-US"/>
              </w:rPr>
              <w:t>）中的统计方法对监测数据统计处理，统计处理后各污染物数据如表</w:t>
            </w:r>
            <w:r>
              <w:rPr>
                <w:color w:val="auto"/>
                <w:sz w:val="24"/>
                <w:lang w:bidi="en-US"/>
              </w:rPr>
              <w:t>16</w:t>
            </w:r>
            <w:r>
              <w:rPr>
                <w:rFonts w:hint="eastAsia"/>
                <w:color w:val="auto"/>
                <w:sz w:val="24"/>
                <w:lang w:bidi="en-US"/>
              </w:rPr>
              <w:t>所示。</w:t>
            </w:r>
          </w:p>
          <w:p>
            <w:pPr>
              <w:spacing w:line="500" w:lineRule="exact"/>
              <w:jc w:val="center"/>
              <w:rPr>
                <w:rFonts w:ascii="Times New Roman" w:hAnsi="Times New Roman" w:eastAsia="宋体"/>
                <w:b w:val="0"/>
                <w:color w:val="auto"/>
                <w:kern w:val="2"/>
                <w:sz w:val="24"/>
                <w:szCs w:val="22"/>
                <w:lang w:bidi="en-US"/>
              </w:rPr>
            </w:pPr>
            <w:r>
              <w:rPr>
                <w:rFonts w:hint="default" w:ascii="Times New Roman" w:hAnsi="Times New Roman" w:eastAsia="宋体"/>
                <w:b w:val="0"/>
                <w:color w:val="auto"/>
                <w:kern w:val="2"/>
                <w:sz w:val="24"/>
                <w:szCs w:val="22"/>
                <w:lang w:bidi="en-US"/>
              </w:rPr>
              <w:t>表</w:t>
            </w:r>
            <w:r>
              <w:rPr>
                <w:rFonts w:hint="eastAsia" w:ascii="Times New Roman" w:hAnsi="Times New Roman" w:eastAsia="宋体"/>
                <w:b w:val="0"/>
                <w:color w:val="auto"/>
                <w:kern w:val="2"/>
                <w:sz w:val="24"/>
                <w:szCs w:val="22"/>
                <w:lang w:eastAsia="zh-CN" w:bidi="en-US"/>
              </w:rPr>
              <w:t>3</w:t>
            </w:r>
            <w:r>
              <w:rPr>
                <w:rFonts w:hint="eastAsia" w:ascii="Times New Roman" w:hAnsi="Times New Roman" w:eastAsia="宋体"/>
                <w:b w:val="0"/>
                <w:color w:val="auto"/>
                <w:kern w:val="2"/>
                <w:sz w:val="24"/>
                <w:szCs w:val="22"/>
                <w:lang w:val="en-US" w:eastAsia="zh-CN" w:bidi="en-US"/>
              </w:rPr>
              <w:t>-1</w:t>
            </w:r>
            <w:r>
              <w:rPr>
                <w:rFonts w:hint="default" w:ascii="Times New Roman" w:hAnsi="Times New Roman" w:eastAsia="宋体"/>
                <w:b w:val="0"/>
                <w:color w:val="auto"/>
                <w:kern w:val="2"/>
                <w:sz w:val="24"/>
                <w:szCs w:val="22"/>
                <w:lang w:bidi="en-US"/>
              </w:rPr>
              <w:t xml:space="preserve">  项目区域基本污染物环境质量现状评价一览表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401"/>
              <w:gridCol w:w="812"/>
              <w:gridCol w:w="872"/>
              <w:gridCol w:w="872"/>
              <w:gridCol w:w="1364"/>
              <w:gridCol w:w="1128"/>
              <w:gridCol w:w="518"/>
              <w:gridCol w:w="468"/>
              <w:gridCol w:w="1128"/>
              <w:gridCol w:w="786"/>
              <w:gridCol w:w="636"/>
              <w:gridCol w:w="3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点位名称</w:t>
                  </w:r>
                </w:p>
              </w:tc>
              <w:tc>
                <w:tcPr>
                  <w:tcW w:w="900" w:type="pct"/>
                  <w:gridSpan w:val="2"/>
                  <w:tcBorders>
                    <w:tl2br w:val="nil"/>
                    <w:tr2bl w:val="nil"/>
                  </w:tcBorders>
                  <w:noWrap w:val="0"/>
                  <w:vAlign w:val="center"/>
                </w:tcPr>
                <w:p>
                  <w:pPr>
                    <w:widowControl/>
                    <w:adjustRightInd w:val="0"/>
                    <w:snapToGrid w:val="0"/>
                    <w:jc w:val="center"/>
                    <w:rPr>
                      <w:color w:val="auto"/>
                      <w:kern w:val="0"/>
                      <w:szCs w:val="24"/>
                      <w:lang w:bidi="en-US"/>
                    </w:rPr>
                  </w:pPr>
                  <w:r>
                    <w:rPr>
                      <w:rFonts w:hint="eastAsia"/>
                      <w:color w:val="auto"/>
                      <w:kern w:val="0"/>
                      <w:szCs w:val="24"/>
                      <w:lang w:bidi="en-US"/>
                    </w:rPr>
                    <w:t>监测点坐标</w:t>
                  </w:r>
                </w:p>
              </w:tc>
              <w:tc>
                <w:tcPr>
                  <w:tcW w:w="466"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污染物</w:t>
                  </w:r>
                </w:p>
              </w:tc>
              <w:tc>
                <w:tcPr>
                  <w:tcW w:w="729"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年评价指标</w:t>
                  </w:r>
                </w:p>
              </w:tc>
              <w:tc>
                <w:tcPr>
                  <w:tcW w:w="602"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评价标准/</w:t>
                  </w:r>
                  <w:r>
                    <w:rPr>
                      <w:color w:val="auto"/>
                      <w:kern w:val="0"/>
                      <w:szCs w:val="24"/>
                      <w:lang w:bidi="en-US"/>
                    </w:rPr>
                    <w:t>（μg/m</w:t>
                  </w:r>
                  <w:r>
                    <w:rPr>
                      <w:color w:val="auto"/>
                      <w:kern w:val="0"/>
                      <w:szCs w:val="24"/>
                      <w:vertAlign w:val="superscript"/>
                      <w:lang w:bidi="en-US"/>
                    </w:rPr>
                    <w:t>3</w:t>
                  </w:r>
                  <w:r>
                    <w:rPr>
                      <w:color w:val="auto"/>
                      <w:kern w:val="0"/>
                      <w:szCs w:val="24"/>
                      <w:lang w:bidi="en-US"/>
                    </w:rPr>
                    <w:t>）</w:t>
                  </w:r>
                </w:p>
              </w:tc>
              <w:tc>
                <w:tcPr>
                  <w:tcW w:w="276"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监测数据总个数</w:t>
                  </w:r>
                </w:p>
              </w:tc>
              <w:tc>
                <w:tcPr>
                  <w:tcW w:w="250" w:type="pct"/>
                  <w:vMerge w:val="restart"/>
                  <w:tcBorders>
                    <w:tl2br w:val="nil"/>
                    <w:tr2bl w:val="nil"/>
                  </w:tcBorders>
                  <w:noWrap w:val="0"/>
                  <w:vAlign w:val="center"/>
                </w:tcPr>
                <w:p>
                  <w:pPr>
                    <w:widowControl/>
                    <w:adjustRightInd w:val="0"/>
                    <w:snapToGrid w:val="0"/>
                    <w:jc w:val="center"/>
                    <w:rPr>
                      <w:color w:val="auto"/>
                      <w:kern w:val="0"/>
                      <w:szCs w:val="24"/>
                      <w:lang w:bidi="en-US"/>
                    </w:rPr>
                  </w:pPr>
                  <w:r>
                    <w:rPr>
                      <w:rFonts w:hint="eastAsia"/>
                      <w:color w:val="auto"/>
                      <w:kern w:val="0"/>
                      <w:szCs w:val="24"/>
                      <w:lang w:bidi="en-US"/>
                    </w:rPr>
                    <w:t>超标个数</w:t>
                  </w:r>
                </w:p>
              </w:tc>
              <w:tc>
                <w:tcPr>
                  <w:tcW w:w="602"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现状浓度/（</w:t>
                  </w:r>
                  <w:r>
                    <w:rPr>
                      <w:color w:val="auto"/>
                      <w:kern w:val="0"/>
                      <w:szCs w:val="24"/>
                      <w:lang w:bidi="en-US"/>
                    </w:rPr>
                    <w:t>μg/m</w:t>
                  </w:r>
                  <w:r>
                    <w:rPr>
                      <w:color w:val="auto"/>
                      <w:kern w:val="0"/>
                      <w:szCs w:val="24"/>
                      <w:vertAlign w:val="superscript"/>
                      <w:lang w:bidi="en-US"/>
                    </w:rPr>
                    <w:t>3</w:t>
                  </w:r>
                  <w:r>
                    <w:rPr>
                      <w:rFonts w:hint="eastAsia"/>
                      <w:color w:val="auto"/>
                      <w:kern w:val="0"/>
                      <w:szCs w:val="24"/>
                      <w:lang w:bidi="en-US"/>
                    </w:rPr>
                    <w:t>）</w:t>
                  </w:r>
                </w:p>
              </w:tc>
              <w:tc>
                <w:tcPr>
                  <w:tcW w:w="420"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最大浓度占标率/%</w:t>
                  </w:r>
                </w:p>
              </w:tc>
              <w:tc>
                <w:tcPr>
                  <w:tcW w:w="339"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超标频率/%</w:t>
                  </w:r>
                </w:p>
              </w:tc>
              <w:tc>
                <w:tcPr>
                  <w:tcW w:w="197"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tcBorders>
                    <w:tl2br w:val="nil"/>
                    <w:tr2bl w:val="nil"/>
                  </w:tcBorders>
                  <w:noWrap w:val="0"/>
                  <w:vAlign w:val="center"/>
                </w:tcPr>
                <w:p>
                  <w:pPr>
                    <w:widowControl/>
                    <w:adjustRightInd w:val="0"/>
                    <w:snapToGrid w:val="0"/>
                    <w:jc w:val="center"/>
                    <w:rPr>
                      <w:color w:val="auto"/>
                      <w:kern w:val="0"/>
                      <w:szCs w:val="24"/>
                      <w:lang w:bidi="en-US"/>
                    </w:rPr>
                  </w:pPr>
                  <w:r>
                    <w:rPr>
                      <w:rFonts w:hint="eastAsia"/>
                      <w:color w:val="auto"/>
                      <w:kern w:val="0"/>
                      <w:szCs w:val="24"/>
                      <w:lang w:bidi="en-US"/>
                    </w:rPr>
                    <w:t>经度</w:t>
                  </w:r>
                </w:p>
              </w:tc>
              <w:tc>
                <w:tcPr>
                  <w:tcW w:w="466" w:type="pct"/>
                  <w:tcBorders>
                    <w:tl2br w:val="nil"/>
                    <w:tr2bl w:val="nil"/>
                  </w:tcBorders>
                  <w:noWrap w:val="0"/>
                  <w:vAlign w:val="center"/>
                </w:tcPr>
                <w:p>
                  <w:pPr>
                    <w:widowControl/>
                    <w:adjustRightInd w:val="0"/>
                    <w:snapToGrid w:val="0"/>
                    <w:jc w:val="center"/>
                    <w:rPr>
                      <w:color w:val="auto"/>
                      <w:kern w:val="0"/>
                      <w:szCs w:val="24"/>
                      <w:lang w:bidi="en-US"/>
                    </w:rPr>
                  </w:pPr>
                  <w:r>
                    <w:rPr>
                      <w:rFonts w:hint="eastAsia"/>
                      <w:color w:val="auto"/>
                      <w:kern w:val="0"/>
                      <w:szCs w:val="24"/>
                      <w:lang w:bidi="en-US"/>
                    </w:rPr>
                    <w:t>纬度</w:t>
                  </w: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729"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602"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27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250" w:type="pct"/>
                  <w:vMerge w:val="continue"/>
                  <w:tcBorders>
                    <w:tl2br w:val="nil"/>
                    <w:tr2bl w:val="nil"/>
                  </w:tcBorders>
                  <w:noWrap w:val="0"/>
                  <w:vAlign w:val="center"/>
                </w:tcPr>
                <w:p>
                  <w:pPr>
                    <w:widowControl/>
                    <w:adjustRightInd w:val="0"/>
                    <w:snapToGrid w:val="0"/>
                    <w:jc w:val="center"/>
                    <w:rPr>
                      <w:color w:val="auto"/>
                      <w:kern w:val="0"/>
                      <w:szCs w:val="24"/>
                      <w:lang w:bidi="en-US"/>
                    </w:rPr>
                  </w:pPr>
                </w:p>
              </w:tc>
              <w:tc>
                <w:tcPr>
                  <w:tcW w:w="602" w:type="pct"/>
                  <w:vMerge w:val="continue"/>
                  <w:tcBorders>
                    <w:tl2br w:val="nil"/>
                    <w:tr2bl w:val="nil"/>
                  </w:tcBorders>
                  <w:noWrap w:val="0"/>
                  <w:vAlign w:val="center"/>
                </w:tcPr>
                <w:p>
                  <w:pPr>
                    <w:widowControl/>
                    <w:adjustRightInd w:val="0"/>
                    <w:snapToGrid w:val="0"/>
                    <w:jc w:val="center"/>
                    <w:rPr>
                      <w:color w:val="auto"/>
                      <w:kern w:val="0"/>
                      <w:szCs w:val="24"/>
                      <w:lang w:bidi="en-US"/>
                    </w:rPr>
                  </w:pPr>
                </w:p>
              </w:tc>
              <w:tc>
                <w:tcPr>
                  <w:tcW w:w="420" w:type="pct"/>
                  <w:vMerge w:val="continue"/>
                  <w:tcBorders>
                    <w:tl2br w:val="nil"/>
                    <w:tr2bl w:val="nil"/>
                  </w:tcBorders>
                  <w:noWrap w:val="0"/>
                  <w:vAlign w:val="center"/>
                </w:tcPr>
                <w:p>
                  <w:pPr>
                    <w:widowControl/>
                    <w:adjustRightInd w:val="0"/>
                    <w:snapToGrid w:val="0"/>
                    <w:jc w:val="center"/>
                    <w:rPr>
                      <w:color w:val="auto"/>
                      <w:kern w:val="0"/>
                      <w:szCs w:val="24"/>
                      <w:lang w:bidi="en-US"/>
                    </w:rPr>
                  </w:pPr>
                </w:p>
              </w:tc>
              <w:tc>
                <w:tcPr>
                  <w:tcW w:w="339" w:type="pct"/>
                  <w:vMerge w:val="continue"/>
                  <w:tcBorders>
                    <w:tl2br w:val="nil"/>
                    <w:tr2bl w:val="nil"/>
                  </w:tcBorders>
                  <w:noWrap w:val="0"/>
                  <w:vAlign w:val="center"/>
                </w:tcPr>
                <w:p>
                  <w:pPr>
                    <w:widowControl/>
                    <w:adjustRightInd w:val="0"/>
                    <w:snapToGrid w:val="0"/>
                    <w:jc w:val="center"/>
                    <w:rPr>
                      <w:color w:val="auto"/>
                      <w:kern w:val="0"/>
                      <w:szCs w:val="24"/>
                      <w:lang w:bidi="en-US"/>
                    </w:rPr>
                  </w:pPr>
                </w:p>
              </w:tc>
              <w:tc>
                <w:tcPr>
                  <w:tcW w:w="197"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钢城区环保局</w:t>
                  </w:r>
                </w:p>
              </w:tc>
              <w:tc>
                <w:tcPr>
                  <w:tcW w:w="434" w:type="pct"/>
                  <w:vMerge w:val="restart"/>
                  <w:tcBorders>
                    <w:tl2br w:val="nil"/>
                    <w:tr2bl w:val="nil"/>
                  </w:tcBorders>
                  <w:noWrap w:val="0"/>
                  <w:vAlign w:val="center"/>
                </w:tcPr>
                <w:p>
                  <w:pPr>
                    <w:widowControl/>
                    <w:adjustRightInd w:val="0"/>
                    <w:snapToGrid w:val="0"/>
                    <w:jc w:val="center"/>
                    <w:rPr>
                      <w:color w:val="auto"/>
                      <w:kern w:val="0"/>
                      <w:szCs w:val="24"/>
                      <w:lang w:bidi="en-US"/>
                    </w:rPr>
                  </w:pPr>
                  <w:r>
                    <w:rPr>
                      <w:color w:val="auto"/>
                      <w:kern w:val="0"/>
                      <w:szCs w:val="24"/>
                      <w:lang w:bidi="en-US"/>
                    </w:rPr>
                    <w:t>117°51′27.36″</w:t>
                  </w:r>
                </w:p>
              </w:tc>
              <w:tc>
                <w:tcPr>
                  <w:tcW w:w="466" w:type="pct"/>
                  <w:vMerge w:val="restart"/>
                  <w:tcBorders>
                    <w:tl2br w:val="nil"/>
                    <w:tr2bl w:val="nil"/>
                  </w:tcBorders>
                  <w:noWrap w:val="0"/>
                  <w:vAlign w:val="center"/>
                </w:tcPr>
                <w:p>
                  <w:pPr>
                    <w:widowControl/>
                    <w:adjustRightInd w:val="0"/>
                    <w:snapToGrid w:val="0"/>
                    <w:jc w:val="center"/>
                    <w:rPr>
                      <w:color w:val="auto"/>
                      <w:kern w:val="0"/>
                      <w:szCs w:val="24"/>
                      <w:lang w:bidi="en-US"/>
                    </w:rPr>
                  </w:pPr>
                  <w:r>
                    <w:rPr>
                      <w:color w:val="auto"/>
                      <w:kern w:val="0"/>
                      <w:szCs w:val="24"/>
                      <w:lang w:bidi="en-US"/>
                    </w:rPr>
                    <w:t>36°04′00.87″</w:t>
                  </w:r>
                </w:p>
              </w:tc>
              <w:tc>
                <w:tcPr>
                  <w:tcW w:w="466" w:type="pct"/>
                  <w:vMerge w:val="restart"/>
                  <w:tcBorders>
                    <w:tl2br w:val="nil"/>
                    <w:tr2bl w:val="nil"/>
                  </w:tcBorders>
                  <w:noWrap w:val="0"/>
                  <w:vAlign w:val="center"/>
                </w:tcPr>
                <w:p>
                  <w:pPr>
                    <w:widowControl/>
                    <w:adjustRightInd w:val="0"/>
                    <w:snapToGrid w:val="0"/>
                    <w:jc w:val="center"/>
                    <w:rPr>
                      <w:rFonts w:hint="eastAsia"/>
                      <w:color w:val="auto"/>
                      <w:kern w:val="0"/>
                      <w:szCs w:val="24"/>
                      <w:vertAlign w:val="subscript"/>
                      <w:lang w:bidi="en-US"/>
                    </w:rPr>
                  </w:pPr>
                  <w:r>
                    <w:rPr>
                      <w:rFonts w:hint="eastAsia"/>
                      <w:color w:val="auto"/>
                      <w:kern w:val="0"/>
                      <w:szCs w:val="24"/>
                      <w:lang w:bidi="en-US"/>
                    </w:rPr>
                    <w:t>P</w:t>
                  </w:r>
                  <w:r>
                    <w:rPr>
                      <w:color w:val="auto"/>
                      <w:kern w:val="0"/>
                      <w:szCs w:val="24"/>
                      <w:lang w:bidi="en-US"/>
                    </w:rPr>
                    <w:t>M</w:t>
                  </w:r>
                  <w:r>
                    <w:rPr>
                      <w:color w:val="auto"/>
                      <w:kern w:val="0"/>
                      <w:szCs w:val="24"/>
                      <w:vertAlign w:val="subscript"/>
                      <w:lang w:bidi="en-US"/>
                    </w:rPr>
                    <w:t>10</w:t>
                  </w: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年平均</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7</w:t>
                  </w:r>
                  <w:r>
                    <w:rPr>
                      <w:color w:val="auto"/>
                      <w:kern w:val="0"/>
                      <w:szCs w:val="24"/>
                      <w:lang w:bidi="en-US"/>
                    </w:rPr>
                    <w:t>0</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116</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197"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vMerge w:val="continue"/>
                  <w:tcBorders>
                    <w:tl2br w:val="nil"/>
                    <w:tr2bl w:val="nil"/>
                  </w:tcBorders>
                  <w:noWrap w:val="0"/>
                  <w:vAlign w:val="center"/>
                </w:tcPr>
                <w:p>
                  <w:pPr>
                    <w:widowControl/>
                    <w:adjustRightInd w:val="0"/>
                    <w:snapToGrid w:val="0"/>
                    <w:jc w:val="center"/>
                    <w:rPr>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日平均-</w:t>
                  </w:r>
                  <w:r>
                    <w:rPr>
                      <w:color w:val="auto"/>
                      <w:kern w:val="0"/>
                      <w:szCs w:val="24"/>
                      <w:lang w:bidi="en-US"/>
                    </w:rPr>
                    <w:t>95per</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1</w:t>
                  </w:r>
                  <w:r>
                    <w:rPr>
                      <w:color w:val="auto"/>
                      <w:kern w:val="0"/>
                      <w:szCs w:val="24"/>
                      <w:lang w:bidi="en-US"/>
                    </w:rPr>
                    <w:t>50</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3</w:t>
                  </w:r>
                  <w:r>
                    <w:rPr>
                      <w:color w:val="auto"/>
                      <w:kern w:val="0"/>
                      <w:szCs w:val="24"/>
                      <w:lang w:bidi="en-US"/>
                    </w:rPr>
                    <w:t>57</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7</w:t>
                  </w:r>
                  <w:r>
                    <w:rPr>
                      <w:color w:val="auto"/>
                      <w:kern w:val="0"/>
                      <w:szCs w:val="24"/>
                      <w:lang w:bidi="en-US"/>
                    </w:rPr>
                    <w:t>7</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226</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274.7</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21.6</w:t>
                  </w:r>
                </w:p>
              </w:tc>
              <w:tc>
                <w:tcPr>
                  <w:tcW w:w="197"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restart"/>
                  <w:tcBorders>
                    <w:tl2br w:val="nil"/>
                    <w:tr2bl w:val="nil"/>
                  </w:tcBorders>
                  <w:noWrap w:val="0"/>
                  <w:vAlign w:val="center"/>
                </w:tcPr>
                <w:p>
                  <w:pPr>
                    <w:widowControl/>
                    <w:adjustRightInd w:val="0"/>
                    <w:snapToGrid w:val="0"/>
                    <w:jc w:val="center"/>
                    <w:rPr>
                      <w:rFonts w:hint="eastAsia"/>
                      <w:color w:val="auto"/>
                      <w:kern w:val="0"/>
                      <w:szCs w:val="24"/>
                      <w:vertAlign w:val="subscript"/>
                      <w:lang w:bidi="en-US"/>
                    </w:rPr>
                  </w:pPr>
                  <w:r>
                    <w:rPr>
                      <w:rFonts w:hint="eastAsia"/>
                      <w:color w:val="auto"/>
                      <w:kern w:val="0"/>
                      <w:szCs w:val="24"/>
                      <w:lang w:bidi="en-US"/>
                    </w:rPr>
                    <w:t>P</w:t>
                  </w:r>
                  <w:r>
                    <w:rPr>
                      <w:color w:val="auto"/>
                      <w:kern w:val="0"/>
                      <w:szCs w:val="24"/>
                      <w:lang w:bidi="en-US"/>
                    </w:rPr>
                    <w:t>M</w:t>
                  </w:r>
                  <w:r>
                    <w:rPr>
                      <w:color w:val="auto"/>
                      <w:kern w:val="0"/>
                      <w:szCs w:val="24"/>
                      <w:vertAlign w:val="subscript"/>
                      <w:lang w:bidi="en-US"/>
                    </w:rPr>
                    <w:t>2.5</w:t>
                  </w: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年平均</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3</w:t>
                  </w:r>
                  <w:r>
                    <w:rPr>
                      <w:color w:val="auto"/>
                      <w:kern w:val="0"/>
                      <w:szCs w:val="24"/>
                      <w:lang w:bidi="en-US"/>
                    </w:rPr>
                    <w:t>5</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48.6</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197"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日平均-</w:t>
                  </w:r>
                  <w:r>
                    <w:rPr>
                      <w:color w:val="auto"/>
                      <w:kern w:val="0"/>
                      <w:szCs w:val="24"/>
                      <w:lang w:bidi="en-US"/>
                    </w:rPr>
                    <w:t>95per</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7</w:t>
                  </w:r>
                  <w:r>
                    <w:rPr>
                      <w:color w:val="auto"/>
                      <w:kern w:val="0"/>
                      <w:szCs w:val="24"/>
                      <w:lang w:bidi="en-US"/>
                    </w:rPr>
                    <w:t>5</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3</w:t>
                  </w:r>
                  <w:r>
                    <w:rPr>
                      <w:color w:val="auto"/>
                      <w:kern w:val="0"/>
                      <w:szCs w:val="24"/>
                      <w:lang w:bidi="en-US"/>
                    </w:rPr>
                    <w:t>51</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54</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112</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377.3</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15.38</w:t>
                  </w:r>
                </w:p>
              </w:tc>
              <w:tc>
                <w:tcPr>
                  <w:tcW w:w="197"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restart"/>
                  <w:tcBorders>
                    <w:tl2br w:val="nil"/>
                    <w:tr2bl w:val="nil"/>
                  </w:tcBorders>
                  <w:noWrap w:val="0"/>
                  <w:vAlign w:val="center"/>
                </w:tcPr>
                <w:p>
                  <w:pPr>
                    <w:widowControl/>
                    <w:adjustRightInd w:val="0"/>
                    <w:snapToGrid w:val="0"/>
                    <w:jc w:val="center"/>
                    <w:rPr>
                      <w:rFonts w:hint="eastAsia"/>
                      <w:color w:val="auto"/>
                      <w:kern w:val="0"/>
                      <w:szCs w:val="24"/>
                      <w:vertAlign w:val="subscript"/>
                      <w:lang w:bidi="en-US"/>
                    </w:rPr>
                  </w:pPr>
                  <w:r>
                    <w:rPr>
                      <w:rFonts w:hint="eastAsia"/>
                      <w:color w:val="auto"/>
                      <w:kern w:val="0"/>
                      <w:szCs w:val="24"/>
                      <w:lang w:bidi="en-US"/>
                    </w:rPr>
                    <w:t>S</w:t>
                  </w:r>
                  <w:r>
                    <w:rPr>
                      <w:color w:val="auto"/>
                      <w:kern w:val="0"/>
                      <w:szCs w:val="24"/>
                      <w:lang w:bidi="en-US"/>
                    </w:rPr>
                    <w:t>O</w:t>
                  </w:r>
                  <w:r>
                    <w:rPr>
                      <w:color w:val="auto"/>
                      <w:kern w:val="0"/>
                      <w:szCs w:val="24"/>
                      <w:vertAlign w:val="subscript"/>
                      <w:lang w:bidi="en-US"/>
                    </w:rPr>
                    <w:t>2</w:t>
                  </w: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年平均</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6</w:t>
                  </w:r>
                  <w:r>
                    <w:rPr>
                      <w:color w:val="auto"/>
                      <w:kern w:val="0"/>
                      <w:szCs w:val="24"/>
                      <w:lang w:bidi="en-US"/>
                    </w:rPr>
                    <w:t>0</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30.4</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197"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日平均-</w:t>
                  </w:r>
                  <w:r>
                    <w:rPr>
                      <w:color w:val="auto"/>
                      <w:kern w:val="0"/>
                      <w:szCs w:val="24"/>
                      <w:lang w:bidi="en-US"/>
                    </w:rPr>
                    <w:t>98per</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1</w:t>
                  </w:r>
                  <w:r>
                    <w:rPr>
                      <w:color w:val="auto"/>
                      <w:kern w:val="0"/>
                      <w:szCs w:val="24"/>
                      <w:lang w:bidi="en-US"/>
                    </w:rPr>
                    <w:t>50</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3</w:t>
                  </w:r>
                  <w:r>
                    <w:rPr>
                      <w:color w:val="auto"/>
                      <w:kern w:val="0"/>
                      <w:szCs w:val="24"/>
                      <w:lang w:bidi="en-US"/>
                    </w:rPr>
                    <w:t>57</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69</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112</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0.28</w:t>
                  </w:r>
                </w:p>
              </w:tc>
              <w:tc>
                <w:tcPr>
                  <w:tcW w:w="197"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restart"/>
                  <w:tcBorders>
                    <w:tl2br w:val="nil"/>
                    <w:tr2bl w:val="nil"/>
                  </w:tcBorders>
                  <w:noWrap w:val="0"/>
                  <w:vAlign w:val="center"/>
                </w:tcPr>
                <w:p>
                  <w:pPr>
                    <w:widowControl/>
                    <w:adjustRightInd w:val="0"/>
                    <w:snapToGrid w:val="0"/>
                    <w:jc w:val="center"/>
                    <w:rPr>
                      <w:rFonts w:hint="eastAsia"/>
                      <w:color w:val="auto"/>
                      <w:kern w:val="0"/>
                      <w:szCs w:val="24"/>
                      <w:vertAlign w:val="subscript"/>
                      <w:lang w:bidi="en-US"/>
                    </w:rPr>
                  </w:pPr>
                  <w:r>
                    <w:rPr>
                      <w:rFonts w:hint="eastAsia"/>
                      <w:color w:val="auto"/>
                      <w:kern w:val="0"/>
                      <w:szCs w:val="24"/>
                      <w:lang w:bidi="en-US"/>
                    </w:rPr>
                    <w:t>N</w:t>
                  </w:r>
                  <w:r>
                    <w:rPr>
                      <w:color w:val="auto"/>
                      <w:kern w:val="0"/>
                      <w:szCs w:val="24"/>
                      <w:lang w:bidi="en-US"/>
                    </w:rPr>
                    <w:t>O</w:t>
                  </w:r>
                  <w:r>
                    <w:rPr>
                      <w:color w:val="auto"/>
                      <w:kern w:val="0"/>
                      <w:szCs w:val="24"/>
                      <w:vertAlign w:val="subscript"/>
                      <w:lang w:bidi="en-US"/>
                    </w:rPr>
                    <w:t>2</w:t>
                  </w: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年平均</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4</w:t>
                  </w:r>
                  <w:r>
                    <w:rPr>
                      <w:color w:val="auto"/>
                      <w:kern w:val="0"/>
                      <w:szCs w:val="24"/>
                      <w:lang w:bidi="en-US"/>
                    </w:rPr>
                    <w:t>0</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46</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w:t>
                  </w:r>
                </w:p>
              </w:tc>
              <w:tc>
                <w:tcPr>
                  <w:tcW w:w="197" w:type="pct"/>
                  <w:vMerge w:val="restar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日平均-</w:t>
                  </w:r>
                  <w:r>
                    <w:rPr>
                      <w:color w:val="auto"/>
                      <w:kern w:val="0"/>
                      <w:szCs w:val="24"/>
                      <w:lang w:bidi="en-US"/>
                    </w:rPr>
                    <w:t>98per</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8</w:t>
                  </w:r>
                  <w:r>
                    <w:rPr>
                      <w:color w:val="auto"/>
                      <w:kern w:val="0"/>
                      <w:szCs w:val="24"/>
                      <w:lang w:bidi="en-US"/>
                    </w:rPr>
                    <w:t>0</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3</w:t>
                  </w:r>
                  <w:r>
                    <w:rPr>
                      <w:color w:val="auto"/>
                      <w:kern w:val="0"/>
                      <w:szCs w:val="24"/>
                      <w:lang w:bidi="en-US"/>
                    </w:rPr>
                    <w:t>57</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1</w:t>
                  </w:r>
                  <w:r>
                    <w:rPr>
                      <w:color w:val="auto"/>
                      <w:kern w:val="0"/>
                      <w:szCs w:val="24"/>
                      <w:lang w:bidi="en-US"/>
                    </w:rPr>
                    <w:t>4</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83</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123.75</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3.92</w:t>
                  </w:r>
                </w:p>
              </w:tc>
              <w:tc>
                <w:tcPr>
                  <w:tcW w:w="197"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C</w:t>
                  </w:r>
                  <w:r>
                    <w:rPr>
                      <w:color w:val="auto"/>
                      <w:kern w:val="0"/>
                      <w:szCs w:val="24"/>
                      <w:lang w:bidi="en-US"/>
                    </w:rPr>
                    <w:t>O</w:t>
                  </w: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日平均-</w:t>
                  </w:r>
                  <w:r>
                    <w:rPr>
                      <w:color w:val="auto"/>
                      <w:kern w:val="0"/>
                      <w:szCs w:val="24"/>
                      <w:lang w:bidi="en-US"/>
                    </w:rPr>
                    <w:t>95per</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4</w:t>
                  </w:r>
                  <w:r>
                    <w:rPr>
                      <w:color w:val="auto"/>
                      <w:kern w:val="0"/>
                      <w:szCs w:val="24"/>
                      <w:lang w:bidi="en-US"/>
                    </w:rPr>
                    <w:t>000</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3</w:t>
                  </w:r>
                  <w:r>
                    <w:rPr>
                      <w:color w:val="auto"/>
                      <w:kern w:val="0"/>
                      <w:szCs w:val="24"/>
                      <w:lang w:bidi="en-US"/>
                    </w:rPr>
                    <w:t>55</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2500</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132.5</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0.28</w:t>
                  </w:r>
                </w:p>
              </w:tc>
              <w:tc>
                <w:tcPr>
                  <w:tcW w:w="197"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34"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vMerge w:val="continue"/>
                  <w:tcBorders>
                    <w:tl2br w:val="nil"/>
                    <w:tr2bl w:val="nil"/>
                  </w:tcBorders>
                  <w:noWrap w:val="0"/>
                  <w:vAlign w:val="center"/>
                </w:tcPr>
                <w:p>
                  <w:pPr>
                    <w:widowControl/>
                    <w:adjustRightInd w:val="0"/>
                    <w:snapToGrid w:val="0"/>
                    <w:jc w:val="center"/>
                    <w:rPr>
                      <w:rFonts w:hint="eastAsia"/>
                      <w:color w:val="auto"/>
                      <w:kern w:val="0"/>
                      <w:szCs w:val="24"/>
                      <w:lang w:bidi="en-US"/>
                    </w:rPr>
                  </w:pPr>
                </w:p>
              </w:tc>
              <w:tc>
                <w:tcPr>
                  <w:tcW w:w="466" w:type="pct"/>
                  <w:tcBorders>
                    <w:tl2br w:val="nil"/>
                    <w:tr2bl w:val="nil"/>
                  </w:tcBorders>
                  <w:noWrap w:val="0"/>
                  <w:vAlign w:val="center"/>
                </w:tcPr>
                <w:p>
                  <w:pPr>
                    <w:widowControl/>
                    <w:adjustRightInd w:val="0"/>
                    <w:snapToGrid w:val="0"/>
                    <w:jc w:val="center"/>
                    <w:rPr>
                      <w:rFonts w:hint="eastAsia"/>
                      <w:color w:val="auto"/>
                      <w:kern w:val="0"/>
                      <w:szCs w:val="24"/>
                      <w:vertAlign w:val="subscript"/>
                      <w:lang w:bidi="en-US"/>
                    </w:rPr>
                  </w:pPr>
                  <w:r>
                    <w:rPr>
                      <w:rFonts w:hint="eastAsia"/>
                      <w:color w:val="auto"/>
                      <w:kern w:val="0"/>
                      <w:szCs w:val="24"/>
                      <w:lang w:bidi="en-US"/>
                    </w:rPr>
                    <w:t>O</w:t>
                  </w:r>
                  <w:r>
                    <w:rPr>
                      <w:color w:val="auto"/>
                      <w:kern w:val="0"/>
                      <w:szCs w:val="24"/>
                      <w:vertAlign w:val="subscript"/>
                      <w:lang w:bidi="en-US"/>
                    </w:rPr>
                    <w:t>3</w:t>
                  </w:r>
                </w:p>
              </w:tc>
              <w:tc>
                <w:tcPr>
                  <w:tcW w:w="72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8</w:t>
                  </w:r>
                  <w:r>
                    <w:rPr>
                      <w:color w:val="auto"/>
                      <w:kern w:val="0"/>
                      <w:szCs w:val="24"/>
                      <w:lang w:bidi="en-US"/>
                    </w:rPr>
                    <w:t>h</w:t>
                  </w:r>
                  <w:r>
                    <w:rPr>
                      <w:rFonts w:hint="eastAsia"/>
                      <w:color w:val="auto"/>
                      <w:kern w:val="0"/>
                      <w:szCs w:val="24"/>
                      <w:lang w:bidi="en-US"/>
                    </w:rPr>
                    <w:t>平均-</w:t>
                  </w:r>
                  <w:r>
                    <w:rPr>
                      <w:color w:val="auto"/>
                      <w:kern w:val="0"/>
                      <w:szCs w:val="24"/>
                      <w:lang w:bidi="en-US"/>
                    </w:rPr>
                    <w:t>90per</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1</w:t>
                  </w:r>
                  <w:r>
                    <w:rPr>
                      <w:color w:val="auto"/>
                      <w:kern w:val="0"/>
                      <w:szCs w:val="24"/>
                      <w:lang w:bidi="en-US"/>
                    </w:rPr>
                    <w:t>60</w:t>
                  </w:r>
                </w:p>
              </w:tc>
              <w:tc>
                <w:tcPr>
                  <w:tcW w:w="276"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3</w:t>
                  </w:r>
                  <w:r>
                    <w:rPr>
                      <w:color w:val="auto"/>
                      <w:kern w:val="0"/>
                      <w:szCs w:val="24"/>
                      <w:lang w:bidi="en-US"/>
                    </w:rPr>
                    <w:t>54</w:t>
                  </w:r>
                </w:p>
              </w:tc>
              <w:tc>
                <w:tcPr>
                  <w:tcW w:w="25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111</w:t>
                  </w:r>
                </w:p>
              </w:tc>
              <w:tc>
                <w:tcPr>
                  <w:tcW w:w="602"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204</w:t>
                  </w:r>
                </w:p>
              </w:tc>
              <w:tc>
                <w:tcPr>
                  <w:tcW w:w="420"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158.75</w:t>
                  </w:r>
                </w:p>
              </w:tc>
              <w:tc>
                <w:tcPr>
                  <w:tcW w:w="339"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color w:val="auto"/>
                      <w:kern w:val="0"/>
                      <w:szCs w:val="24"/>
                      <w:lang w:bidi="en-US"/>
                    </w:rPr>
                    <w:t>31.36</w:t>
                  </w:r>
                </w:p>
              </w:tc>
              <w:tc>
                <w:tcPr>
                  <w:tcW w:w="197" w:type="pct"/>
                  <w:tcBorders>
                    <w:tl2br w:val="nil"/>
                    <w:tr2bl w:val="nil"/>
                  </w:tcBorders>
                  <w:noWrap w:val="0"/>
                  <w:vAlign w:val="center"/>
                </w:tcPr>
                <w:p>
                  <w:pPr>
                    <w:widowControl/>
                    <w:adjustRightInd w:val="0"/>
                    <w:snapToGrid w:val="0"/>
                    <w:jc w:val="center"/>
                    <w:rPr>
                      <w:rFonts w:hint="eastAsia"/>
                      <w:color w:val="auto"/>
                      <w:kern w:val="0"/>
                      <w:szCs w:val="24"/>
                      <w:lang w:bidi="en-US"/>
                    </w:rPr>
                  </w:pPr>
                  <w:r>
                    <w:rPr>
                      <w:rFonts w:hint="eastAsia"/>
                      <w:color w:val="auto"/>
                      <w:kern w:val="0"/>
                      <w:szCs w:val="24"/>
                      <w:lang w:bidi="en-US"/>
                    </w:rPr>
                    <w:t>不达标</w:t>
                  </w:r>
                </w:p>
              </w:tc>
            </w:tr>
          </w:tbl>
          <w:p>
            <w:pPr>
              <w:spacing w:line="360" w:lineRule="auto"/>
              <w:ind w:firstLine="480" w:firstLineChars="200"/>
              <w:rPr>
                <w:color w:val="auto"/>
                <w:kern w:val="0"/>
                <w:sz w:val="24"/>
                <w:lang w:bidi="en-US"/>
              </w:rPr>
            </w:pPr>
            <w:r>
              <w:rPr>
                <w:rFonts w:hint="eastAsia"/>
                <w:color w:val="auto"/>
                <w:kern w:val="0"/>
                <w:sz w:val="24"/>
                <w:lang w:bidi="en-US"/>
              </w:rPr>
              <w:t>六项基本污染物中SO</w:t>
            </w:r>
            <w:r>
              <w:rPr>
                <w:rFonts w:hint="eastAsia"/>
                <w:color w:val="auto"/>
                <w:kern w:val="0"/>
                <w:sz w:val="24"/>
                <w:vertAlign w:val="subscript"/>
                <w:lang w:bidi="en-US"/>
              </w:rPr>
              <w:t>2</w:t>
            </w:r>
            <w:r>
              <w:rPr>
                <w:rFonts w:hint="eastAsia"/>
                <w:color w:val="auto"/>
                <w:kern w:val="0"/>
                <w:sz w:val="24"/>
                <w:lang w:bidi="en-US"/>
              </w:rPr>
              <w:t>、CO满足《环境空气质量标准》(GB3095-2012)标准要求，其余四项污染物存在超标现象。201</w:t>
            </w:r>
            <w:r>
              <w:rPr>
                <w:color w:val="auto"/>
                <w:kern w:val="0"/>
                <w:sz w:val="24"/>
                <w:lang w:bidi="en-US"/>
              </w:rPr>
              <w:t>9</w:t>
            </w:r>
            <w:r>
              <w:rPr>
                <w:rFonts w:hint="eastAsia"/>
                <w:color w:val="auto"/>
                <w:kern w:val="0"/>
                <w:sz w:val="24"/>
                <w:lang w:bidi="en-US"/>
              </w:rPr>
              <w:t>.1.1~201</w:t>
            </w:r>
            <w:r>
              <w:rPr>
                <w:color w:val="auto"/>
                <w:kern w:val="0"/>
                <w:sz w:val="24"/>
                <w:lang w:bidi="en-US"/>
              </w:rPr>
              <w:t>9</w:t>
            </w:r>
            <w:r>
              <w:rPr>
                <w:rFonts w:hint="eastAsia"/>
                <w:color w:val="auto"/>
                <w:kern w:val="0"/>
                <w:sz w:val="24"/>
                <w:lang w:bidi="en-US"/>
              </w:rPr>
              <w:t>.12.31期间，SO</w:t>
            </w:r>
            <w:r>
              <w:rPr>
                <w:rFonts w:hint="eastAsia"/>
                <w:color w:val="auto"/>
                <w:kern w:val="0"/>
                <w:sz w:val="24"/>
                <w:vertAlign w:val="subscript"/>
                <w:lang w:bidi="en-US"/>
              </w:rPr>
              <w:t>2</w:t>
            </w:r>
            <w:r>
              <w:rPr>
                <w:rFonts w:hint="eastAsia"/>
                <w:color w:val="auto"/>
                <w:kern w:val="0"/>
                <w:sz w:val="24"/>
                <w:lang w:bidi="en-US"/>
              </w:rPr>
              <w:t>的年平均值、24小时平均第98百分位数以及CO的24小时平均第95百分位数均可满足《环境空气质量标准》(GB3095-2012)中的二级标准要求；PM</w:t>
            </w:r>
            <w:r>
              <w:rPr>
                <w:rFonts w:hint="eastAsia"/>
                <w:color w:val="auto"/>
                <w:kern w:val="0"/>
                <w:sz w:val="24"/>
                <w:vertAlign w:val="subscript"/>
                <w:lang w:bidi="en-US"/>
              </w:rPr>
              <w:t>10</w:t>
            </w:r>
            <w:r>
              <w:rPr>
                <w:rFonts w:hint="eastAsia"/>
                <w:color w:val="auto"/>
                <w:kern w:val="0"/>
                <w:sz w:val="24"/>
                <w:lang w:bidi="en-US"/>
              </w:rPr>
              <w:t>、PM</w:t>
            </w:r>
            <w:r>
              <w:rPr>
                <w:rFonts w:hint="eastAsia"/>
                <w:color w:val="auto"/>
                <w:kern w:val="0"/>
                <w:sz w:val="24"/>
                <w:vertAlign w:val="subscript"/>
                <w:lang w:bidi="en-US"/>
              </w:rPr>
              <w:t>2.5</w:t>
            </w:r>
            <w:r>
              <w:rPr>
                <w:rFonts w:hint="eastAsia"/>
                <w:color w:val="auto"/>
                <w:kern w:val="0"/>
                <w:sz w:val="24"/>
                <w:lang w:bidi="en-US"/>
              </w:rPr>
              <w:t>、NO</w:t>
            </w:r>
            <w:r>
              <w:rPr>
                <w:rFonts w:hint="eastAsia"/>
                <w:color w:val="auto"/>
                <w:kern w:val="0"/>
                <w:sz w:val="24"/>
                <w:vertAlign w:val="subscript"/>
                <w:lang w:bidi="en-US"/>
              </w:rPr>
              <w:t>2</w:t>
            </w:r>
            <w:r>
              <w:rPr>
                <w:rFonts w:hint="eastAsia"/>
                <w:color w:val="auto"/>
                <w:kern w:val="0"/>
                <w:sz w:val="24"/>
                <w:lang w:bidi="en-US"/>
              </w:rPr>
              <w:t>、O</w:t>
            </w:r>
            <w:r>
              <w:rPr>
                <w:color w:val="auto"/>
                <w:kern w:val="0"/>
                <w:sz w:val="24"/>
                <w:vertAlign w:val="subscript"/>
                <w:lang w:bidi="en-US"/>
              </w:rPr>
              <w:t>3</w:t>
            </w:r>
            <w:r>
              <w:rPr>
                <w:rFonts w:hint="eastAsia"/>
                <w:color w:val="auto"/>
                <w:kern w:val="0"/>
                <w:sz w:val="24"/>
                <w:lang w:bidi="en-US"/>
              </w:rPr>
              <w:t>年评价指标均有不同程度的超标。</w:t>
            </w:r>
          </w:p>
          <w:p>
            <w:pPr>
              <w:spacing w:line="500" w:lineRule="exact"/>
              <w:jc w:val="center"/>
              <w:rPr>
                <w:rFonts w:hint="default" w:ascii="Times New Roman" w:hAnsi="Times New Roman" w:eastAsia="宋体"/>
                <w:b w:val="0"/>
                <w:color w:val="auto"/>
                <w:kern w:val="2"/>
                <w:sz w:val="24"/>
                <w:szCs w:val="22"/>
                <w:lang w:bidi="en-US"/>
              </w:rPr>
            </w:pPr>
            <w:r>
              <w:rPr>
                <w:rFonts w:hint="default" w:ascii="Times New Roman" w:hAnsi="Times New Roman" w:eastAsia="宋体"/>
                <w:b w:val="0"/>
                <w:color w:val="auto"/>
                <w:sz w:val="24"/>
                <w:szCs w:val="22"/>
                <w:lang w:bidi="en-US"/>
              </w:rPr>
              <w:t>表</w:t>
            </w:r>
            <w:r>
              <w:rPr>
                <w:rFonts w:hint="eastAsia" w:ascii="Times New Roman" w:hAnsi="Times New Roman" w:eastAsia="宋体"/>
                <w:b w:val="0"/>
                <w:color w:val="auto"/>
                <w:sz w:val="24"/>
                <w:szCs w:val="22"/>
                <w:lang w:eastAsia="zh-CN" w:bidi="en-US"/>
              </w:rPr>
              <w:t>3</w:t>
            </w:r>
            <w:r>
              <w:rPr>
                <w:rFonts w:hint="eastAsia" w:ascii="Times New Roman" w:hAnsi="Times New Roman" w:eastAsia="宋体"/>
                <w:b w:val="0"/>
                <w:color w:val="auto"/>
                <w:sz w:val="24"/>
                <w:szCs w:val="22"/>
                <w:lang w:val="en-US" w:eastAsia="zh-CN" w:bidi="en-US"/>
              </w:rPr>
              <w:t xml:space="preserve">-2  </w:t>
            </w:r>
            <w:r>
              <w:rPr>
                <w:rFonts w:hint="default" w:ascii="Times New Roman" w:hAnsi="Times New Roman" w:eastAsia="宋体"/>
                <w:b w:val="0"/>
                <w:color w:val="auto"/>
                <w:sz w:val="24"/>
                <w:szCs w:val="22"/>
                <w:lang w:bidi="en-US"/>
              </w:rPr>
              <w:t>2019、2020年1~4月份环境空气质量状况及改善率一览表</w:t>
            </w:r>
          </w:p>
          <w:tbl>
            <w:tblPr>
              <w:tblStyle w:val="24"/>
              <w:tblW w:w="9354" w:type="dxa"/>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1596"/>
              <w:gridCol w:w="965"/>
              <w:gridCol w:w="965"/>
              <w:gridCol w:w="965"/>
              <w:gridCol w:w="965"/>
              <w:gridCol w:w="965"/>
              <w:gridCol w:w="965"/>
              <w:gridCol w:w="1004"/>
              <w:gridCol w:w="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restart"/>
                  <w:tcBorders>
                    <w:tl2br w:val="nil"/>
                    <w:tr2bl w:val="nil"/>
                  </w:tcBorders>
                  <w:noWrap/>
                  <w:vAlign w:val="center"/>
                </w:tcPr>
                <w:p>
                  <w:pPr>
                    <w:widowControl/>
                    <w:adjustRightInd w:val="0"/>
                    <w:snapToGrid w:val="0"/>
                    <w:jc w:val="center"/>
                    <w:rPr>
                      <w:color w:val="auto"/>
                      <w:kern w:val="0"/>
                    </w:rPr>
                  </w:pPr>
                  <w:r>
                    <w:rPr>
                      <w:rFonts w:hint="eastAsia"/>
                      <w:color w:val="auto"/>
                      <w:kern w:val="0"/>
                    </w:rPr>
                    <w:t>时间</w:t>
                  </w:r>
                </w:p>
              </w:tc>
              <w:tc>
                <w:tcPr>
                  <w:tcW w:w="515" w:type="pct"/>
                  <w:vMerge w:val="restart"/>
                  <w:tcBorders>
                    <w:tl2br w:val="nil"/>
                    <w:tr2bl w:val="nil"/>
                  </w:tcBorders>
                  <w:noWrap/>
                  <w:vAlign w:val="center"/>
                </w:tcPr>
                <w:p>
                  <w:pPr>
                    <w:widowControl/>
                    <w:adjustRightInd w:val="0"/>
                    <w:snapToGrid w:val="0"/>
                    <w:jc w:val="center"/>
                    <w:rPr>
                      <w:color w:val="auto"/>
                      <w:kern w:val="0"/>
                    </w:rPr>
                  </w:pPr>
                  <w:r>
                    <w:rPr>
                      <w:rFonts w:hint="eastAsia"/>
                      <w:color w:val="auto"/>
                      <w:kern w:val="0"/>
                    </w:rPr>
                    <w:t>年份</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SO</w:t>
                  </w:r>
                  <w:r>
                    <w:rPr>
                      <w:rFonts w:hint="eastAsia"/>
                      <w:color w:val="auto"/>
                      <w:kern w:val="0"/>
                      <w:vertAlign w:val="subscript"/>
                    </w:rPr>
                    <w:t>2</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NO</w:t>
                  </w:r>
                  <w:r>
                    <w:rPr>
                      <w:rFonts w:hint="eastAsia"/>
                      <w:color w:val="auto"/>
                      <w:kern w:val="0"/>
                      <w:vertAlign w:val="subscript"/>
                    </w:rPr>
                    <w:t>2</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PM</w:t>
                  </w:r>
                  <w:r>
                    <w:rPr>
                      <w:rFonts w:hint="eastAsia"/>
                      <w:color w:val="auto"/>
                      <w:kern w:val="0"/>
                      <w:vertAlign w:val="subscript"/>
                    </w:rPr>
                    <w:t>10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PM</w:t>
                  </w:r>
                  <w:r>
                    <w:rPr>
                      <w:rFonts w:hint="eastAsia"/>
                      <w:color w:val="auto"/>
                      <w:kern w:val="0"/>
                      <w:vertAlign w:val="subscript"/>
                    </w:rPr>
                    <w:t>2.5</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CO</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O</w:t>
                  </w:r>
                  <w:r>
                    <w:rPr>
                      <w:rFonts w:hint="eastAsia"/>
                      <w:color w:val="auto"/>
                      <w:kern w:val="0"/>
                      <w:vertAlign w:val="subscript"/>
                    </w:rPr>
                    <w:t>3</w:t>
                  </w:r>
                </w:p>
              </w:tc>
              <w:tc>
                <w:tcPr>
                  <w:tcW w:w="515" w:type="pct"/>
                  <w:vMerge w:val="restart"/>
                  <w:tcBorders>
                    <w:tl2br w:val="nil"/>
                    <w:tr2bl w:val="nil"/>
                  </w:tcBorders>
                  <w:noWrap w:val="0"/>
                  <w:vAlign w:val="center"/>
                </w:tcPr>
                <w:p>
                  <w:pPr>
                    <w:widowControl/>
                    <w:adjustRightInd w:val="0"/>
                    <w:snapToGrid w:val="0"/>
                    <w:jc w:val="center"/>
                    <w:rPr>
                      <w:color w:val="auto"/>
                      <w:kern w:val="0"/>
                    </w:rPr>
                  </w:pPr>
                  <w:r>
                    <w:rPr>
                      <w:rFonts w:hint="eastAsia"/>
                      <w:color w:val="auto"/>
                      <w:kern w:val="0"/>
                    </w:rPr>
                    <w:t>综合指数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continue"/>
                  <w:tcBorders>
                    <w:tl2br w:val="nil"/>
                    <w:tr2bl w:val="nil"/>
                  </w:tcBorders>
                  <w:noWrap w:val="0"/>
                  <w:vAlign w:val="center"/>
                </w:tcPr>
                <w:p>
                  <w:pPr>
                    <w:widowControl/>
                    <w:adjustRightInd w:val="0"/>
                    <w:snapToGrid w:val="0"/>
                    <w:jc w:val="center"/>
                    <w:rPr>
                      <w:color w:val="auto"/>
                      <w:kern w:val="0"/>
                    </w:rPr>
                  </w:pPr>
                </w:p>
              </w:tc>
              <w:tc>
                <w:tcPr>
                  <w:tcW w:w="515" w:type="pct"/>
                  <w:vMerge w:val="continue"/>
                  <w:tcBorders>
                    <w:tl2br w:val="nil"/>
                    <w:tr2bl w:val="nil"/>
                  </w:tcBorders>
                  <w:noWrap w:val="0"/>
                  <w:vAlign w:val="center"/>
                </w:tcPr>
                <w:p>
                  <w:pPr>
                    <w:widowControl/>
                    <w:adjustRightInd w:val="0"/>
                    <w:snapToGrid w:val="0"/>
                    <w:jc w:val="center"/>
                    <w:rPr>
                      <w:color w:val="auto"/>
                      <w:kern w:val="0"/>
                    </w:rPr>
                  </w:pP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ug/m</w:t>
                  </w:r>
                  <w:r>
                    <w:rPr>
                      <w:rFonts w:hint="eastAsia"/>
                      <w:color w:val="auto"/>
                      <w:kern w:val="0"/>
                      <w:vertAlign w:val="superscript"/>
                    </w:rPr>
                    <w:t>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ug/m</w:t>
                  </w:r>
                  <w:r>
                    <w:rPr>
                      <w:rFonts w:hint="eastAsia"/>
                      <w:color w:val="auto"/>
                      <w:kern w:val="0"/>
                      <w:vertAlign w:val="superscript"/>
                    </w:rPr>
                    <w:t>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ug/m</w:t>
                  </w:r>
                  <w:r>
                    <w:rPr>
                      <w:rFonts w:hint="eastAsia"/>
                      <w:color w:val="auto"/>
                      <w:kern w:val="0"/>
                      <w:vertAlign w:val="superscript"/>
                    </w:rPr>
                    <w:t>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ug/m</w:t>
                  </w:r>
                  <w:r>
                    <w:rPr>
                      <w:rFonts w:hint="eastAsia"/>
                      <w:color w:val="auto"/>
                      <w:kern w:val="0"/>
                      <w:vertAlign w:val="superscript"/>
                    </w:rPr>
                    <w:t>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mg/m</w:t>
                  </w:r>
                  <w:r>
                    <w:rPr>
                      <w:rFonts w:hint="eastAsia"/>
                      <w:color w:val="auto"/>
                      <w:kern w:val="0"/>
                      <w:vertAlign w:val="superscript"/>
                    </w:rPr>
                    <w:t>3</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ug/m</w:t>
                  </w:r>
                  <w:r>
                    <w:rPr>
                      <w:rFonts w:hint="eastAsia"/>
                      <w:color w:val="auto"/>
                      <w:kern w:val="0"/>
                      <w:vertAlign w:val="superscript"/>
                    </w:rPr>
                    <w:t>3</w:t>
                  </w:r>
                </w:p>
              </w:tc>
              <w:tc>
                <w:tcPr>
                  <w:tcW w:w="515" w:type="pct"/>
                  <w:vMerge w:val="continue"/>
                  <w:tcBorders>
                    <w:tl2br w:val="nil"/>
                    <w:tr2bl w:val="nil"/>
                  </w:tcBorders>
                  <w:noWrap w:val="0"/>
                  <w:vAlign w:val="center"/>
                </w:tcPr>
                <w:p>
                  <w:pPr>
                    <w:widowControl/>
                    <w:adjustRightInd w:val="0"/>
                    <w:snapToGrid w:val="0"/>
                    <w:jc w:val="center"/>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restart"/>
                  <w:tcBorders>
                    <w:tl2br w:val="nil"/>
                    <w:tr2bl w:val="nil"/>
                  </w:tcBorders>
                  <w:noWrap w:val="0"/>
                  <w:vAlign w:val="center"/>
                </w:tcPr>
                <w:p>
                  <w:pPr>
                    <w:widowControl/>
                    <w:adjustRightInd w:val="0"/>
                    <w:snapToGrid w:val="0"/>
                    <w:jc w:val="center"/>
                    <w:rPr>
                      <w:color w:val="auto"/>
                      <w:kern w:val="0"/>
                    </w:rPr>
                  </w:pPr>
                  <w:r>
                    <w:rPr>
                      <w:rFonts w:hint="eastAsia"/>
                      <w:color w:val="auto"/>
                      <w:kern w:val="0"/>
                    </w:rPr>
                    <w:t>1月</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2019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68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194</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100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3.8</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76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9.57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continue"/>
                  <w:tcBorders>
                    <w:tl2br w:val="nil"/>
                    <w:tr2bl w:val="nil"/>
                  </w:tcBorders>
                  <w:noWrap w:val="0"/>
                  <w:vAlign w:val="center"/>
                </w:tcPr>
                <w:p>
                  <w:pPr>
                    <w:widowControl/>
                    <w:adjustRightInd w:val="0"/>
                    <w:snapToGrid w:val="0"/>
                    <w:jc w:val="center"/>
                    <w:rPr>
                      <w:color w:val="auto"/>
                      <w:kern w:val="0"/>
                    </w:rPr>
                  </w:pP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2020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45</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142</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93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2.6</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85</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7.49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368" w:type="pct"/>
                  <w:gridSpan w:val="2"/>
                  <w:tcBorders>
                    <w:tl2br w:val="nil"/>
                    <w:tr2bl w:val="nil"/>
                  </w:tcBorders>
                  <w:noWrap/>
                  <w:vAlign w:val="center"/>
                </w:tcPr>
                <w:p>
                  <w:pPr>
                    <w:widowControl/>
                    <w:adjustRightInd w:val="0"/>
                    <w:snapToGrid w:val="0"/>
                    <w:jc w:val="center"/>
                    <w:rPr>
                      <w:color w:val="auto"/>
                      <w:kern w:val="0"/>
                    </w:rPr>
                  </w:pPr>
                  <w:r>
                    <w:rPr>
                      <w:rFonts w:hint="eastAsia"/>
                      <w:color w:val="auto"/>
                      <w:kern w:val="0"/>
                    </w:rPr>
                    <w:t>改善率（%）</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38.8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33.8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26.8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7.00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31.6</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-11.8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restart"/>
                  <w:tcBorders>
                    <w:tl2br w:val="nil"/>
                    <w:tr2bl w:val="nil"/>
                  </w:tcBorders>
                  <w:noWrap w:val="0"/>
                  <w:vAlign w:val="center"/>
                </w:tcPr>
                <w:p>
                  <w:pPr>
                    <w:widowControl/>
                    <w:adjustRightInd w:val="0"/>
                    <w:snapToGrid w:val="0"/>
                    <w:jc w:val="center"/>
                    <w:rPr>
                      <w:color w:val="auto"/>
                      <w:kern w:val="0"/>
                    </w:rPr>
                  </w:pPr>
                  <w:r>
                    <w:rPr>
                      <w:rFonts w:hint="eastAsia"/>
                      <w:color w:val="auto"/>
                      <w:kern w:val="0"/>
                    </w:rPr>
                    <w:t>2月</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2019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34</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156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92</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2.9</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117</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8.08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continue"/>
                  <w:tcBorders>
                    <w:tl2br w:val="nil"/>
                    <w:tr2bl w:val="nil"/>
                  </w:tcBorders>
                  <w:noWrap w:val="0"/>
                  <w:vAlign w:val="center"/>
                </w:tcPr>
                <w:p>
                  <w:pPr>
                    <w:widowControl/>
                    <w:adjustRightInd w:val="0"/>
                    <w:snapToGrid w:val="0"/>
                    <w:jc w:val="center"/>
                    <w:rPr>
                      <w:color w:val="auto"/>
                      <w:kern w:val="0"/>
                    </w:rPr>
                  </w:pP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2020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14</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22</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71</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41</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1.5</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105</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368" w:type="pct"/>
                  <w:gridSpan w:val="2"/>
                  <w:tcBorders>
                    <w:tl2br w:val="nil"/>
                    <w:tr2bl w:val="nil"/>
                  </w:tcBorders>
                  <w:noWrap/>
                  <w:vAlign w:val="center"/>
                </w:tcPr>
                <w:p>
                  <w:pPr>
                    <w:widowControl/>
                    <w:adjustRightInd w:val="0"/>
                    <w:snapToGrid w:val="0"/>
                    <w:jc w:val="center"/>
                    <w:rPr>
                      <w:color w:val="auto"/>
                      <w:kern w:val="0"/>
                    </w:rPr>
                  </w:pPr>
                  <w:r>
                    <w:rPr>
                      <w:rFonts w:hint="eastAsia"/>
                      <w:color w:val="auto"/>
                      <w:kern w:val="0"/>
                    </w:rPr>
                    <w:t>改善率（%）</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58.8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 xml:space="preserve">54.2 </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54.5</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55.4</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48.3</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10.3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50.5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restart"/>
                  <w:tcBorders>
                    <w:tl2br w:val="nil"/>
                    <w:tr2bl w:val="nil"/>
                  </w:tcBorders>
                  <w:noWrap w:val="0"/>
                  <w:vAlign w:val="center"/>
                </w:tcPr>
                <w:p>
                  <w:pPr>
                    <w:widowControl/>
                    <w:adjustRightInd w:val="0"/>
                    <w:snapToGrid w:val="0"/>
                    <w:jc w:val="center"/>
                    <w:rPr>
                      <w:color w:val="auto"/>
                      <w:kern w:val="0"/>
                    </w:rPr>
                  </w:pPr>
                  <w:r>
                    <w:rPr>
                      <w:rFonts w:hint="eastAsia"/>
                      <w:color w:val="auto"/>
                      <w:kern w:val="0"/>
                    </w:rPr>
                    <w:t>3月</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2019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27</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136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53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1.5</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173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6.51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continue"/>
                  <w:tcBorders>
                    <w:tl2br w:val="nil"/>
                    <w:tr2bl w:val="nil"/>
                  </w:tcBorders>
                  <w:noWrap w:val="0"/>
                  <w:vAlign w:val="center"/>
                </w:tcPr>
                <w:p>
                  <w:pPr>
                    <w:widowControl/>
                    <w:adjustRightInd w:val="0"/>
                    <w:snapToGrid w:val="0"/>
                    <w:jc w:val="center"/>
                    <w:rPr>
                      <w:color w:val="auto"/>
                      <w:kern w:val="0"/>
                    </w:rPr>
                  </w:pP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2020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31</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89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35</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1.5</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137</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368" w:type="pct"/>
                  <w:gridSpan w:val="2"/>
                  <w:tcBorders>
                    <w:tl2br w:val="nil"/>
                    <w:tr2bl w:val="nil"/>
                  </w:tcBorders>
                  <w:noWrap/>
                  <w:vAlign w:val="center"/>
                </w:tcPr>
                <w:p>
                  <w:pPr>
                    <w:widowControl/>
                    <w:adjustRightInd w:val="0"/>
                    <w:snapToGrid w:val="0"/>
                    <w:jc w:val="center"/>
                    <w:rPr>
                      <w:color w:val="auto"/>
                      <w:kern w:val="0"/>
                    </w:rPr>
                  </w:pPr>
                  <w:r>
                    <w:rPr>
                      <w:rFonts w:hint="eastAsia"/>
                      <w:color w:val="auto"/>
                      <w:kern w:val="0"/>
                    </w:rPr>
                    <w:t>改善率（%）</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29.6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32.6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34.6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34.0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0.00</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restart"/>
                  <w:tcBorders>
                    <w:tl2br w:val="nil"/>
                    <w:tr2bl w:val="nil"/>
                  </w:tcBorders>
                  <w:noWrap w:val="0"/>
                  <w:vAlign w:val="center"/>
                </w:tcPr>
                <w:p>
                  <w:pPr>
                    <w:widowControl/>
                    <w:adjustRightInd w:val="0"/>
                    <w:snapToGrid w:val="0"/>
                    <w:jc w:val="center"/>
                    <w:rPr>
                      <w:color w:val="auto"/>
                      <w:kern w:val="0"/>
                    </w:rPr>
                  </w:pPr>
                  <w:r>
                    <w:rPr>
                      <w:rFonts w:hint="eastAsia"/>
                      <w:color w:val="auto"/>
                      <w:kern w:val="0"/>
                    </w:rPr>
                    <w:t>4月(1-19)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2019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47</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129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44</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1.6</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188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6.33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continue"/>
                  <w:tcBorders>
                    <w:tl2br w:val="nil"/>
                    <w:tr2bl w:val="nil"/>
                  </w:tcBorders>
                  <w:noWrap w:val="0"/>
                  <w:vAlign w:val="center"/>
                </w:tcPr>
                <w:p>
                  <w:pPr>
                    <w:widowControl/>
                    <w:adjustRightInd w:val="0"/>
                    <w:snapToGrid w:val="0"/>
                    <w:jc w:val="center"/>
                    <w:rPr>
                      <w:color w:val="auto"/>
                      <w:kern w:val="0"/>
                    </w:rPr>
                  </w:pP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2020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17</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92</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1.4</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160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368" w:type="pct"/>
                  <w:gridSpan w:val="2"/>
                  <w:tcBorders>
                    <w:tl2br w:val="nil"/>
                    <w:tr2bl w:val="nil"/>
                  </w:tcBorders>
                  <w:noWrap/>
                  <w:vAlign w:val="center"/>
                </w:tcPr>
                <w:p>
                  <w:pPr>
                    <w:widowControl/>
                    <w:adjustRightInd w:val="0"/>
                    <w:snapToGrid w:val="0"/>
                    <w:jc w:val="center"/>
                    <w:rPr>
                      <w:color w:val="auto"/>
                      <w:kern w:val="0"/>
                    </w:rPr>
                  </w:pPr>
                  <w:r>
                    <w:rPr>
                      <w:rFonts w:hint="eastAsia"/>
                      <w:color w:val="auto"/>
                      <w:kern w:val="0"/>
                    </w:rPr>
                    <w:t>改善率（%）</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41.4</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40.4</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 xml:space="preserve">28.7 </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25.0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12.5</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14.9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restart"/>
                  <w:tcBorders>
                    <w:tl2br w:val="nil"/>
                    <w:tr2bl w:val="nil"/>
                  </w:tcBorders>
                  <w:noWrap w:val="0"/>
                  <w:vAlign w:val="center"/>
                </w:tcPr>
                <w:p>
                  <w:pPr>
                    <w:widowControl/>
                    <w:adjustRightInd w:val="0"/>
                    <w:snapToGrid w:val="0"/>
                    <w:jc w:val="center"/>
                    <w:rPr>
                      <w:color w:val="auto"/>
                      <w:kern w:val="0"/>
                    </w:rPr>
                  </w:pPr>
                  <w:r>
                    <w:rPr>
                      <w:rFonts w:hint="eastAsia"/>
                      <w:color w:val="auto"/>
                      <w:kern w:val="0"/>
                    </w:rPr>
                    <w:t>1.1-4.19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2019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53</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157</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75</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158</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8.05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53" w:type="pct"/>
                  <w:vMerge w:val="continue"/>
                  <w:tcBorders>
                    <w:tl2br w:val="nil"/>
                    <w:tr2bl w:val="nil"/>
                  </w:tcBorders>
                  <w:noWrap w:val="0"/>
                  <w:vAlign w:val="center"/>
                </w:tcPr>
                <w:p>
                  <w:pPr>
                    <w:widowControl/>
                    <w:adjustRightInd w:val="0"/>
                    <w:snapToGrid w:val="0"/>
                    <w:jc w:val="center"/>
                    <w:rPr>
                      <w:color w:val="auto"/>
                      <w:kern w:val="0"/>
                    </w:rPr>
                  </w:pP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2020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32</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102</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52</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2.2</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136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5.48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368" w:type="pct"/>
                  <w:gridSpan w:val="2"/>
                  <w:tcBorders>
                    <w:tl2br w:val="nil"/>
                    <w:tr2bl w:val="nil"/>
                  </w:tcBorders>
                  <w:noWrap/>
                  <w:vAlign w:val="center"/>
                </w:tcPr>
                <w:p>
                  <w:pPr>
                    <w:widowControl/>
                    <w:adjustRightInd w:val="0"/>
                    <w:snapToGrid w:val="0"/>
                    <w:jc w:val="center"/>
                    <w:rPr>
                      <w:color w:val="auto"/>
                      <w:kern w:val="0"/>
                    </w:rPr>
                  </w:pPr>
                  <w:r>
                    <w:rPr>
                      <w:rFonts w:hint="eastAsia"/>
                      <w:color w:val="auto"/>
                      <w:kern w:val="0"/>
                    </w:rPr>
                    <w:t>改善率（%）</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44.4</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39.6</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35.0</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30.7</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26.7</w:t>
                  </w:r>
                </w:p>
              </w:tc>
              <w:tc>
                <w:tcPr>
                  <w:tcW w:w="536"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13.9</w:t>
                  </w:r>
                </w:p>
              </w:tc>
              <w:tc>
                <w:tcPr>
                  <w:tcW w:w="515" w:type="pct"/>
                  <w:tcBorders>
                    <w:tl2br w:val="nil"/>
                    <w:tr2bl w:val="nil"/>
                  </w:tcBorders>
                  <w:noWrap/>
                  <w:vAlign w:val="center"/>
                </w:tcPr>
                <w:p>
                  <w:pPr>
                    <w:widowControl/>
                    <w:adjustRightInd w:val="0"/>
                    <w:snapToGrid w:val="0"/>
                    <w:jc w:val="center"/>
                    <w:rPr>
                      <w:color w:val="auto"/>
                      <w:kern w:val="0"/>
                    </w:rPr>
                  </w:pPr>
                  <w:r>
                    <w:rPr>
                      <w:rFonts w:hint="eastAsia"/>
                      <w:color w:val="auto"/>
                      <w:kern w:val="0"/>
                    </w:rPr>
                    <w:t>32.0</w:t>
                  </w:r>
                </w:p>
              </w:tc>
            </w:tr>
          </w:tbl>
          <w:p>
            <w:pPr>
              <w:spacing w:line="360" w:lineRule="auto"/>
              <w:ind w:firstLine="480" w:firstLineChars="200"/>
              <w:rPr>
                <w:rFonts w:hint="eastAsia"/>
                <w:color w:val="auto"/>
                <w:sz w:val="24"/>
              </w:rPr>
            </w:pPr>
            <w:r>
              <w:rPr>
                <w:rFonts w:hint="eastAsia"/>
                <w:color w:val="auto"/>
                <w:sz w:val="24"/>
              </w:rPr>
              <w:t>根据钢城区监测站点2019、2020年1~4月度环境空气质量数据可知，1月份除O</w:t>
            </w:r>
            <w:r>
              <w:rPr>
                <w:rFonts w:hint="eastAsia"/>
                <w:color w:val="auto"/>
                <w:sz w:val="24"/>
                <w:vertAlign w:val="subscript"/>
              </w:rPr>
              <w:t>3</w:t>
            </w:r>
            <w:r>
              <w:rPr>
                <w:rFonts w:hint="eastAsia"/>
                <w:color w:val="auto"/>
                <w:sz w:val="24"/>
              </w:rPr>
              <w:t>以外，</w:t>
            </w:r>
            <w:r>
              <w:rPr>
                <w:color w:val="auto"/>
                <w:sz w:val="24"/>
              </w:rPr>
              <w:t>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、CO</w:t>
            </w:r>
            <w:r>
              <w:rPr>
                <w:rFonts w:hint="eastAsia"/>
                <w:color w:val="auto"/>
                <w:sz w:val="24"/>
              </w:rPr>
              <w:t>浓度</w:t>
            </w:r>
            <w:r>
              <w:rPr>
                <w:color w:val="auto"/>
                <w:sz w:val="24"/>
              </w:rPr>
              <w:t>均有所下降</w:t>
            </w:r>
            <w:r>
              <w:rPr>
                <w:rFonts w:hint="eastAsia"/>
                <w:color w:val="auto"/>
                <w:sz w:val="24"/>
              </w:rPr>
              <w:t>，2~4月度O</w:t>
            </w:r>
            <w:r>
              <w:rPr>
                <w:rFonts w:hint="eastAsia"/>
                <w:color w:val="auto"/>
                <w:sz w:val="24"/>
                <w:vertAlign w:val="subscript"/>
              </w:rPr>
              <w:t>3</w:t>
            </w:r>
            <w:r>
              <w:rPr>
                <w:color w:val="auto"/>
                <w:sz w:val="24"/>
              </w:rPr>
              <w:t>、SO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、CO</w:t>
            </w:r>
            <w:r>
              <w:rPr>
                <w:rFonts w:hint="eastAsia"/>
                <w:color w:val="auto"/>
                <w:sz w:val="24"/>
              </w:rPr>
              <w:t>环境</w:t>
            </w:r>
            <w:r>
              <w:rPr>
                <w:color w:val="auto"/>
                <w:sz w:val="24"/>
              </w:rPr>
              <w:t>空气质量均有所改善</w:t>
            </w:r>
            <w:r>
              <w:rPr>
                <w:rFonts w:hint="eastAsia"/>
                <w:color w:val="auto"/>
                <w:sz w:val="24"/>
              </w:rPr>
              <w:t>。由此可知，同比2019年，2020年度1~4月度钢城区环境空气质量有所改善。</w:t>
            </w:r>
          </w:p>
          <w:p>
            <w:pPr>
              <w:tabs>
                <w:tab w:val="left" w:pos="720"/>
              </w:tabs>
              <w:spacing w:line="360" w:lineRule="auto"/>
              <w:ind w:firstLine="480" w:firstLineChars="200"/>
              <w:rPr>
                <w:rFonts w:hint="eastAsia" w:ascii="Times New Roman" w:hAnsi="Times New Roman" w:eastAsia="宋体"/>
                <w:color w:val="auto"/>
                <w:sz w:val="24"/>
              </w:rPr>
            </w:pPr>
            <w:r>
              <w:rPr>
                <w:color w:val="auto"/>
                <w:sz w:val="24"/>
              </w:rPr>
              <w:t>根据</w:t>
            </w:r>
            <w:r>
              <w:rPr>
                <w:rFonts w:hint="eastAsia"/>
                <w:color w:val="auto"/>
                <w:sz w:val="24"/>
              </w:rPr>
              <w:t>根据</w:t>
            </w:r>
            <w:r>
              <w:rPr>
                <w:color w:val="auto"/>
                <w:sz w:val="24"/>
              </w:rPr>
              <w:t>以上分析</w:t>
            </w:r>
            <w:r>
              <w:rPr>
                <w:rFonts w:hint="eastAsia"/>
                <w:color w:val="auto"/>
                <w:sz w:val="24"/>
              </w:rPr>
              <w:t>，拟建项目</w:t>
            </w:r>
            <w:r>
              <w:rPr>
                <w:color w:val="auto"/>
                <w:sz w:val="24"/>
              </w:rPr>
              <w:t>所在</w:t>
            </w:r>
            <w:r>
              <w:rPr>
                <w:rFonts w:hint="eastAsia"/>
                <w:color w:val="auto"/>
                <w:sz w:val="24"/>
              </w:rPr>
              <w:t>区域</w:t>
            </w:r>
            <w:r>
              <w:rPr>
                <w:color w:val="auto"/>
                <w:sz w:val="24"/>
              </w:rPr>
              <w:t>环境空气质量不能稳定达到《环境空气质量标准》（GB3095-2012）及修改单中的二级标准，项目所在区域为</w:t>
            </w:r>
            <w:r>
              <w:rPr>
                <w:b/>
                <w:color w:val="auto"/>
                <w:sz w:val="24"/>
              </w:rPr>
              <w:t>不达标区</w:t>
            </w:r>
            <w:r>
              <w:rPr>
                <w:rFonts w:ascii="Times New Roman" w:hAnsi="Times New Roman" w:eastAsia="宋体"/>
                <w:color w:val="auto"/>
                <w:sz w:val="24"/>
              </w:rPr>
              <w:t>。</w:t>
            </w:r>
          </w:p>
          <w:p>
            <w:pPr>
              <w:spacing w:line="360" w:lineRule="auto"/>
              <w:ind w:firstLine="482" w:firstLineChars="200"/>
              <w:rPr>
                <w:b/>
                <w:color w:val="auto"/>
                <w:sz w:val="24"/>
              </w:rPr>
            </w:pPr>
            <w:r>
              <w:rPr>
                <w:rFonts w:hint="eastAsia"/>
                <w:b/>
                <w:color w:val="auto"/>
                <w:sz w:val="24"/>
              </w:rPr>
              <w:t>（2）大气污染防治对策</w:t>
            </w:r>
          </w:p>
          <w:p>
            <w:pPr>
              <w:spacing w:line="360" w:lineRule="auto"/>
              <w:ind w:firstLine="480" w:firstLineChars="200"/>
              <w:rPr>
                <w:rFonts w:hint="eastAsia"/>
                <w:color w:val="auto"/>
                <w:sz w:val="24"/>
              </w:rPr>
            </w:pPr>
            <w:r>
              <w:rPr>
                <w:rFonts w:hint="eastAsia"/>
                <w:color w:val="auto"/>
                <w:sz w:val="24"/>
                <w:lang w:eastAsia="zh-CN"/>
              </w:rPr>
              <w:t>①</w:t>
            </w:r>
            <w:r>
              <w:rPr>
                <w:rFonts w:hint="eastAsia"/>
                <w:color w:val="auto"/>
                <w:sz w:val="24"/>
              </w:rPr>
              <w:t>加强传统行业污染治理设施提标改造。以实现《山东省区域性大气污染物综合排放标准》第四时段大气污染物排放浓度限值为目标，推动钢铁、建材、铸造等行业实施污染深度治理，确保各类污染物实现稳定达标排放，对经治理仍不能达标的企业予以淘汰关停。升级改造钢铁烧结、或团等设备和配套焦化炉的污染物控制设施，完成除尘、脱硫设施升级改造；提高出铁场、炼钢、轧钢等无组织排放源的烟气和颗粒物收集处理能力，加快推进钢铁行业烟气脱硝工程建设。建材行业全面改造除尘、脱硫和脱硝设施，切实保障污染控制设备投运率，实现污染物长期稳定达标排放。调整铸造行业、玻璃行业和工业炉窑的能源结构，加快实施天然气或电等清洁能源替代，加强污染治理设施建设，确保污染物稳定达标排放。按要求对工艺落后的煤气发生炉开展专项整治。</w:t>
            </w:r>
          </w:p>
          <w:p>
            <w:pPr>
              <w:spacing w:line="360" w:lineRule="auto"/>
              <w:ind w:firstLine="480" w:firstLineChars="200"/>
              <w:rPr>
                <w:rFonts w:hint="eastAsia"/>
                <w:color w:val="auto"/>
                <w:sz w:val="24"/>
              </w:rPr>
            </w:pPr>
            <w:r>
              <w:rPr>
                <w:rFonts w:hint="eastAsia"/>
                <w:color w:val="auto"/>
                <w:sz w:val="24"/>
                <w:lang w:eastAsia="zh-CN"/>
              </w:rPr>
              <w:t>②</w:t>
            </w:r>
            <w:r>
              <w:rPr>
                <w:rFonts w:hint="eastAsia"/>
                <w:color w:val="auto"/>
                <w:sz w:val="24"/>
              </w:rPr>
              <w:t>实施挥发性有机物专项治理。坚持源头减排、过程控制、末端治理相结合的防治原则，全面推进挥发性有机物污染防治工作。对全市石油化工、合成树脂、有机化学原料制造、医药化工、涂料油墨颜料制造、化学纤维制造、橡胶和塑料制品制造、煤化工、印刷行业、工业涂装、汽修喷涂等所有产生挥发性有机物的行业，实施综合整治，要加强对挥发性有机物的监测，确认治理效果，确保达到排放标准要求。对未配套建设污染防治设施、污染防治设施不正常运行、污染物排放不达标的企业，一律实行停产整治。</w:t>
            </w:r>
          </w:p>
          <w:p>
            <w:pPr>
              <w:spacing w:line="360" w:lineRule="auto"/>
              <w:ind w:firstLine="480" w:firstLineChars="200"/>
              <w:rPr>
                <w:rFonts w:hint="eastAsia"/>
                <w:color w:val="auto"/>
                <w:sz w:val="24"/>
              </w:rPr>
            </w:pPr>
            <w:r>
              <w:rPr>
                <w:rFonts w:hint="eastAsia"/>
                <w:color w:val="auto"/>
                <w:sz w:val="24"/>
                <w:lang w:eastAsia="zh-CN"/>
              </w:rPr>
              <w:t>③</w:t>
            </w:r>
            <w:r>
              <w:rPr>
                <w:rFonts w:hint="eastAsia"/>
                <w:color w:val="auto"/>
                <w:sz w:val="24"/>
                <w:szCs w:val="26"/>
              </w:rPr>
              <w:t>加强工业企业颗粒物无组织排放治理改造。各企业要制</w:t>
            </w:r>
            <w:r>
              <w:rPr>
                <w:rFonts w:hint="eastAsia"/>
                <w:color w:val="auto"/>
                <w:sz w:val="24"/>
                <w:szCs w:val="27"/>
              </w:rPr>
              <w:t>定无组织排放改造方案，对煤炭、煤矸石、煤渣、煤灰、水泥、石灰、石膏、砂土等易产生扬尘的粉状、粒状物料及燃料应当密闭储存，运输采用密闭皮带、封闭通廊、管状带式输送机或密闭车厢、真空罐车、气力输送等密闭输送方式；块状物料采用入棚入仓或建设防风抑尘网等方式进行存储，并设有洒水、喷淋、毡盖等综合措施进行抑尘。生产工艺产尘点（装</w:t>
            </w:r>
            <w:r>
              <w:rPr>
                <w:rFonts w:hint="eastAsia"/>
                <w:color w:val="auto"/>
                <w:sz w:val="24"/>
              </w:rPr>
              <w:t>置）应加盖封闭，设置集气罩并配备除尘设施，车间不能有可见烟尘外逸；汽车、火车、皮带输送机等卸料点设置集气罩或密闭罩，并配备除尘设施；料场路面应实施硬化，出口处配备车轮和车身清洗装置。对未落实无组织排放控制要求的企业，依法予以处罚，责令实施限产停产整治。</w:t>
            </w:r>
          </w:p>
          <w:p>
            <w:pPr>
              <w:spacing w:line="360" w:lineRule="auto"/>
              <w:ind w:firstLine="480" w:firstLineChars="200"/>
              <w:rPr>
                <w:rFonts w:hint="eastAsia"/>
                <w:color w:val="auto"/>
                <w:sz w:val="24"/>
              </w:rPr>
            </w:pPr>
            <w:r>
              <w:rPr>
                <w:rFonts w:hint="eastAsia"/>
                <w:color w:val="auto"/>
                <w:sz w:val="24"/>
                <w:lang w:eastAsia="zh-CN"/>
              </w:rPr>
              <w:t>④</w:t>
            </w:r>
            <w:r>
              <w:rPr>
                <w:rFonts w:hint="eastAsia"/>
                <w:color w:val="auto"/>
                <w:sz w:val="24"/>
              </w:rPr>
              <w:t>严格管控移动源污染排放。</w:t>
            </w:r>
          </w:p>
          <w:p>
            <w:pPr>
              <w:spacing w:line="360" w:lineRule="auto"/>
              <w:ind w:firstLine="480" w:firstLineChars="200"/>
              <w:rPr>
                <w:rFonts w:hint="eastAsia"/>
                <w:color w:val="auto"/>
                <w:sz w:val="24"/>
              </w:rPr>
            </w:pPr>
            <w:r>
              <w:rPr>
                <w:rFonts w:hint="eastAsia"/>
                <w:color w:val="auto"/>
                <w:sz w:val="24"/>
                <w:lang w:eastAsia="zh-CN"/>
              </w:rPr>
              <w:t>⑤</w:t>
            </w:r>
            <w:r>
              <w:rPr>
                <w:rFonts w:hint="eastAsia"/>
                <w:color w:val="auto"/>
                <w:sz w:val="24"/>
              </w:rPr>
              <w:t>加强城市扬尘污染治理。</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olor w:val="auto"/>
                <w:kern w:val="0"/>
                <w:sz w:val="24"/>
                <w:szCs w:val="18"/>
                <w:lang w:eastAsia="zh-CN"/>
              </w:rPr>
            </w:pPr>
            <w:r>
              <w:rPr>
                <w:rFonts w:hint="eastAsia"/>
                <w:color w:val="auto"/>
                <w:sz w:val="24"/>
                <w:lang w:eastAsia="zh-CN"/>
              </w:rPr>
              <w:t>⑥</w:t>
            </w:r>
            <w:r>
              <w:rPr>
                <w:rFonts w:hint="eastAsia"/>
                <w:color w:val="auto"/>
                <w:sz w:val="24"/>
              </w:rPr>
              <w:t>加强空气质量自动监测能力建设</w:t>
            </w:r>
            <w:r>
              <w:rPr>
                <w:rFonts w:hint="default" w:ascii="Times New Roman" w:hAnsi="Times New Roman" w:eastAsia="宋体" w:cs="Times New Roman"/>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水环境</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地表水环境：</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该项目选址区域的地表水体为牟汶河</w:t>
            </w:r>
            <w:r>
              <w:rPr>
                <w:rFonts w:hint="eastAsia" w:cs="Times New Roman"/>
                <w:color w:val="auto"/>
                <w:sz w:val="24"/>
                <w:lang w:eastAsia="zh-CN"/>
              </w:rPr>
              <w:t>，距离最近的断面为墨埠桥断面，</w:t>
            </w:r>
            <w:r>
              <w:rPr>
                <w:rFonts w:hint="default" w:ascii="Times New Roman" w:hAnsi="Times New Roman" w:cs="Times New Roman"/>
                <w:color w:val="auto"/>
                <w:sz w:val="24"/>
              </w:rPr>
              <w:t>经查阅钢城区201</w:t>
            </w:r>
            <w:r>
              <w:rPr>
                <w:rFonts w:hint="eastAsia" w:cs="Times New Roman"/>
                <w:color w:val="auto"/>
                <w:sz w:val="24"/>
                <w:lang w:val="en-US" w:eastAsia="zh-CN"/>
              </w:rPr>
              <w:t>9</w:t>
            </w:r>
            <w:r>
              <w:rPr>
                <w:rFonts w:hint="default" w:ascii="Times New Roman" w:hAnsi="Times New Roman" w:cs="Times New Roman"/>
                <w:color w:val="auto"/>
                <w:sz w:val="24"/>
              </w:rPr>
              <w:t>年度环境质量报告书，201</w:t>
            </w:r>
            <w:r>
              <w:rPr>
                <w:rFonts w:hint="eastAsia" w:cs="Times New Roman"/>
                <w:color w:val="auto"/>
                <w:sz w:val="24"/>
                <w:lang w:val="en-US" w:eastAsia="zh-CN"/>
              </w:rPr>
              <w:t>9</w:t>
            </w:r>
            <w:r>
              <w:rPr>
                <w:rFonts w:hint="default" w:ascii="Times New Roman" w:hAnsi="Times New Roman" w:cs="Times New Roman"/>
                <w:color w:val="auto"/>
                <w:sz w:val="24"/>
              </w:rPr>
              <w:t>年度</w:t>
            </w:r>
            <w:r>
              <w:rPr>
                <w:rFonts w:hint="eastAsia" w:cs="Times New Roman"/>
                <w:color w:val="auto"/>
                <w:sz w:val="24"/>
                <w:lang w:eastAsia="zh-CN"/>
              </w:rPr>
              <w:t>牟汶河</w:t>
            </w:r>
            <w:r>
              <w:rPr>
                <w:rFonts w:hint="default" w:ascii="Times New Roman" w:hAnsi="Times New Roman" w:cs="Times New Roman"/>
                <w:color w:val="auto"/>
                <w:sz w:val="24"/>
              </w:rPr>
              <w:t>水质符合《地表水环境质量标准》(GB3838-2002)Ⅳ类水质标准。</w:t>
            </w:r>
          </w:p>
          <w:p>
            <w:pPr>
              <w:pStyle w:val="33"/>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地下水环境：项目所处区域地下水质量经类比分析，指标除总大肠菌群超标外，其余基本符合《地下水质量标准》(GB/T14848-2017)Ⅲ类标准。</w:t>
            </w:r>
          </w:p>
          <w:p>
            <w:pPr>
              <w:keepNext w:val="0"/>
              <w:keepLines w:val="0"/>
              <w:pageBreakBefore w:val="0"/>
              <w:widowControl/>
              <w:kinsoku/>
              <w:wordWrap/>
              <w:overflowPunct/>
              <w:topLinePunct w:val="0"/>
              <w:autoSpaceDE/>
              <w:autoSpaceDN/>
              <w:bidi w:val="0"/>
              <w:spacing w:line="360" w:lineRule="auto"/>
              <w:ind w:left="0" w:leftChars="0" w:right="0" w:rightChars="0" w:firstLine="0" w:firstLineChars="0"/>
              <w:jc w:val="left"/>
              <w:textAlignment w:val="auto"/>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声环境</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本项目厂址周围为</w:t>
            </w:r>
            <w:r>
              <w:rPr>
                <w:rFonts w:hint="eastAsia" w:cs="Times New Roman"/>
                <w:color w:val="auto"/>
                <w:sz w:val="24"/>
                <w:lang w:eastAsia="zh-CN"/>
              </w:rPr>
              <w:t>空地</w:t>
            </w:r>
            <w:r>
              <w:rPr>
                <w:rFonts w:hint="default" w:ascii="Times New Roman" w:hAnsi="Times New Roman" w:eastAsia="宋体" w:cs="Times New Roman"/>
                <w:color w:val="auto"/>
                <w:sz w:val="24"/>
                <w:lang w:eastAsia="zh-CN"/>
              </w:rPr>
              <w:t>和道路</w:t>
            </w:r>
            <w:r>
              <w:rPr>
                <w:rFonts w:hint="default" w:ascii="Times New Roman" w:hAnsi="Times New Roman" w:eastAsia="宋体" w:cs="Times New Roman"/>
                <w:color w:val="auto"/>
                <w:sz w:val="24"/>
              </w:rPr>
              <w:t>，噪声主要为交通噪声，经类比分析相同类似区域附近的噪声监测资料，本项目厂界的噪声环境质量现状能够达到《声环境质量标准》(GB3096-2008)</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生态环境</w:t>
            </w:r>
          </w:p>
          <w:p>
            <w:pPr>
              <w:pStyle w:val="2"/>
              <w:spacing w:after="0" w:line="360" w:lineRule="auto"/>
              <w:ind w:left="0" w:leftChars="0" w:firstLine="48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经实地踏勘，建设项目区域内物种种类很少，树木主要为人工种植的杨树、槐树、松树等绿化乔木，除此基本无其他天然生乔木植物，未发现珍稀动植物物种。拟建项目所在无珍稀动物栖息或迁徙通过，生态环境一</w:t>
            </w:r>
            <w:r>
              <w:rPr>
                <w:rFonts w:hint="eastAsia" w:ascii="Times New Roman" w:hAnsi="Times New Roman" w:eastAsia="宋体" w:cs="Times New Roman"/>
                <w:color w:val="auto"/>
                <w:sz w:val="24"/>
                <w:lang w:val="en-US" w:eastAsia="zh-CN"/>
              </w:rPr>
              <w:t>般。</w:t>
            </w:r>
          </w:p>
          <w:p>
            <w:pPr>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eastAsia" w:ascii="Times New Roman" w:hAnsi="Times New Roman" w:eastAsia="宋体" w:cs="Times New Roman"/>
                <w:color w:val="auto"/>
                <w:sz w:val="24"/>
                <w:lang w:val="en-US" w:eastAsia="zh-CN"/>
              </w:rPr>
            </w:pPr>
          </w:p>
          <w:p>
            <w:pPr>
              <w:pStyle w:val="32"/>
              <w:rPr>
                <w:rFonts w:hint="default" w:ascii="Times New Roman" w:hAnsi="Times New Roman" w:eastAsia="宋体"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1" w:hRule="atLeast"/>
          <w:jc w:val="center"/>
        </w:trPr>
        <w:tc>
          <w:tcPr>
            <w:tcW w:w="9638" w:type="dxa"/>
            <w:noWrap w:val="0"/>
            <w:vAlign w:val="top"/>
          </w:tcPr>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主要环境保护目标(列出名单及保护级别)：</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cs="Times New Roman"/>
                <w:color w:val="auto"/>
                <w:sz w:val="24"/>
              </w:rPr>
            </w:pPr>
            <w:r>
              <w:rPr>
                <w:rFonts w:hint="eastAsia" w:ascii="Times New Roman" w:hAnsi="Times New Roman" w:eastAsia="宋体"/>
                <w:bCs/>
                <w:color w:val="auto"/>
                <w:sz w:val="24"/>
              </w:rPr>
              <w:t>项目位于</w:t>
            </w:r>
            <w:r>
              <w:rPr>
                <w:rFonts w:hint="eastAsia"/>
                <w:bCs/>
                <w:color w:val="auto"/>
                <w:sz w:val="24"/>
                <w:lang w:eastAsia="zh-CN"/>
              </w:rPr>
              <w:t>济南市钢城区里辛街道北赵村</w:t>
            </w:r>
            <w:r>
              <w:rPr>
                <w:rFonts w:hint="eastAsia" w:ascii="Times New Roman" w:hAnsi="Times New Roman" w:eastAsia="宋体"/>
                <w:color w:val="auto"/>
                <w:sz w:val="24"/>
                <w:szCs w:val="24"/>
                <w:vertAlign w:val="baseline"/>
                <w:lang w:val="en-US" w:eastAsia="zh-CN"/>
              </w:rPr>
              <w:t>。</w:t>
            </w:r>
            <w:r>
              <w:rPr>
                <w:rFonts w:hint="default" w:ascii="Times New Roman" w:hAnsi="Times New Roman" w:cs="Times New Roman"/>
                <w:color w:val="auto"/>
                <w:sz w:val="24"/>
              </w:rPr>
              <w:t>项目主要环境保护目标见表</w:t>
            </w:r>
            <w:r>
              <w:rPr>
                <w:rFonts w:hint="default" w:ascii="Times New Roman" w:hAnsi="Times New Roman" w:cs="Times New Roman"/>
                <w:color w:val="auto"/>
                <w:sz w:val="24"/>
                <w:lang w:val="en-US" w:eastAsia="zh-CN"/>
              </w:rPr>
              <w:t>3-</w:t>
            </w:r>
            <w:r>
              <w:rPr>
                <w:rFonts w:hint="eastAsia" w:cs="Times New Roman"/>
                <w:color w:val="auto"/>
                <w:sz w:val="24"/>
                <w:lang w:val="en-US" w:eastAsia="zh-CN"/>
              </w:rPr>
              <w:t>1</w:t>
            </w:r>
            <w:r>
              <w:rPr>
                <w:rFonts w:hint="default" w:ascii="Times New Roman" w:hAnsi="Times New Roman" w:cs="Times New Roman"/>
                <w:color w:val="auto"/>
                <w:sz w:val="24"/>
              </w:rPr>
              <w:t>，项目周围敏感目标分布见附图</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cs="Times New Roman"/>
                <w:color w:val="auto"/>
                <w:sz w:val="24"/>
                <w:highlight w:val="none"/>
                <w:lang w:val="en-GB"/>
              </w:rPr>
            </w:pPr>
            <w:r>
              <w:rPr>
                <w:rFonts w:hint="default" w:ascii="Times New Roman" w:hAnsi="Times New Roman" w:eastAsia="宋体" w:cs="Times New Roman"/>
                <w:b/>
                <w:bCs/>
                <w:color w:val="auto"/>
                <w:sz w:val="21"/>
                <w:szCs w:val="21"/>
                <w:highlight w:val="none"/>
                <w:lang w:val="en-GB" w:eastAsia="zh-CN"/>
              </w:rPr>
              <w:t>表</w:t>
            </w:r>
            <w:r>
              <w:rPr>
                <w:rFonts w:hint="default"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GB" w:eastAsia="zh-CN"/>
              </w:rPr>
              <w:t xml:space="preserve"> 主要环境保护目标表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45"/>
              <w:gridCol w:w="1361"/>
              <w:gridCol w:w="906"/>
              <w:gridCol w:w="906"/>
              <w:gridCol w:w="906"/>
              <w:gridCol w:w="906"/>
              <w:gridCol w:w="906"/>
              <w:gridCol w:w="261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1" w:hRule="atLeast"/>
                <w:jc w:val="center"/>
              </w:trPr>
              <w:tc>
                <w:tcPr>
                  <w:tcW w:w="84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36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保护目标</w:t>
                  </w:r>
                </w:p>
              </w:tc>
              <w:tc>
                <w:tcPr>
                  <w:tcW w:w="9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类别</w:t>
                  </w:r>
                </w:p>
              </w:tc>
              <w:tc>
                <w:tcPr>
                  <w:tcW w:w="18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坐标</w:t>
                  </w:r>
                </w:p>
              </w:tc>
              <w:tc>
                <w:tcPr>
                  <w:tcW w:w="9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位置</w:t>
                  </w:r>
                </w:p>
              </w:tc>
              <w:tc>
                <w:tcPr>
                  <w:tcW w:w="9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lang w:eastAsia="zh-CN"/>
                    </w:rPr>
                    <w:t>距离</w:t>
                  </w:r>
                  <w:r>
                    <w:rPr>
                      <w:rFonts w:hint="eastAsia" w:ascii="Times New Roman" w:hAnsi="Times New Roman" w:cs="Times New Roman"/>
                      <w:b/>
                      <w:bCs/>
                      <w:color w:val="auto"/>
                      <w:lang w:eastAsia="zh-CN"/>
                    </w:rPr>
                    <w:t>（</w:t>
                  </w:r>
                  <w:r>
                    <w:rPr>
                      <w:rFonts w:hint="eastAsia" w:ascii="Times New Roman" w:hAnsi="Times New Roman" w:cs="Times New Roman"/>
                      <w:b/>
                      <w:bCs/>
                      <w:color w:val="auto"/>
                      <w:lang w:val="en-US" w:eastAsia="zh-CN"/>
                    </w:rPr>
                    <w:t>m</w:t>
                  </w:r>
                  <w:r>
                    <w:rPr>
                      <w:rFonts w:hint="eastAsia" w:ascii="Times New Roman" w:hAnsi="Times New Roman" w:cs="Times New Roman"/>
                      <w:b/>
                      <w:bCs/>
                      <w:color w:val="auto"/>
                      <w:lang w:eastAsia="zh-CN"/>
                    </w:rPr>
                    <w:t>）</w:t>
                  </w:r>
                </w:p>
              </w:tc>
              <w:tc>
                <w:tcPr>
                  <w:tcW w:w="26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保护目的和级别</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1" w:hRule="atLeast"/>
                <w:jc w:val="center"/>
              </w:trPr>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13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9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东经</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北纬</w:t>
                  </w:r>
                </w:p>
              </w:tc>
              <w:tc>
                <w:tcPr>
                  <w:tcW w:w="9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eastAsia="zh-CN"/>
                    </w:rPr>
                  </w:pPr>
                </w:p>
              </w:tc>
              <w:tc>
                <w:tcPr>
                  <w:tcW w:w="9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eastAsia="zh-CN"/>
                    </w:rPr>
                  </w:pPr>
                </w:p>
              </w:tc>
              <w:tc>
                <w:tcPr>
                  <w:tcW w:w="26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151" w:hRule="atLeast"/>
                <w:jc w:val="center"/>
              </w:trPr>
              <w:tc>
                <w:tcPr>
                  <w:tcW w:w="84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环境空气</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南赵社区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社区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117.801</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36.098</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东北</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250</w:t>
                  </w:r>
                </w:p>
              </w:tc>
              <w:tc>
                <w:tcPr>
                  <w:tcW w:w="26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t>执行《环境空气质量标准》（GB3095-2012）</w:t>
                  </w:r>
                  <w:r>
                    <w:rPr>
                      <w:rFonts w:hint="default" w:ascii="Times New Roman" w:hAnsi="Times New Roman" w:cs="Times New Roman"/>
                      <w:color w:val="auto"/>
                      <w:lang w:val="en-US" w:eastAsia="zh-CN"/>
                    </w:rPr>
                    <w:t>及其修改单</w:t>
                  </w:r>
                  <w:r>
                    <w:rPr>
                      <w:rFonts w:hint="default" w:ascii="Times New Roman" w:hAnsi="Times New Roman" w:cs="Times New Roman"/>
                      <w:color w:val="auto"/>
                    </w:rPr>
                    <w:t>中的二级标准要求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北赵西区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社区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117.805</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36.101</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东北</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685</w:t>
                  </w:r>
                </w:p>
              </w:tc>
              <w:tc>
                <w:tcPr>
                  <w:tcW w:w="26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黄羊山社区幼儿园</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cs="Times New Roman"/>
                      <w:color w:val="auto"/>
                      <w:lang w:val="en-US" w:eastAsia="zh-CN"/>
                    </w:rPr>
                  </w:pPr>
                  <w:r>
                    <w:rPr>
                      <w:rFonts w:hint="eastAsia" w:cs="Times New Roman"/>
                      <w:color w:val="auto"/>
                      <w:lang w:val="en-US" w:eastAsia="zh-CN"/>
                    </w:rPr>
                    <w:t>学校</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117.804</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36.101</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东北</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620</w:t>
                  </w:r>
                </w:p>
              </w:tc>
              <w:tc>
                <w:tcPr>
                  <w:tcW w:w="26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北赵社区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cs="Times New Roman"/>
                      <w:color w:val="auto"/>
                      <w:lang w:val="en-US" w:eastAsia="zh-CN"/>
                    </w:rPr>
                  </w:pPr>
                  <w:r>
                    <w:rPr>
                      <w:rFonts w:hint="eastAsia" w:cs="Times New Roman"/>
                      <w:color w:val="auto"/>
                      <w:lang w:val="en-US" w:eastAsia="zh-CN"/>
                    </w:rPr>
                    <w:t>社区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117.805</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36.098</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东北</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480</w:t>
                  </w:r>
                </w:p>
              </w:tc>
              <w:tc>
                <w:tcPr>
                  <w:tcW w:w="26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双泉路学校</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cs="Times New Roman"/>
                      <w:color w:val="auto"/>
                      <w:lang w:val="en-US" w:eastAsia="zh-CN"/>
                    </w:rPr>
                  </w:pPr>
                  <w:r>
                    <w:rPr>
                      <w:rFonts w:hint="eastAsia" w:cs="Times New Roman"/>
                      <w:color w:val="auto"/>
                      <w:lang w:val="en-US" w:eastAsia="zh-CN"/>
                    </w:rPr>
                    <w:t>学校</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117.808</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36.099</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东北</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785</w:t>
                  </w:r>
                </w:p>
              </w:tc>
              <w:tc>
                <w:tcPr>
                  <w:tcW w:w="26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北赵园</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cs="Times New Roman"/>
                      <w:color w:val="auto"/>
                      <w:lang w:val="en-US" w:eastAsia="zh-CN"/>
                    </w:rPr>
                  </w:pPr>
                  <w:r>
                    <w:rPr>
                      <w:rFonts w:hint="eastAsia" w:cs="Times New Roman"/>
                      <w:color w:val="auto"/>
                      <w:lang w:val="en-US" w:eastAsia="zh-CN"/>
                    </w:rPr>
                    <w:t>社区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11.7810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36.098</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东北</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920</w:t>
                  </w:r>
                </w:p>
              </w:tc>
              <w:tc>
                <w:tcPr>
                  <w:tcW w:w="26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上河沟</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cs="Times New Roman"/>
                      <w:color w:val="auto"/>
                      <w:lang w:val="en-US" w:eastAsia="zh-CN"/>
                    </w:rPr>
                  </w:pPr>
                  <w:r>
                    <w:rPr>
                      <w:rFonts w:hint="eastAsia" w:cs="Times New Roman"/>
                      <w:color w:val="auto"/>
                      <w:lang w:val="en-US" w:eastAsia="zh-CN"/>
                    </w:rPr>
                    <w:t>村庄</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117.794</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36.089</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西南</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830</w:t>
                  </w:r>
                </w:p>
              </w:tc>
              <w:tc>
                <w:tcPr>
                  <w:tcW w:w="26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下河沟</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cs="Times New Roman"/>
                      <w:color w:val="auto"/>
                      <w:lang w:val="en-US" w:eastAsia="zh-CN"/>
                    </w:rPr>
                  </w:pPr>
                  <w:r>
                    <w:rPr>
                      <w:rFonts w:hint="eastAsia" w:cs="Times New Roman"/>
                      <w:color w:val="auto"/>
                      <w:lang w:val="en-US" w:eastAsia="zh-CN"/>
                    </w:rPr>
                    <w:t>村庄</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117.790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36.091</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西南</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930</w:t>
                  </w:r>
                </w:p>
              </w:tc>
              <w:tc>
                <w:tcPr>
                  <w:tcW w:w="26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特钢社区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cs="Times New Roman"/>
                      <w:color w:val="auto"/>
                      <w:lang w:val="en-US" w:eastAsia="zh-CN"/>
                    </w:rPr>
                  </w:pPr>
                  <w:r>
                    <w:rPr>
                      <w:rFonts w:hint="eastAsia" w:cs="Times New Roman"/>
                      <w:color w:val="auto"/>
                      <w:lang w:val="en-US" w:eastAsia="zh-CN"/>
                    </w:rPr>
                    <w:t>社区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117.806</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36.100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东北</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630</w:t>
                  </w:r>
                </w:p>
              </w:tc>
              <w:tc>
                <w:tcPr>
                  <w:tcW w:w="26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地表水</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eastAsia="zh-CN"/>
                    </w:rPr>
                  </w:pPr>
                  <w:r>
                    <w:rPr>
                      <w:rFonts w:hint="eastAsia" w:cs="Times New Roman"/>
                      <w:color w:val="auto"/>
                      <w:lang w:val="en-US" w:eastAsia="zh-CN"/>
                    </w:rPr>
                    <w:t>牟汶河</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河流</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lang w:val="en-US" w:eastAsia="zh-CN"/>
                    </w:rPr>
                  </w:pP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西</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rPr>
                  </w:pPr>
                  <w:r>
                    <w:rPr>
                      <w:rFonts w:hint="eastAsia" w:cs="Times New Roman"/>
                      <w:color w:val="auto"/>
                      <w:lang w:val="en-US" w:eastAsia="zh-CN"/>
                    </w:rPr>
                    <w:t>1480</w:t>
                  </w:r>
                </w:p>
              </w:tc>
              <w:tc>
                <w:tcPr>
                  <w:tcW w:w="2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t>执行《地表水环境质量标准》（GB3838-2002）Ⅳ类水域区功能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06" w:hRule="atLeast"/>
                <w:jc w:val="center"/>
              </w:trPr>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地下水</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周围地下水</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项目区周边</w:t>
                  </w:r>
                </w:p>
              </w:tc>
              <w:tc>
                <w:tcPr>
                  <w:tcW w:w="2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t>执行《地下水质量标准》（GB/T14848-</w:t>
                  </w:r>
                  <w:r>
                    <w:rPr>
                      <w:rFonts w:hint="default" w:ascii="Times New Roman" w:hAnsi="Times New Roman" w:cs="Times New Roman"/>
                      <w:color w:val="auto"/>
                      <w:lang w:val="en-US" w:eastAsia="zh-CN"/>
                    </w:rPr>
                    <w:t>2017</w:t>
                  </w:r>
                  <w:r>
                    <w:rPr>
                      <w:rFonts w:hint="default" w:ascii="Times New Roman" w:hAnsi="Times New Roman" w:cs="Times New Roman"/>
                      <w:color w:val="auto"/>
                    </w:rPr>
                    <w:t>）Ⅲ类标准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声环境</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周围</w:t>
                  </w:r>
                  <w:r>
                    <w:rPr>
                      <w:rFonts w:hint="default" w:ascii="Times New Roman" w:hAnsi="Times New Roman" w:cs="Times New Roman"/>
                      <w:color w:val="auto"/>
                      <w:lang w:val="en-US" w:eastAsia="zh-CN"/>
                    </w:rPr>
                    <w:t>200米</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2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t>执行《声环境质量标准》（GB3096-2008）2类标准</w:t>
                  </w:r>
                </w:p>
              </w:tc>
            </w:tr>
          </w:tbl>
          <w:p>
            <w:pPr>
              <w:pStyle w:val="32"/>
              <w:rPr>
                <w:rFonts w:hint="default" w:ascii="Times New Roman" w:hAnsi="Times New Roman" w:cs="Times New Roman"/>
                <w:color w:val="auto"/>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四、评价适用标准</w:t>
      </w:r>
    </w:p>
    <w:tbl>
      <w:tblPr>
        <w:tblStyle w:val="24"/>
        <w:tblW w:w="963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7"/>
        <w:gridCol w:w="879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527" w:hRule="atLeast"/>
          <w:jc w:val="center"/>
        </w:trPr>
        <w:tc>
          <w:tcPr>
            <w:tcW w:w="847" w:type="dxa"/>
            <w:noWrap w:val="0"/>
            <w:vAlign w:val="center"/>
          </w:tcPr>
          <w:p>
            <w:pPr>
              <w:spacing w:line="440" w:lineRule="exact"/>
              <w:jc w:val="center"/>
              <w:rPr>
                <w:rFonts w:hint="default" w:ascii="Times New Roman" w:hAnsi="Times New Roman" w:cs="Times New Roman"/>
                <w:color w:val="auto"/>
                <w:sz w:val="28"/>
              </w:rPr>
            </w:pPr>
            <w:r>
              <w:rPr>
                <w:rFonts w:hint="default" w:ascii="Times New Roman" w:hAnsi="Times New Roman" w:cs="Times New Roman"/>
                <w:color w:val="auto"/>
                <w:sz w:val="28"/>
              </w:rPr>
              <w:t>环境质量标准</w:t>
            </w:r>
          </w:p>
        </w:tc>
        <w:tc>
          <w:tcPr>
            <w:tcW w:w="87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一、环境空气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环境空气质量执行《环境空气质量标准》（GB3095-2012）</w:t>
            </w:r>
            <w:r>
              <w:rPr>
                <w:rFonts w:hint="default" w:ascii="Times New Roman" w:hAnsi="Times New Roman" w:cs="Times New Roman"/>
                <w:color w:val="auto"/>
                <w:sz w:val="24"/>
                <w:lang w:eastAsia="zh-CN"/>
              </w:rPr>
              <w:t>及修改单</w:t>
            </w:r>
            <w:r>
              <w:rPr>
                <w:rFonts w:hint="default" w:ascii="Times New Roman" w:hAnsi="Times New Roman" w:cs="Times New Roman"/>
                <w:color w:val="auto"/>
                <w:sz w:val="24"/>
              </w:rPr>
              <w:t>中的二级标准，具体标准限值如表</w:t>
            </w:r>
            <w:r>
              <w:rPr>
                <w:rFonts w:hint="default" w:ascii="Times New Roman" w:hAnsi="Times New Roman" w:cs="Times New Roman"/>
                <w:color w:val="auto"/>
                <w:sz w:val="24"/>
                <w:lang w:val="en-US" w:eastAsia="zh-CN"/>
              </w:rPr>
              <w:t>4-1</w:t>
            </w:r>
            <w:r>
              <w:rPr>
                <w:rFonts w:hint="default" w:ascii="Times New Roman" w:hAnsi="Times New Roman" w:cs="Times New Roman"/>
                <w:color w:val="auto"/>
                <w:sz w:val="24"/>
              </w:rPr>
              <w:t>所示。</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4-1</w:t>
            </w:r>
            <w:r>
              <w:rPr>
                <w:rFonts w:hint="default" w:ascii="Times New Roman" w:hAnsi="Times New Roman" w:eastAsia="宋体" w:cs="Times New Roman"/>
                <w:b/>
                <w:bCs w:val="0"/>
                <w:color w:val="auto"/>
                <w:kern w:val="2"/>
                <w:sz w:val="21"/>
                <w:szCs w:val="21"/>
                <w:lang w:val="en-GB" w:eastAsia="zh-CN" w:bidi="ar-SA"/>
              </w:rPr>
              <w:t xml:space="preserve"> 环境空气质量标准（摘录）</w:t>
            </w:r>
          </w:p>
          <w:tbl>
            <w:tblPr>
              <w:tblStyle w:val="24"/>
              <w:tblW w:w="8555" w:type="dxa"/>
              <w:tblInd w:w="-5"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33"/>
              <w:gridCol w:w="982"/>
              <w:gridCol w:w="949"/>
              <w:gridCol w:w="1043"/>
              <w:gridCol w:w="726"/>
              <w:gridCol w:w="875"/>
              <w:gridCol w:w="874"/>
              <w:gridCol w:w="87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2233" w:type="dxa"/>
                  <w:tcBorders>
                    <w:tl2br w:val="nil"/>
                    <w:tr2bl w:val="nil"/>
                  </w:tcBorders>
                  <w:noWrap w:val="0"/>
                  <w:vAlign w:val="center"/>
                </w:tcPr>
                <w:p>
                  <w:pPr>
                    <w:jc w:val="center"/>
                    <w:rPr>
                      <w:rFonts w:hint="default" w:ascii="Times New Roman" w:hAnsi="Times New Roman" w:cs="Times New Roman"/>
                      <w:b/>
                      <w:bCs w:val="0"/>
                      <w:color w:val="auto"/>
                    </w:rPr>
                  </w:pPr>
                  <w:r>
                    <w:rPr>
                      <w:rFonts w:hint="default" w:ascii="Times New Roman" w:hAnsi="Times New Roman" w:cs="Times New Roman"/>
                      <w:b/>
                      <w:bCs w:val="0"/>
                      <w:color w:val="auto"/>
                    </w:rPr>
                    <w:t>污染物名称</w:t>
                  </w:r>
                </w:p>
              </w:tc>
              <w:tc>
                <w:tcPr>
                  <w:tcW w:w="982"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SO</w:t>
                  </w:r>
                  <w:r>
                    <w:rPr>
                      <w:rFonts w:hint="default" w:ascii="Times New Roman" w:hAnsi="Times New Roman" w:cs="Times New Roman"/>
                      <w:b/>
                      <w:bCs w:val="0"/>
                      <w:color w:val="auto"/>
                      <w:vertAlign w:val="subscript"/>
                    </w:rPr>
                    <w:t>2</w:t>
                  </w:r>
                </w:p>
              </w:tc>
              <w:tc>
                <w:tcPr>
                  <w:tcW w:w="949"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NO</w:t>
                  </w:r>
                  <w:r>
                    <w:rPr>
                      <w:rFonts w:hint="default" w:ascii="Times New Roman" w:hAnsi="Times New Roman" w:cs="Times New Roman"/>
                      <w:b/>
                      <w:bCs w:val="0"/>
                      <w:color w:val="auto"/>
                      <w:vertAlign w:val="subscript"/>
                    </w:rPr>
                    <w:t>2</w:t>
                  </w:r>
                </w:p>
              </w:tc>
              <w:tc>
                <w:tcPr>
                  <w:tcW w:w="1043"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TSP</w:t>
                  </w:r>
                </w:p>
              </w:tc>
              <w:tc>
                <w:tcPr>
                  <w:tcW w:w="726"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PM</w:t>
                  </w:r>
                  <w:r>
                    <w:rPr>
                      <w:rFonts w:hint="default" w:ascii="Times New Roman" w:hAnsi="Times New Roman" w:cs="Times New Roman"/>
                      <w:b/>
                      <w:bCs w:val="0"/>
                      <w:color w:val="auto"/>
                      <w:vertAlign w:val="subscript"/>
                    </w:rPr>
                    <w:t>10</w:t>
                  </w:r>
                </w:p>
              </w:tc>
              <w:tc>
                <w:tcPr>
                  <w:tcW w:w="875"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PM</w:t>
                  </w:r>
                  <w:r>
                    <w:rPr>
                      <w:rFonts w:hint="default" w:ascii="Times New Roman" w:hAnsi="Times New Roman" w:cs="Times New Roman"/>
                      <w:b/>
                      <w:bCs w:val="0"/>
                      <w:color w:val="auto"/>
                      <w:vertAlign w:val="subscript"/>
                    </w:rPr>
                    <w:t>2.5</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bCs w:val="0"/>
                      <w:color w:val="auto"/>
                    </w:rPr>
                  </w:pPr>
                  <w:r>
                    <w:rPr>
                      <w:rFonts w:hint="eastAsia" w:ascii="Times New Roman" w:hAnsi="Times New Roman" w:eastAsia="宋体"/>
                      <w:b/>
                      <w:bCs w:val="0"/>
                      <w:color w:val="auto"/>
                      <w:lang w:val="en-US" w:eastAsia="zh-CN"/>
                    </w:rPr>
                    <w:t>CO</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bCs w:val="0"/>
                      <w:color w:val="auto"/>
                    </w:rPr>
                  </w:pPr>
                  <w:r>
                    <w:rPr>
                      <w:rFonts w:hint="eastAsia" w:ascii="Times New Roman" w:hAnsi="Times New Roman" w:eastAsia="宋体"/>
                      <w:b/>
                      <w:bCs w:val="0"/>
                      <w:color w:val="auto"/>
                      <w:lang w:val="en-US" w:eastAsia="zh-CN"/>
                    </w:rPr>
                    <w:t>O</w:t>
                  </w:r>
                  <w:r>
                    <w:rPr>
                      <w:rFonts w:hint="eastAsia" w:ascii="Times New Roman" w:hAnsi="Times New Roman" w:eastAsia="宋体"/>
                      <w:b/>
                      <w:bCs w:val="0"/>
                      <w:color w:val="auto"/>
                      <w:vertAlign w:val="sub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2233"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1小时平均（μg/m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w:t>
                  </w:r>
                </w:p>
              </w:tc>
              <w:tc>
                <w:tcPr>
                  <w:tcW w:w="982"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500</w:t>
                  </w:r>
                </w:p>
              </w:tc>
              <w:tc>
                <w:tcPr>
                  <w:tcW w:w="949"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200</w:t>
                  </w:r>
                </w:p>
              </w:tc>
              <w:tc>
                <w:tcPr>
                  <w:tcW w:w="1043"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726"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875"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hint="eastAsia" w:ascii="Times New Roman" w:hAnsi="Times New Roman" w:eastAsia="宋体"/>
                      <w:bCs/>
                      <w:color w:val="auto"/>
                      <w:lang w:val="en-US" w:eastAsia="zh-CN"/>
                    </w:rPr>
                    <w:t>10</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hint="eastAsia" w:ascii="Times New Roman" w:hAnsi="Times New Roman" w:eastAsia="宋体"/>
                      <w:bCs/>
                      <w:color w:val="auto"/>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2233"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日平均（μg/m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w:t>
                  </w:r>
                </w:p>
              </w:tc>
              <w:tc>
                <w:tcPr>
                  <w:tcW w:w="982"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150</w:t>
                  </w:r>
                </w:p>
              </w:tc>
              <w:tc>
                <w:tcPr>
                  <w:tcW w:w="949"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80</w:t>
                  </w:r>
                </w:p>
              </w:tc>
              <w:tc>
                <w:tcPr>
                  <w:tcW w:w="1043" w:type="dxa"/>
                  <w:tcBorders>
                    <w:tl2br w:val="nil"/>
                    <w:tr2bl w:val="nil"/>
                  </w:tcBorders>
                  <w:noWrap w:val="0"/>
                  <w:vAlign w:val="center"/>
                </w:tcPr>
                <w:p>
                  <w:pPr>
                    <w:pStyle w:val="7"/>
                    <w:ind w:left="-111" w:leftChars="-53" w:right="-92" w:rightChars="-44"/>
                    <w:jc w:val="center"/>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300</w:t>
                  </w:r>
                </w:p>
              </w:tc>
              <w:tc>
                <w:tcPr>
                  <w:tcW w:w="726"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150</w:t>
                  </w:r>
                </w:p>
              </w:tc>
              <w:tc>
                <w:tcPr>
                  <w:tcW w:w="875"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75</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hint="eastAsia" w:ascii="Times New Roman" w:hAnsi="Times New Roman" w:eastAsia="宋体"/>
                      <w:bCs/>
                      <w:color w:val="auto"/>
                      <w:lang w:val="en-US" w:eastAsia="zh-CN"/>
                    </w:rPr>
                    <w:t>4</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ascii="Times New Roman" w:hAnsi="Times New Roman" w:eastAsia="宋体"/>
                      <w:bCs/>
                      <w:color w:val="auto"/>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2233"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年平均（μg/m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w:t>
                  </w:r>
                </w:p>
              </w:tc>
              <w:tc>
                <w:tcPr>
                  <w:tcW w:w="982"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60</w:t>
                  </w:r>
                </w:p>
              </w:tc>
              <w:tc>
                <w:tcPr>
                  <w:tcW w:w="949"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40</w:t>
                  </w:r>
                </w:p>
              </w:tc>
              <w:tc>
                <w:tcPr>
                  <w:tcW w:w="1043"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200</w:t>
                  </w:r>
                </w:p>
              </w:tc>
              <w:tc>
                <w:tcPr>
                  <w:tcW w:w="726"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70</w:t>
                  </w:r>
                </w:p>
              </w:tc>
              <w:tc>
                <w:tcPr>
                  <w:tcW w:w="875"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35</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ascii="Times New Roman" w:hAnsi="Times New Roman" w:eastAsia="宋体"/>
                      <w:bCs/>
                      <w:color w:val="auto"/>
                    </w:rPr>
                    <w:t>－</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ascii="Times New Roman" w:hAnsi="Times New Roman" w:eastAsia="宋体"/>
                      <w:bCs/>
                      <w:color w:val="auto"/>
                    </w:rPr>
                    <w:t>－</w:t>
                  </w:r>
                </w:p>
              </w:tc>
            </w:tr>
          </w:tbl>
          <w:p>
            <w:pPr>
              <w:pStyle w:val="16"/>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0" w:firstLineChars="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二、地表水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地表水环境质量标准执行《地表水环境质量标准》（GB3838</w:t>
            </w:r>
            <w:r>
              <w:rPr>
                <w:rFonts w:hint="default" w:ascii="Times New Roman" w:hAnsi="Times New Roman" w:eastAsia="宋体" w:cs="Times New Roman"/>
                <w:b w:val="0"/>
                <w:bCs/>
                <w:color w:val="auto"/>
                <w:sz w:val="24"/>
              </w:rPr>
              <w:sym w:font="Symbol" w:char="F02D"/>
            </w:r>
            <w:r>
              <w:rPr>
                <w:rFonts w:hint="default" w:ascii="Times New Roman" w:hAnsi="Times New Roman" w:eastAsia="宋体" w:cs="Times New Roman"/>
                <w:b w:val="0"/>
                <w:bCs/>
                <w:color w:val="auto"/>
                <w:sz w:val="24"/>
              </w:rPr>
              <w:t>2002）中的Ⅳ类标准，具体标准限值见表</w:t>
            </w:r>
            <w:r>
              <w:rPr>
                <w:rFonts w:hint="eastAsia" w:ascii="Times New Roman" w:hAnsi="Times New Roman" w:eastAsia="宋体" w:cs="Times New Roman"/>
                <w:b w:val="0"/>
                <w:bCs/>
                <w:color w:val="auto"/>
                <w:sz w:val="24"/>
                <w:lang w:val="en-US" w:eastAsia="zh-CN"/>
              </w:rPr>
              <w:t>4-2</w:t>
            </w:r>
            <w:r>
              <w:rPr>
                <w:rFonts w:hint="default" w:ascii="Times New Roman" w:hAnsi="Times New Roman" w:eastAsia="宋体" w:cs="Times New Roman"/>
                <w:b w:val="0"/>
                <w:bCs/>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eastAsia" w:ascii="Times New Roman" w:hAnsi="Times New Roman" w:eastAsia="宋体" w:cs="Times New Roman"/>
                <w:b/>
                <w:bCs w:val="0"/>
                <w:color w:val="auto"/>
                <w:kern w:val="2"/>
                <w:sz w:val="21"/>
                <w:szCs w:val="21"/>
                <w:lang w:val="en-US" w:eastAsia="zh-CN" w:bidi="ar-SA"/>
              </w:rPr>
              <w:t>4-2</w:t>
            </w:r>
            <w:r>
              <w:rPr>
                <w:rFonts w:hint="default" w:ascii="Times New Roman" w:hAnsi="Times New Roman" w:eastAsia="宋体" w:cs="Times New Roman"/>
                <w:b/>
                <w:bCs w:val="0"/>
                <w:color w:val="auto"/>
                <w:kern w:val="2"/>
                <w:sz w:val="21"/>
                <w:szCs w:val="21"/>
                <w:lang w:val="en-GB" w:eastAsia="zh-CN" w:bidi="ar-SA"/>
              </w:rPr>
              <w:t xml:space="preserve"> 地表水环境质量标准（摘录）单位：mg/L</w:t>
            </w:r>
          </w:p>
          <w:tbl>
            <w:tblPr>
              <w:tblStyle w:val="2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108" w:type="dxa"/>
                <w:bottom w:w="0" w:type="dxa"/>
                <w:right w:w="108" w:type="dxa"/>
              </w:tblCellMar>
            </w:tblPr>
            <w:tblGrid>
              <w:gridCol w:w="621"/>
              <w:gridCol w:w="1945"/>
              <w:gridCol w:w="1036"/>
              <w:gridCol w:w="2000"/>
              <w:gridCol w:w="2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36" w:hRule="atLeast"/>
                <w:jc w:val="center"/>
              </w:trPr>
              <w:tc>
                <w:tcPr>
                  <w:tcW w:w="6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94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103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单位</w:t>
                  </w:r>
                </w:p>
              </w:tc>
              <w:tc>
                <w:tcPr>
                  <w:tcW w:w="200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评价标准值</w:t>
                  </w:r>
                </w:p>
              </w:tc>
              <w:tc>
                <w:tcPr>
                  <w:tcW w:w="290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12" w:hRule="atLeast"/>
                <w:jc w:val="center"/>
              </w:trPr>
              <w:tc>
                <w:tcPr>
                  <w:tcW w:w="6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c>
                <w:tcPr>
                  <w:tcW w:w="19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c>
                <w:tcPr>
                  <w:tcW w:w="103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c>
                <w:tcPr>
                  <w:tcW w:w="200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c>
                <w:tcPr>
                  <w:tcW w:w="290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《地表水环境质量标准》</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（GB3838-2002）Ⅳ类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9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pH值</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无量纲</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lang w:val="eu-ES"/>
                    </w:rPr>
                  </w:pPr>
                  <w:r>
                    <w:rPr>
                      <w:rFonts w:hint="default" w:ascii="Times New Roman" w:hAnsi="Times New Roman" w:cs="Times New Roman"/>
                      <w:color w:val="auto"/>
                      <w:szCs w:val="21"/>
                      <w:highlight w:val="none"/>
                      <w:lang w:val="eu-ES"/>
                    </w:rPr>
                    <w:t>6~9</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CODcr</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lang w:val="eu-ES"/>
                    </w:rPr>
                  </w:pPr>
                  <w:r>
                    <w:rPr>
                      <w:rFonts w:hint="default" w:ascii="Times New Roman" w:hAnsi="Times New Roman" w:cs="Times New Roman"/>
                      <w:color w:val="auto"/>
                      <w:szCs w:val="21"/>
                      <w:highlight w:val="none"/>
                      <w:lang w:val="eu-ES"/>
                    </w:rPr>
                    <w:t>≤30</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lang w:val="eu-ES"/>
                    </w:rPr>
                  </w:pPr>
                  <w:r>
                    <w:rPr>
                      <w:rFonts w:hint="default" w:ascii="Times New Roman" w:hAnsi="Times New Roman" w:cs="Times New Roman"/>
                      <w:color w:val="auto"/>
                      <w:szCs w:val="21"/>
                      <w:highlight w:val="none"/>
                      <w:lang w:val="eu-ES"/>
                    </w:rPr>
                    <w:t>≤6</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氨氮</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lang w:val="eu-ES"/>
                    </w:rPr>
                  </w:pPr>
                  <w:r>
                    <w:rPr>
                      <w:rFonts w:hint="default" w:ascii="Times New Roman" w:hAnsi="Times New Roman" w:cs="Times New Roman"/>
                      <w:color w:val="auto"/>
                      <w:szCs w:val="21"/>
                      <w:highlight w:val="none"/>
                      <w:lang w:val="eu-ES"/>
                    </w:rPr>
                    <w:t>≤1.5</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24"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9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溶解氧</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3</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高锰酸盐指数</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lang w:val="eu-ES"/>
                    </w:rPr>
                    <w:t>≤10</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总磷</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lang w:val="eu-ES"/>
                    </w:rPr>
                  </w:pPr>
                  <w:r>
                    <w:rPr>
                      <w:rFonts w:hint="default" w:ascii="Times New Roman" w:hAnsi="Times New Roman" w:cs="Times New Roman"/>
                      <w:color w:val="auto"/>
                      <w:szCs w:val="21"/>
                      <w:highlight w:val="none"/>
                      <w:lang w:val="eu-ES"/>
                    </w:rPr>
                    <w:t>≤0.3（湖、库≤0.2）</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2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总氮</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lang w:val="eu-ES"/>
                    </w:rPr>
                  </w:pPr>
                  <w:r>
                    <w:rPr>
                      <w:rFonts w:hint="default" w:ascii="Times New Roman" w:hAnsi="Times New Roman" w:cs="Times New Roman"/>
                      <w:color w:val="auto"/>
                      <w:szCs w:val="21"/>
                      <w:highlight w:val="none"/>
                      <w:lang w:val="eu-ES"/>
                    </w:rPr>
                    <w:t>≤1.5</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挥发酚</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0.01</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氰化物</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0.2</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砷</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0.1</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汞</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0.001</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26"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铬（六价铬）</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0.05</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14</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氯化物</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250</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硫化物</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0.5</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16</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阴离子表面活性剂</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0.3</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17</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石油类</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0.5</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27"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8</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粪大肠菌群</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个/L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lang w:val="eu-ES"/>
                    </w:rPr>
                  </w:pPr>
                  <w:r>
                    <w:rPr>
                      <w:rFonts w:hint="default" w:ascii="Times New Roman" w:hAnsi="Times New Roman" w:cs="Times New Roman"/>
                      <w:color w:val="auto"/>
                      <w:szCs w:val="21"/>
                      <w:highlight w:val="none"/>
                      <w:lang w:val="eu-ES"/>
                    </w:rPr>
                    <w:t>≤20000</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19</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铜</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1.0</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锌</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2.0</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21</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硒</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0.02</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22</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镉</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0.005</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11" w:hRule="atLeast"/>
                <w:jc w:val="center"/>
              </w:trPr>
              <w:tc>
                <w:tcPr>
                  <w:tcW w:w="6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23</w:t>
                  </w:r>
                </w:p>
              </w:tc>
              <w:tc>
                <w:tcPr>
                  <w:tcW w:w="19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铅</w:t>
                  </w:r>
                </w:p>
              </w:tc>
              <w:tc>
                <w:tcPr>
                  <w:tcW w:w="10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mg/L</w:t>
                  </w:r>
                </w:p>
              </w:tc>
              <w:tc>
                <w:tcPr>
                  <w:tcW w:w="2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u-ES"/>
                    </w:rPr>
                    <w:t>≤</w:t>
                  </w:r>
                  <w:r>
                    <w:rPr>
                      <w:rFonts w:hint="default" w:ascii="Times New Roman" w:hAnsi="Times New Roman" w:cs="Times New Roman"/>
                      <w:color w:val="auto"/>
                      <w:szCs w:val="21"/>
                      <w:highlight w:val="none"/>
                      <w:lang w:val="en-US" w:eastAsia="zh-CN"/>
                    </w:rPr>
                    <w:t>0.05</w:t>
                  </w:r>
                </w:p>
              </w:tc>
              <w:tc>
                <w:tcPr>
                  <w:tcW w:w="29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三、地下水</w:t>
            </w:r>
          </w:p>
          <w:p>
            <w:pPr>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项目所在区域地下水质量标准执行《地下水质量标准》（GB/T14848-</w:t>
            </w:r>
            <w:r>
              <w:rPr>
                <w:rFonts w:hint="eastAsia" w:ascii="Times New Roman" w:hAnsi="Times New Roman" w:eastAsia="宋体"/>
                <w:bCs/>
                <w:color w:val="auto"/>
                <w:sz w:val="24"/>
                <w:lang w:val="en-US" w:eastAsia="zh-CN"/>
              </w:rPr>
              <w:t>2017</w:t>
            </w:r>
            <w:r>
              <w:rPr>
                <w:rFonts w:ascii="Times New Roman" w:hAnsi="Times New Roman" w:eastAsia="宋体"/>
                <w:bCs/>
                <w:color w:val="auto"/>
                <w:sz w:val="24"/>
              </w:rPr>
              <w:t>）中的Ⅲ类标准，具体标准限值见表</w:t>
            </w:r>
            <w:r>
              <w:rPr>
                <w:rFonts w:hint="eastAsia" w:ascii="Times New Roman" w:hAnsi="Times New Roman" w:eastAsia="宋体"/>
                <w:bCs/>
                <w:color w:val="auto"/>
                <w:sz w:val="24"/>
                <w:lang w:val="en-US" w:eastAsia="zh-CN"/>
              </w:rPr>
              <w:t>4-3</w:t>
            </w:r>
            <w:r>
              <w:rPr>
                <w:rFonts w:ascii="Times New Roman" w:hAnsi="Times New Roman" w:eastAsia="宋体"/>
                <w:bCs/>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eastAsia" w:ascii="Times New Roman" w:hAnsi="Times New Roman" w:eastAsia="宋体" w:cs="Times New Roman"/>
                <w:b/>
                <w:bCs w:val="0"/>
                <w:color w:val="auto"/>
                <w:kern w:val="2"/>
                <w:sz w:val="21"/>
                <w:szCs w:val="21"/>
                <w:lang w:val="en-US" w:eastAsia="zh-CN" w:bidi="ar-SA"/>
              </w:rPr>
              <w:t>4-3</w:t>
            </w:r>
            <w:r>
              <w:rPr>
                <w:rFonts w:hint="eastAsia" w:ascii="Times New Roman" w:hAnsi="Times New Roman" w:eastAsia="宋体" w:cs="Times New Roman"/>
                <w:b/>
                <w:bCs w:val="0"/>
                <w:color w:val="auto"/>
                <w:kern w:val="2"/>
                <w:sz w:val="21"/>
                <w:szCs w:val="21"/>
                <w:lang w:val="en-GB" w:eastAsia="zh-CN" w:bidi="ar-SA"/>
              </w:rPr>
              <w:t xml:space="preserve"> </w:t>
            </w:r>
            <w:r>
              <w:rPr>
                <w:rFonts w:hint="default" w:ascii="Times New Roman" w:hAnsi="Times New Roman" w:eastAsia="宋体" w:cs="Times New Roman"/>
                <w:b/>
                <w:bCs w:val="0"/>
                <w:color w:val="auto"/>
                <w:kern w:val="2"/>
                <w:sz w:val="21"/>
                <w:szCs w:val="21"/>
                <w:lang w:val="en-GB" w:eastAsia="zh-CN" w:bidi="ar-SA"/>
              </w:rPr>
              <w:t>地下水质量标准（摘录）单位：mg/L</w:t>
            </w:r>
          </w:p>
          <w:tbl>
            <w:tblPr>
              <w:tblStyle w:val="24"/>
              <w:tblW w:w="850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739"/>
              <w:gridCol w:w="1440"/>
              <w:gridCol w:w="2162"/>
              <w:gridCol w:w="216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w:t>
                  </w:r>
                </w:p>
              </w:tc>
              <w:tc>
                <w:tcPr>
                  <w:tcW w:w="1440" w:type="dxa"/>
                  <w:tcBorders>
                    <w:tl2br w:val="nil"/>
                    <w:tr2bl w:val="nil"/>
                  </w:tcBorders>
                  <w:noWrap w:val="0"/>
                  <w:vAlign w:val="center"/>
                </w:tcPr>
                <w:p>
                  <w:pPr>
                    <w:pStyle w:val="7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单位</w:t>
                  </w:r>
                </w:p>
              </w:tc>
              <w:tc>
                <w:tcPr>
                  <w:tcW w:w="2162" w:type="dxa"/>
                  <w:tcBorders>
                    <w:tl2br w:val="nil"/>
                    <w:tr2bl w:val="nil"/>
                  </w:tcBorders>
                  <w:noWrap w:val="0"/>
                  <w:vAlign w:val="center"/>
                </w:tcPr>
                <w:p>
                  <w:pPr>
                    <w:pStyle w:val="7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评价标准值</w:t>
                  </w:r>
                </w:p>
              </w:tc>
              <w:tc>
                <w:tcPr>
                  <w:tcW w:w="2163" w:type="dxa"/>
                  <w:tcBorders>
                    <w:tl2br w:val="nil"/>
                    <w:tr2bl w:val="nil"/>
                  </w:tcBorders>
                  <w:noWrap w:val="0"/>
                  <w:vAlign w:val="center"/>
                </w:tcPr>
                <w:p>
                  <w:pPr>
                    <w:pStyle w:val="7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来源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pH值</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无量纲</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6.5～8.5</w:t>
                  </w:r>
                </w:p>
              </w:tc>
              <w:tc>
                <w:tcPr>
                  <w:tcW w:w="2163" w:type="dxa"/>
                  <w:vMerge w:val="restart"/>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《地下水质量标准》（GB/T</w:t>
                  </w:r>
                  <w:r>
                    <w:rPr>
                      <w:rFonts w:hint="default" w:ascii="Times New Roman" w:hAnsi="Times New Roman" w:cs="Times New Roman"/>
                      <w:color w:val="auto"/>
                      <w:highlight w:val="none"/>
                      <w:lang w:eastAsia="zh-CN"/>
                    </w:rPr>
                    <w:t>14848-2017</w:t>
                  </w:r>
                  <w:r>
                    <w:rPr>
                      <w:rFonts w:hint="default" w:ascii="Times New Roman" w:hAnsi="Times New Roman" w:cs="Times New Roman"/>
                      <w:color w:val="auto"/>
                      <w:highlight w:val="none"/>
                    </w:rPr>
                    <w:t>）中的Ⅲ类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耗氧量</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总硬度（以碳酸钙计）</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≤450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溶解性总固体</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≤1000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硫酸盐</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氯化物</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氟化物</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5</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硝酸盐氮</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2"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亚硝酸盐氮</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硫化物</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≤0.02</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挥发酚</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≤0.002</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六价铬</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5</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≤0.001</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1</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05</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1</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7" w:hRule="atLeast"/>
                <w:jc w:val="center"/>
              </w:trPr>
              <w:tc>
                <w:tcPr>
                  <w:tcW w:w="2739"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总大肠菌群</w:t>
                  </w:r>
                </w:p>
              </w:tc>
              <w:tc>
                <w:tcPr>
                  <w:tcW w:w="1440" w:type="dxa"/>
                  <w:tcBorders>
                    <w:tl2br w:val="nil"/>
                    <w:tr2bl w:val="nil"/>
                  </w:tcBorders>
                  <w:noWrap w:val="0"/>
                  <w:vAlign w:val="center"/>
                </w:tcPr>
                <w:p>
                  <w:pPr>
                    <w:pStyle w:val="7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CFU</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100ml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2739" w:type="dxa"/>
                  <w:tcBorders>
                    <w:tl2br w:val="nil"/>
                    <w:tr2bl w:val="nil"/>
                  </w:tcBorders>
                  <w:noWrap w:val="0"/>
                  <w:vAlign w:val="center"/>
                </w:tcPr>
                <w:p>
                  <w:pPr>
                    <w:pStyle w:val="7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铁</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0.30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2739" w:type="dxa"/>
                  <w:tcBorders>
                    <w:tl2br w:val="nil"/>
                    <w:tr2bl w:val="nil"/>
                  </w:tcBorders>
                  <w:noWrap w:val="0"/>
                  <w:vAlign w:val="center"/>
                </w:tcPr>
                <w:p>
                  <w:pPr>
                    <w:pStyle w:val="7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锰</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0.10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2739" w:type="dxa"/>
                  <w:tcBorders>
                    <w:tl2br w:val="nil"/>
                    <w:tr2bl w:val="nil"/>
                  </w:tcBorders>
                  <w:noWrap w:val="0"/>
                  <w:vAlign w:val="center"/>
                </w:tcPr>
                <w:p>
                  <w:pPr>
                    <w:pStyle w:val="7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铜</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2739" w:type="dxa"/>
                  <w:tcBorders>
                    <w:tl2br w:val="nil"/>
                    <w:tr2bl w:val="nil"/>
                  </w:tcBorders>
                  <w:noWrap w:val="0"/>
                  <w:vAlign w:val="center"/>
                </w:tcPr>
                <w:p>
                  <w:pPr>
                    <w:pStyle w:val="7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锌</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1.00</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2739" w:type="dxa"/>
                  <w:tcBorders>
                    <w:tl2br w:val="nil"/>
                    <w:tr2bl w:val="nil"/>
                  </w:tcBorders>
                  <w:noWrap w:val="0"/>
                  <w:vAlign w:val="center"/>
                </w:tcPr>
                <w:p>
                  <w:pPr>
                    <w:pStyle w:val="7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阴离子表面活性剂</w:t>
                  </w:r>
                </w:p>
              </w:tc>
              <w:tc>
                <w:tcPr>
                  <w:tcW w:w="1440" w:type="dxa"/>
                  <w:tcBorders>
                    <w:tl2br w:val="nil"/>
                    <w:tr2bl w:val="nil"/>
                  </w:tcBorders>
                  <w:noWrap w:val="0"/>
                  <w:vAlign w:val="center"/>
                </w:tcPr>
                <w:p>
                  <w:pPr>
                    <w:pStyle w:val="7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mg/L</w:t>
                  </w:r>
                </w:p>
              </w:tc>
              <w:tc>
                <w:tcPr>
                  <w:tcW w:w="2162" w:type="dxa"/>
                  <w:tcBorders>
                    <w:tl2br w:val="nil"/>
                    <w:tr2bl w:val="nil"/>
                  </w:tcBorders>
                  <w:noWrap w:val="0"/>
                  <w:vAlign w:val="center"/>
                </w:tcPr>
                <w:p>
                  <w:pPr>
                    <w:pStyle w:val="7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0.3</w:t>
                  </w:r>
                </w:p>
              </w:tc>
              <w:tc>
                <w:tcPr>
                  <w:tcW w:w="2163" w:type="dxa"/>
                  <w:vMerge w:val="continue"/>
                  <w:tcBorders>
                    <w:tl2br w:val="nil"/>
                    <w:tr2bl w:val="nil"/>
                  </w:tcBorders>
                  <w:noWrap w:val="0"/>
                  <w:vAlign w:val="center"/>
                </w:tcPr>
                <w:p>
                  <w:pPr>
                    <w:pStyle w:val="78"/>
                    <w:rPr>
                      <w:rFonts w:hint="default" w:ascii="Times New Roman" w:hAnsi="Times New Roman" w:cs="Times New Roman"/>
                      <w:color w:val="auto"/>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四、声环境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56" w:firstLineChars="200"/>
              <w:jc w:val="both"/>
              <w:textAlignment w:val="auto"/>
              <w:outlineLvl w:val="9"/>
              <w:rPr>
                <w:rFonts w:hint="default" w:ascii="Times New Roman" w:hAnsi="Times New Roman" w:cs="Times New Roman"/>
                <w:b w:val="0"/>
                <w:bCs/>
                <w:color w:val="auto"/>
                <w:sz w:val="24"/>
              </w:rPr>
            </w:pPr>
            <w:r>
              <w:rPr>
                <w:rFonts w:hint="default" w:ascii="Times New Roman" w:hAnsi="Times New Roman" w:cs="Times New Roman"/>
                <w:b w:val="0"/>
                <w:bCs/>
                <w:color w:val="auto"/>
                <w:spacing w:val="-6"/>
                <w:sz w:val="24"/>
              </w:rPr>
              <w:t>项目所在地声环境质量标准</w:t>
            </w:r>
            <w:r>
              <w:rPr>
                <w:rFonts w:hint="default" w:ascii="Times New Roman" w:hAnsi="Times New Roman" w:cs="Times New Roman"/>
                <w:b w:val="0"/>
                <w:bCs/>
                <w:color w:val="auto"/>
                <w:sz w:val="24"/>
              </w:rPr>
              <w:t>执行《声环境质量标准》（GB3096-2008）中的</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rPr>
              <w:t>2类</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rPr>
              <w:t>标准</w:t>
            </w:r>
            <w:r>
              <w:rPr>
                <w:rFonts w:hint="default" w:ascii="Times New Roman" w:hAnsi="Times New Roman" w:cs="Times New Roman"/>
                <w:color w:val="auto"/>
                <w:sz w:val="24"/>
                <w:lang w:val="en-US" w:eastAsia="zh-CN"/>
              </w:rPr>
              <w:t>，</w:t>
            </w:r>
            <w:r>
              <w:rPr>
                <w:rFonts w:hint="default" w:ascii="Times New Roman" w:hAnsi="Times New Roman" w:cs="Times New Roman"/>
                <w:b w:val="0"/>
                <w:bCs/>
                <w:color w:val="auto"/>
                <w:sz w:val="24"/>
              </w:rPr>
              <w:t>具体标准限值见表</w:t>
            </w:r>
            <w:r>
              <w:rPr>
                <w:rFonts w:hint="default" w:ascii="Times New Roman" w:hAnsi="Times New Roman" w:cs="Times New Roman"/>
                <w:b w:val="0"/>
                <w:bCs/>
                <w:color w:val="auto"/>
                <w:sz w:val="24"/>
                <w:lang w:val="en-US" w:eastAsia="zh-CN"/>
              </w:rPr>
              <w:t>4-4</w:t>
            </w:r>
            <w:r>
              <w:rPr>
                <w:rFonts w:hint="default" w:ascii="Times New Roman" w:hAnsi="Times New Roman" w:cs="Times New Roman"/>
                <w:b w:val="0"/>
                <w:bCs/>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4-4</w:t>
            </w:r>
            <w:r>
              <w:rPr>
                <w:rFonts w:hint="default" w:ascii="Times New Roman" w:hAnsi="Times New Roman" w:eastAsia="宋体" w:cs="Times New Roman"/>
                <w:b/>
                <w:bCs w:val="0"/>
                <w:color w:val="auto"/>
                <w:kern w:val="2"/>
                <w:sz w:val="21"/>
                <w:szCs w:val="21"/>
                <w:lang w:val="en-GB" w:eastAsia="zh-CN" w:bidi="ar-SA"/>
              </w:rPr>
              <w:t xml:space="preserve"> 声环境质量标准（摘录）</w:t>
            </w:r>
          </w:p>
          <w:tbl>
            <w:tblPr>
              <w:tblStyle w:val="24"/>
              <w:tblpPr w:leftFromText="180" w:rightFromText="180" w:vertAnchor="text" w:horzAnchor="page" w:tblpX="129" w:tblpY="225"/>
              <w:tblOverlap w:val="never"/>
              <w:tblW w:w="850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41"/>
              <w:gridCol w:w="2582"/>
              <w:gridCol w:w="25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3341" w:type="dxa"/>
                  <w:vMerge w:val="restart"/>
                  <w:tcBorders>
                    <w:tl2br w:val="nil"/>
                    <w:tr2bl w:val="nil"/>
                  </w:tcBorders>
                  <w:noWrap w:val="0"/>
                  <w:vAlign w:val="center"/>
                </w:tcPr>
                <w:p>
                  <w:pPr>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bCs w:val="0"/>
                      <w:color w:val="auto"/>
                      <w:szCs w:val="21"/>
                    </w:rPr>
                    <w:t>类别</w:t>
                  </w:r>
                </w:p>
              </w:tc>
              <w:tc>
                <w:tcPr>
                  <w:tcW w:w="5163" w:type="dxa"/>
                  <w:gridSpan w:val="2"/>
                  <w:tcBorders>
                    <w:tl2br w:val="nil"/>
                    <w:tr2bl w:val="nil"/>
                  </w:tcBorders>
                  <w:noWrap w:val="0"/>
                  <w:vAlign w:val="center"/>
                </w:tcPr>
                <w:p>
                  <w:pPr>
                    <w:ind w:firstLine="482"/>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bCs w:val="0"/>
                      <w:color w:val="auto"/>
                      <w:szCs w:val="21"/>
                    </w:rPr>
                    <w:t>标准限值（dB（A））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3341" w:type="dxa"/>
                  <w:vMerge w:val="continue"/>
                  <w:tcBorders>
                    <w:tl2br w:val="nil"/>
                    <w:tr2bl w:val="nil"/>
                  </w:tcBorders>
                  <w:noWrap w:val="0"/>
                  <w:vAlign w:val="center"/>
                </w:tcPr>
                <w:p>
                  <w:pPr>
                    <w:ind w:firstLine="482"/>
                    <w:jc w:val="center"/>
                    <w:rPr>
                      <w:rFonts w:hint="default" w:ascii="Times New Roman" w:hAnsi="Times New Roman" w:eastAsia="宋体" w:cs="Times New Roman"/>
                      <w:b w:val="0"/>
                      <w:bCs/>
                      <w:color w:val="auto"/>
                      <w:szCs w:val="21"/>
                    </w:rPr>
                  </w:pPr>
                </w:p>
              </w:tc>
              <w:tc>
                <w:tcPr>
                  <w:tcW w:w="2582" w:type="dxa"/>
                  <w:tcBorders>
                    <w:tl2br w:val="nil"/>
                    <w:tr2bl w:val="nil"/>
                  </w:tcBorders>
                  <w:noWrap w:val="0"/>
                  <w:vAlign w:val="center"/>
                </w:tcPr>
                <w:p>
                  <w:pPr>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昼间</w:t>
                  </w:r>
                </w:p>
              </w:tc>
              <w:tc>
                <w:tcPr>
                  <w:tcW w:w="2581" w:type="dxa"/>
                  <w:tcBorders>
                    <w:tl2br w:val="nil"/>
                    <w:tr2bl w:val="nil"/>
                  </w:tcBorders>
                  <w:noWrap w:val="0"/>
                  <w:vAlign w:val="center"/>
                </w:tcPr>
                <w:p>
                  <w:pPr>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3341" w:type="dxa"/>
                  <w:tcBorders>
                    <w:tl2br w:val="nil"/>
                    <w:tr2bl w:val="nil"/>
                  </w:tcBorders>
                  <w:noWrap w:val="0"/>
                  <w:vAlign w:val="center"/>
                </w:tcPr>
                <w:p>
                  <w:pPr>
                    <w:jc w:val="center"/>
                    <w:rPr>
                      <w:rFonts w:hint="eastAsia" w:ascii="Times New Roman" w:hAnsi="Times New Roman" w:eastAsia="宋体" w:cs="Times New Roman"/>
                      <w:b w:val="0"/>
                      <w:bCs/>
                      <w:color w:val="auto"/>
                      <w:szCs w:val="21"/>
                      <w:lang w:eastAsia="zh-CN"/>
                    </w:rPr>
                  </w:pPr>
                  <w:r>
                    <w:rPr>
                      <w:rFonts w:hint="eastAsia" w:cs="Times New Roman"/>
                      <w:b w:val="0"/>
                      <w:bCs/>
                      <w:color w:val="auto"/>
                      <w:szCs w:val="21"/>
                      <w:lang w:val="en-US" w:eastAsia="zh-CN"/>
                    </w:rPr>
                    <w:t>2</w:t>
                  </w:r>
                </w:p>
              </w:tc>
              <w:tc>
                <w:tcPr>
                  <w:tcW w:w="2582" w:type="dxa"/>
                  <w:tcBorders>
                    <w:tl2br w:val="nil"/>
                    <w:tr2bl w:val="nil"/>
                  </w:tcBorders>
                  <w:noWrap w:val="0"/>
                  <w:vAlign w:val="center"/>
                </w:tcPr>
                <w:p>
                  <w:pPr>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60</w:t>
                  </w:r>
                </w:p>
              </w:tc>
              <w:tc>
                <w:tcPr>
                  <w:tcW w:w="2581" w:type="dxa"/>
                  <w:tcBorders>
                    <w:tl2br w:val="nil"/>
                    <w:tr2bl w:val="nil"/>
                  </w:tcBorders>
                  <w:noWrap w:val="0"/>
                  <w:vAlign w:val="center"/>
                </w:tcPr>
                <w:p>
                  <w:pPr>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50</w:t>
                  </w:r>
                </w:p>
              </w:tc>
            </w:tr>
          </w:tbl>
          <w:p>
            <w:pPr>
              <w:pStyle w:val="2"/>
              <w:rPr>
                <w:rFonts w:hint="default" w:ascii="Times New Roman" w:hAnsi="Times New Roman" w:eastAsia="宋体" w:cs="Times New Roman"/>
                <w:b/>
                <w:bCs w:val="0"/>
                <w:color w:val="auto"/>
                <w:kern w:val="2"/>
                <w:sz w:val="21"/>
                <w:szCs w:val="21"/>
                <w:lang w:val="en-GB" w:eastAsia="zh-CN" w:bidi="ar-SA"/>
              </w:rPr>
            </w:pPr>
          </w:p>
          <w:p>
            <w:pPr>
              <w:pStyle w:val="32"/>
              <w:rPr>
                <w:rFonts w:hint="default" w:ascii="Times New Roman" w:hAnsi="Times New Roman" w:eastAsia="宋体" w:cs="Times New Roman"/>
                <w:b/>
                <w:bCs w:val="0"/>
                <w:color w:val="auto"/>
                <w:kern w:val="2"/>
                <w:sz w:val="21"/>
                <w:szCs w:val="21"/>
                <w:lang w:val="en-GB" w:eastAsia="zh-CN" w:bidi="ar-SA"/>
              </w:rPr>
            </w:pPr>
          </w:p>
          <w:p>
            <w:pPr>
              <w:pStyle w:val="32"/>
              <w:rPr>
                <w:rFonts w:hint="default" w:ascii="Times New Roman" w:hAnsi="Times New Roman" w:eastAsia="宋体" w:cs="Times New Roman"/>
                <w:b/>
                <w:bCs w:val="0"/>
                <w:color w:val="auto"/>
                <w:kern w:val="2"/>
                <w:sz w:val="21"/>
                <w:szCs w:val="21"/>
                <w:lang w:val="en-GB" w:eastAsia="zh-CN" w:bidi="ar-SA"/>
              </w:rPr>
            </w:pPr>
          </w:p>
          <w:p>
            <w:pPr>
              <w:pStyle w:val="32"/>
              <w:rPr>
                <w:rFonts w:hint="default" w:ascii="Times New Roman" w:hAnsi="Times New Roman" w:eastAsia="宋体" w:cs="Times New Roman"/>
                <w:b/>
                <w:bCs w:val="0"/>
                <w:color w:val="auto"/>
                <w:kern w:val="2"/>
                <w:sz w:val="21"/>
                <w:szCs w:val="21"/>
                <w:lang w:val="en-GB" w:eastAsia="zh-CN" w:bidi="ar-SA"/>
              </w:rPr>
            </w:pPr>
          </w:p>
          <w:p>
            <w:pPr>
              <w:pStyle w:val="32"/>
              <w:rPr>
                <w:rFonts w:hint="default" w:ascii="Times New Roman" w:hAnsi="Times New Roman" w:eastAsia="宋体" w:cs="Times New Roman"/>
                <w:b/>
                <w:bCs w:val="0"/>
                <w:color w:val="auto"/>
                <w:kern w:val="2"/>
                <w:sz w:val="21"/>
                <w:szCs w:val="21"/>
                <w:lang w:val="en-GB" w:eastAsia="zh-CN" w:bidi="ar-SA"/>
              </w:rPr>
            </w:pPr>
          </w:p>
          <w:p>
            <w:pPr>
              <w:pStyle w:val="32"/>
              <w:rPr>
                <w:rFonts w:hint="default" w:ascii="Times New Roman" w:hAnsi="Times New Roman" w:eastAsia="宋体" w:cs="Times New Roman"/>
                <w:b/>
                <w:bCs w:val="0"/>
                <w:color w:val="auto"/>
                <w:kern w:val="2"/>
                <w:sz w:val="21"/>
                <w:szCs w:val="21"/>
                <w:lang w:val="en-GB" w:eastAsia="zh-CN" w:bidi="ar-SA"/>
              </w:rPr>
            </w:pPr>
          </w:p>
          <w:p>
            <w:pPr>
              <w:pStyle w:val="32"/>
              <w:rPr>
                <w:rFonts w:hint="default" w:ascii="Times New Roman" w:hAnsi="Times New Roman" w:eastAsia="宋体" w:cs="Times New Roman"/>
                <w:b/>
                <w:bCs w:val="0"/>
                <w:color w:val="auto"/>
                <w:kern w:val="2"/>
                <w:sz w:val="21"/>
                <w:szCs w:val="21"/>
                <w:lang w:val="en-GB" w:eastAsia="zh-CN" w:bidi="ar-SA"/>
              </w:rPr>
            </w:pPr>
          </w:p>
          <w:p>
            <w:pPr>
              <w:pStyle w:val="32"/>
              <w:rPr>
                <w:rFonts w:hint="default" w:ascii="Times New Roman" w:hAnsi="Times New Roman" w:eastAsia="宋体" w:cs="Times New Roman"/>
                <w:b/>
                <w:bCs w:val="0"/>
                <w:color w:val="auto"/>
                <w:kern w:val="2"/>
                <w:sz w:val="21"/>
                <w:szCs w:val="21"/>
                <w:lang w:val="en-GB" w:eastAsia="zh-CN" w:bidi="ar-SA"/>
              </w:rPr>
            </w:pPr>
          </w:p>
          <w:p>
            <w:pPr>
              <w:spacing w:line="440" w:lineRule="exact"/>
              <w:rPr>
                <w:rFonts w:hint="default" w:ascii="Times New Roman" w:hAnsi="Times New Roman" w:cs="Times New Roman"/>
                <w:color w:val="auto"/>
                <w:sz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45" w:hRule="atLeast"/>
          <w:jc w:val="center"/>
        </w:trPr>
        <w:tc>
          <w:tcPr>
            <w:tcW w:w="847" w:type="dxa"/>
            <w:noWrap w:val="0"/>
            <w:vAlign w:val="center"/>
          </w:tcPr>
          <w:p>
            <w:pPr>
              <w:spacing w:line="360" w:lineRule="auto"/>
              <w:jc w:val="center"/>
              <w:rPr>
                <w:rFonts w:hint="default" w:ascii="Times New Roman" w:hAnsi="Times New Roman" w:cs="Times New Roman"/>
                <w:color w:val="auto"/>
                <w:sz w:val="28"/>
              </w:rPr>
            </w:pPr>
            <w:r>
              <w:rPr>
                <w:rFonts w:hint="default" w:ascii="Times New Roman" w:hAnsi="Times New Roman" w:cs="Times New Roman"/>
                <w:color w:val="auto"/>
                <w:sz w:val="28"/>
              </w:rPr>
              <w:t>污染物排放标准</w:t>
            </w:r>
          </w:p>
        </w:tc>
        <w:tc>
          <w:tcPr>
            <w:tcW w:w="879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项目热处理炉有组织废气以及厂界无组织废气排放应执行《钢铁工业大气污染物排放标准》（DB37/990-2019）表1标准和表2标准，脱硝装置氨逃逸有组织NH</w:t>
            </w:r>
            <w:r>
              <w:rPr>
                <w:rFonts w:hint="eastAsia" w:cs="Times New Roman"/>
                <w:color w:val="auto"/>
                <w:sz w:val="24"/>
                <w:highlight w:val="none"/>
                <w:vertAlign w:val="subscript"/>
                <w:lang w:val="en-US" w:eastAsia="zh-CN"/>
              </w:rPr>
              <w:t>3</w:t>
            </w:r>
            <w:r>
              <w:rPr>
                <w:rFonts w:hint="eastAsia" w:cs="Times New Roman"/>
                <w:color w:val="auto"/>
                <w:sz w:val="24"/>
                <w:highlight w:val="none"/>
                <w:vertAlign w:val="baseline"/>
                <w:lang w:val="en-US" w:eastAsia="zh-CN"/>
              </w:rPr>
              <w:t>排放</w:t>
            </w:r>
            <w:r>
              <w:rPr>
                <w:rFonts w:hint="eastAsia" w:cs="Times New Roman"/>
                <w:color w:val="auto"/>
                <w:sz w:val="24"/>
                <w:highlight w:val="none"/>
                <w:lang w:val="en-US" w:eastAsia="zh-CN"/>
              </w:rPr>
              <w:t>执行《恶臭污染物排放标准》（GB14554-93）表2标准</w:t>
            </w:r>
            <w:r>
              <w:rPr>
                <w:rFonts w:hint="eastAsia" w:ascii="Times New Roman" w:hAnsi="Times New Roman" w:eastAsia="宋体"/>
                <w:color w:val="auto"/>
                <w:sz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 xml:space="preserve">4-5 </w:t>
            </w:r>
            <w:r>
              <w:rPr>
                <w:rFonts w:hint="default" w:ascii="Times New Roman" w:hAnsi="Times New Roman" w:eastAsia="宋体" w:cs="Times New Roman"/>
                <w:b/>
                <w:bCs w:val="0"/>
                <w:color w:val="auto"/>
                <w:kern w:val="2"/>
                <w:sz w:val="21"/>
                <w:szCs w:val="21"/>
                <w:lang w:val="en-GB" w:eastAsia="zh-CN" w:bidi="ar-SA"/>
              </w:rPr>
              <w:t>大气污染物排放浓度限值</w:t>
            </w:r>
            <w:r>
              <w:rPr>
                <w:rFonts w:hint="eastAsia" w:ascii="Times New Roman" w:hAnsi="Times New Roman" w:eastAsia="宋体" w:cs="Times New Roman"/>
                <w:b/>
                <w:bCs w:val="0"/>
                <w:color w:val="auto"/>
                <w:kern w:val="2"/>
                <w:sz w:val="21"/>
                <w:szCs w:val="21"/>
                <w:lang w:val="en-US" w:eastAsia="zh-CN" w:bidi="ar-SA"/>
              </w:rPr>
              <w:t xml:space="preserve"> 单位mg/m</w:t>
            </w:r>
            <w:r>
              <w:rPr>
                <w:rFonts w:hint="eastAsia" w:ascii="Times New Roman" w:hAnsi="Times New Roman" w:eastAsia="宋体" w:cs="Times New Roman"/>
                <w:b/>
                <w:bCs w:val="0"/>
                <w:color w:val="auto"/>
                <w:kern w:val="2"/>
                <w:sz w:val="21"/>
                <w:szCs w:val="21"/>
                <w:vertAlign w:val="superscript"/>
                <w:lang w:val="en-US" w:eastAsia="zh-CN" w:bidi="ar-SA"/>
              </w:rPr>
              <w:t>3</w:t>
            </w:r>
          </w:p>
          <w:tbl>
            <w:tblPr>
              <w:tblStyle w:val="24"/>
              <w:tblW w:w="855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04"/>
              <w:gridCol w:w="1170"/>
              <w:gridCol w:w="4017"/>
              <w:gridCol w:w="146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cantSplit/>
                <w:trHeight w:val="23" w:hRule="atLeast"/>
                <w:jc w:val="center"/>
              </w:trPr>
              <w:tc>
                <w:tcPr>
                  <w:tcW w:w="19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17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类型</w:t>
                  </w:r>
                </w:p>
              </w:tc>
              <w:tc>
                <w:tcPr>
                  <w:tcW w:w="401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标准来源</w:t>
                  </w:r>
                </w:p>
              </w:tc>
              <w:tc>
                <w:tcPr>
                  <w:tcW w:w="14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排放限值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9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17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r>
                    <w:rPr>
                      <w:rFonts w:hint="eastAsia" w:ascii="Times New Roman" w:hAnsi="Times New Roman" w:eastAsia="宋体" w:cs="Times New Roman"/>
                      <w:b w:val="0"/>
                      <w:bCs w:val="0"/>
                      <w:strike w:val="0"/>
                      <w:dstrike w:val="0"/>
                      <w:color w:val="auto"/>
                      <w:kern w:val="0"/>
                      <w:sz w:val="21"/>
                      <w:szCs w:val="21"/>
                      <w:highlight w:val="none"/>
                      <w:lang w:val="en-US" w:eastAsia="zh-CN"/>
                    </w:rPr>
                    <w:t>有组织</w:t>
                  </w:r>
                </w:p>
              </w:tc>
              <w:tc>
                <w:tcPr>
                  <w:tcW w:w="4017"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r>
                    <w:rPr>
                      <w:rFonts w:hint="eastAsia" w:cs="Times New Roman"/>
                      <w:color w:val="auto"/>
                      <w:sz w:val="21"/>
                      <w:szCs w:val="21"/>
                      <w:highlight w:val="none"/>
                      <w:lang w:val="en-US" w:eastAsia="zh-CN"/>
                    </w:rPr>
                    <w:t>《钢铁工业大气污染物排放标准》（DB37/990-2019）</w:t>
                  </w:r>
                </w:p>
              </w:tc>
              <w:tc>
                <w:tcPr>
                  <w:tcW w:w="14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50mg/m</w:t>
                  </w:r>
                  <w:r>
                    <w:rPr>
                      <w:rFonts w:hint="eastAsia" w:ascii="Times New Roman" w:hAnsi="Times New Roman" w:eastAsia="宋体" w:cs="Times New Roman"/>
                      <w:b w:val="0"/>
                      <w:bCs w:val="0"/>
                      <w:color w:val="auto"/>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9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1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p>
              </w:tc>
              <w:tc>
                <w:tcPr>
                  <w:tcW w:w="4017"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p>
              </w:tc>
              <w:tc>
                <w:tcPr>
                  <w:tcW w:w="14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1</w:t>
                  </w:r>
                  <w:r>
                    <w:rPr>
                      <w:rFonts w:hint="eastAsia" w:cs="Times New Roman"/>
                      <w:b w:val="0"/>
                      <w:bCs w:val="0"/>
                      <w:color w:val="auto"/>
                      <w:sz w:val="21"/>
                      <w:szCs w:val="21"/>
                      <w:highlight w:val="none"/>
                      <w:lang w:val="en-US" w:eastAsia="zh-CN"/>
                    </w:rPr>
                    <w:t>5</w:t>
                  </w:r>
                  <w:r>
                    <w:rPr>
                      <w:rFonts w:hint="eastAsia" w:ascii="Times New Roman" w:hAnsi="Times New Roman" w:eastAsia="宋体" w:cs="Times New Roman"/>
                      <w:b w:val="0"/>
                      <w:bCs w:val="0"/>
                      <w:color w:val="auto"/>
                      <w:sz w:val="21"/>
                      <w:szCs w:val="21"/>
                      <w:highlight w:val="none"/>
                      <w:lang w:val="en-US" w:eastAsia="zh-CN"/>
                    </w:rPr>
                    <w:t>0mg/m</w:t>
                  </w:r>
                  <w:r>
                    <w:rPr>
                      <w:rFonts w:hint="eastAsia" w:ascii="Times New Roman" w:hAnsi="Times New Roman" w:eastAsia="宋体" w:cs="Times New Roman"/>
                      <w:b w:val="0"/>
                      <w:bCs w:val="0"/>
                      <w:color w:val="auto"/>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9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zh-CN"/>
                    </w:rPr>
                    <w:t>颗粒物</w:t>
                  </w:r>
                </w:p>
              </w:tc>
              <w:tc>
                <w:tcPr>
                  <w:tcW w:w="11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p>
              </w:tc>
              <w:tc>
                <w:tcPr>
                  <w:tcW w:w="4017"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p>
              </w:tc>
              <w:tc>
                <w:tcPr>
                  <w:tcW w:w="14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10mg/m</w:t>
                  </w:r>
                  <w:r>
                    <w:rPr>
                      <w:rFonts w:hint="eastAsia" w:ascii="Times New Roman" w:hAnsi="Times New Roman" w:eastAsia="宋体" w:cs="Times New Roman"/>
                      <w:b w:val="0"/>
                      <w:bCs w:val="0"/>
                      <w:color w:val="auto"/>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9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颗粒物</w:t>
                  </w:r>
                </w:p>
              </w:tc>
              <w:tc>
                <w:tcPr>
                  <w:tcW w:w="117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r>
                    <w:rPr>
                      <w:rFonts w:hint="eastAsia" w:ascii="Times New Roman" w:hAnsi="Times New Roman" w:eastAsia="宋体" w:cs="Times New Roman"/>
                      <w:b w:val="0"/>
                      <w:bCs w:val="0"/>
                      <w:strike w:val="0"/>
                      <w:dstrike w:val="0"/>
                      <w:color w:val="auto"/>
                      <w:kern w:val="0"/>
                      <w:sz w:val="21"/>
                      <w:szCs w:val="21"/>
                      <w:highlight w:val="none"/>
                      <w:lang w:val="en-US" w:eastAsia="zh-CN"/>
                    </w:rPr>
                    <w:t>无组织</w:t>
                  </w:r>
                </w:p>
              </w:tc>
              <w:tc>
                <w:tcPr>
                  <w:tcW w:w="4017"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p>
              </w:tc>
              <w:tc>
                <w:tcPr>
                  <w:tcW w:w="14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1.0mg/m</w:t>
                  </w:r>
                  <w:r>
                    <w:rPr>
                      <w:rFonts w:hint="eastAsia" w:ascii="Times New Roman" w:hAnsi="Times New Roman" w:eastAsia="宋体" w:cs="Times New Roman"/>
                      <w:b w:val="0"/>
                      <w:bCs w:val="0"/>
                      <w:color w:val="auto"/>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9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氨</w:t>
                  </w:r>
                </w:p>
              </w:tc>
              <w:tc>
                <w:tcPr>
                  <w:tcW w:w="117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strike w:val="0"/>
                      <w:dstrike w:val="0"/>
                      <w:color w:val="auto"/>
                      <w:kern w:val="0"/>
                      <w:sz w:val="21"/>
                      <w:szCs w:val="21"/>
                      <w:highlight w:val="none"/>
                      <w:lang w:val="en-US" w:eastAsia="zh-CN"/>
                    </w:rPr>
                  </w:pPr>
                  <w:r>
                    <w:rPr>
                      <w:rFonts w:hint="eastAsia" w:cs="Times New Roman"/>
                      <w:b w:val="0"/>
                      <w:bCs w:val="0"/>
                      <w:strike w:val="0"/>
                      <w:dstrike w:val="0"/>
                      <w:color w:val="auto"/>
                      <w:kern w:val="0"/>
                      <w:sz w:val="21"/>
                      <w:szCs w:val="21"/>
                      <w:highlight w:val="none"/>
                      <w:lang w:val="en-US" w:eastAsia="zh-CN"/>
                    </w:rPr>
                    <w:t>有组织</w:t>
                  </w:r>
                </w:p>
              </w:tc>
              <w:tc>
                <w:tcPr>
                  <w:tcW w:w="401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trike/>
                      <w:dstrike w:val="0"/>
                      <w:color w:val="auto"/>
                      <w:kern w:val="0"/>
                      <w:sz w:val="21"/>
                      <w:szCs w:val="21"/>
                      <w:highlight w:val="none"/>
                      <w:lang w:val="en-US" w:eastAsia="zh-CN"/>
                    </w:rPr>
                  </w:pPr>
                  <w:r>
                    <w:rPr>
                      <w:rFonts w:hint="eastAsia" w:cs="Times New Roman"/>
                      <w:b w:val="0"/>
                      <w:bCs w:val="0"/>
                      <w:strike w:val="0"/>
                      <w:dstrike w:val="0"/>
                      <w:color w:val="auto"/>
                      <w:kern w:val="0"/>
                      <w:sz w:val="21"/>
                      <w:szCs w:val="21"/>
                      <w:highlight w:val="none"/>
                      <w:lang w:val="en-US" w:eastAsia="zh-CN"/>
                    </w:rPr>
                    <w:t>《恶臭污染物排放标准》（GB14554-93）</w:t>
                  </w:r>
                </w:p>
              </w:tc>
              <w:tc>
                <w:tcPr>
                  <w:tcW w:w="14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8.7kg/h</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w:t>
            </w:r>
            <w:r>
              <w:rPr>
                <w:rFonts w:ascii="Times New Roman" w:hAnsi="Times New Roman" w:eastAsia="宋体"/>
                <w:color w:val="auto"/>
                <w:sz w:val="24"/>
              </w:rPr>
              <w:t>项目噪声排放执行《工业企业厂界环境噪声排放标准》（GB12348-2008）2类标准</w:t>
            </w:r>
            <w:r>
              <w:rPr>
                <w:rFonts w:hint="default" w:ascii="Times New Roman" w:hAnsi="Times New Roman" w:cs="Times New Roman"/>
                <w:color w:val="auto"/>
                <w:sz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4-6</w:t>
            </w:r>
            <w:r>
              <w:rPr>
                <w:rFonts w:hint="default" w:ascii="Times New Roman" w:hAnsi="Times New Roman" w:eastAsia="宋体" w:cs="Times New Roman"/>
                <w:b/>
                <w:bCs w:val="0"/>
                <w:color w:val="auto"/>
                <w:kern w:val="2"/>
                <w:sz w:val="21"/>
                <w:szCs w:val="21"/>
                <w:lang w:val="en-GB" w:eastAsia="zh-CN" w:bidi="ar-SA"/>
              </w:rPr>
              <w:t xml:space="preserve"> 工业企业厂界环境噪声标准限值（摘录）单位：dB(A)</w:t>
            </w:r>
          </w:p>
          <w:tbl>
            <w:tblPr>
              <w:tblStyle w:val="24"/>
              <w:tblW w:w="85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2139"/>
              <w:gridCol w:w="2139"/>
              <w:gridCol w:w="2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277" w:type="dxa"/>
                  <w:gridSpan w:val="2"/>
                  <w:tcBorders>
                    <w:tl2br w:val="nil"/>
                    <w:tr2bl w:val="nil"/>
                  </w:tcBorders>
                  <w:vAlign w:val="center"/>
                </w:tcPr>
                <w:p>
                  <w:pPr>
                    <w:pStyle w:val="80"/>
                    <w:rPr>
                      <w:rFonts w:ascii="Times New Roman" w:hAnsi="Times New Roman" w:eastAsia="宋体"/>
                      <w:b/>
                      <w:bCs/>
                      <w:color w:val="auto"/>
                    </w:rPr>
                  </w:pPr>
                  <w:r>
                    <w:rPr>
                      <w:rFonts w:ascii="Times New Roman" w:hAnsi="Times New Roman" w:eastAsia="宋体"/>
                      <w:b/>
                      <w:bCs/>
                      <w:color w:val="auto"/>
                    </w:rPr>
                    <w:t>标准</w:t>
                  </w:r>
                </w:p>
              </w:tc>
              <w:tc>
                <w:tcPr>
                  <w:tcW w:w="2139" w:type="dxa"/>
                  <w:tcBorders>
                    <w:tl2br w:val="nil"/>
                    <w:tr2bl w:val="nil"/>
                  </w:tcBorders>
                  <w:vAlign w:val="center"/>
                </w:tcPr>
                <w:p>
                  <w:pPr>
                    <w:pStyle w:val="80"/>
                    <w:rPr>
                      <w:rFonts w:ascii="Times New Roman" w:hAnsi="Times New Roman" w:eastAsia="宋体"/>
                      <w:b/>
                      <w:bCs/>
                      <w:color w:val="auto"/>
                    </w:rPr>
                  </w:pPr>
                  <w:r>
                    <w:rPr>
                      <w:rFonts w:ascii="Times New Roman" w:hAnsi="Times New Roman" w:eastAsia="宋体"/>
                      <w:b/>
                      <w:bCs/>
                      <w:color w:val="auto"/>
                    </w:rPr>
                    <w:t>昼间</w:t>
                  </w:r>
                </w:p>
              </w:tc>
              <w:tc>
                <w:tcPr>
                  <w:tcW w:w="2139" w:type="dxa"/>
                  <w:tcBorders>
                    <w:tl2br w:val="nil"/>
                    <w:tr2bl w:val="nil"/>
                  </w:tcBorders>
                  <w:vAlign w:val="center"/>
                </w:tcPr>
                <w:p>
                  <w:pPr>
                    <w:pStyle w:val="80"/>
                    <w:rPr>
                      <w:rFonts w:hint="eastAsia" w:ascii="Times New Roman" w:hAnsi="Times New Roman" w:eastAsia="宋体"/>
                      <w:b/>
                      <w:bCs/>
                      <w:color w:val="auto"/>
                      <w:lang w:val="en-US" w:eastAsia="zh-CN"/>
                    </w:rPr>
                  </w:pPr>
                  <w:r>
                    <w:rPr>
                      <w:rFonts w:hint="eastAsia" w:ascii="Times New Roman" w:hAnsi="Times New Roman"/>
                      <w:b/>
                      <w:bCs/>
                      <w:color w:val="auto"/>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138" w:type="dxa"/>
                  <w:tcBorders>
                    <w:tl2br w:val="nil"/>
                    <w:tr2bl w:val="nil"/>
                  </w:tcBorders>
                  <w:vAlign w:val="center"/>
                </w:tcPr>
                <w:p>
                  <w:pPr>
                    <w:pStyle w:val="80"/>
                    <w:rPr>
                      <w:rFonts w:ascii="Times New Roman" w:hAnsi="Times New Roman" w:eastAsia="宋体"/>
                      <w:color w:val="auto"/>
                    </w:rPr>
                  </w:pPr>
                  <w:r>
                    <w:rPr>
                      <w:rFonts w:ascii="Times New Roman" w:hAnsi="Times New Roman" w:eastAsia="宋体"/>
                      <w:color w:val="auto"/>
                    </w:rPr>
                    <w:t>营运期</w:t>
                  </w:r>
                </w:p>
              </w:tc>
              <w:tc>
                <w:tcPr>
                  <w:tcW w:w="2139" w:type="dxa"/>
                  <w:tcBorders>
                    <w:tl2br w:val="nil"/>
                    <w:tr2bl w:val="nil"/>
                  </w:tcBorders>
                  <w:vAlign w:val="center"/>
                </w:tcPr>
                <w:p>
                  <w:pPr>
                    <w:pStyle w:val="80"/>
                    <w:rPr>
                      <w:rFonts w:ascii="Times New Roman" w:hAnsi="Times New Roman" w:eastAsia="宋体"/>
                      <w:color w:val="auto"/>
                    </w:rPr>
                  </w:pPr>
                  <w:r>
                    <w:rPr>
                      <w:rFonts w:ascii="Times New Roman" w:hAnsi="Times New Roman" w:eastAsia="宋体"/>
                      <w:color w:val="auto"/>
                    </w:rPr>
                    <w:t>GB12348-2008</w:t>
                  </w:r>
                </w:p>
              </w:tc>
              <w:tc>
                <w:tcPr>
                  <w:tcW w:w="2139" w:type="dxa"/>
                  <w:tcBorders>
                    <w:tl2br w:val="nil"/>
                    <w:tr2bl w:val="nil"/>
                  </w:tcBorders>
                  <w:vAlign w:val="center"/>
                </w:tcPr>
                <w:p>
                  <w:pPr>
                    <w:pStyle w:val="80"/>
                    <w:rPr>
                      <w:rFonts w:hint="default" w:ascii="Times New Roman" w:hAnsi="Times New Roman" w:eastAsia="宋体"/>
                      <w:color w:val="auto"/>
                      <w:lang w:val="en-US" w:eastAsia="zh-CN"/>
                    </w:rPr>
                  </w:pPr>
                  <w:r>
                    <w:rPr>
                      <w:rFonts w:hint="eastAsia" w:ascii="Times New Roman" w:hAnsi="Times New Roman"/>
                      <w:color w:val="auto"/>
                      <w:lang w:val="en-US" w:eastAsia="zh-CN"/>
                    </w:rPr>
                    <w:t>60</w:t>
                  </w:r>
                </w:p>
              </w:tc>
              <w:tc>
                <w:tcPr>
                  <w:tcW w:w="2139" w:type="dxa"/>
                  <w:tcBorders>
                    <w:tl2br w:val="nil"/>
                    <w:tr2bl w:val="nil"/>
                  </w:tcBorders>
                  <w:vAlign w:val="center"/>
                </w:tcPr>
                <w:p>
                  <w:pPr>
                    <w:pStyle w:val="80"/>
                    <w:rPr>
                      <w:rFonts w:hint="default" w:ascii="Times New Roman" w:hAnsi="Times New Roman" w:eastAsia="宋体"/>
                      <w:color w:val="auto"/>
                      <w:lang w:val="en-US" w:eastAsia="zh-CN"/>
                    </w:rPr>
                  </w:pPr>
                  <w:r>
                    <w:rPr>
                      <w:rFonts w:hint="eastAsia" w:ascii="Times New Roman" w:hAnsi="Times New Roman"/>
                      <w:color w:val="auto"/>
                      <w:lang w:val="en-US" w:eastAsia="zh-CN"/>
                    </w:rPr>
                    <w:t>50</w:t>
                  </w:r>
                </w:p>
              </w:tc>
            </w:tr>
          </w:tbl>
          <w:p>
            <w:pPr>
              <w:numPr>
                <w:ilvl w:val="0"/>
                <w:numId w:val="0"/>
              </w:numPr>
              <w:spacing w:line="360" w:lineRule="auto"/>
              <w:ind w:firstLine="480" w:firstLineChars="200"/>
              <w:jc w:val="both"/>
              <w:rPr>
                <w:rFonts w:hint="eastAsia" w:eastAsia="宋体"/>
                <w:color w:val="auto"/>
                <w:sz w:val="24"/>
                <w:highlight w:val="none"/>
                <w:lang w:val="en-US" w:eastAsia="zh-CN"/>
              </w:rPr>
            </w:pPr>
            <w:r>
              <w:rPr>
                <w:rFonts w:hint="eastAsia"/>
                <w:color w:val="auto"/>
                <w:sz w:val="24"/>
                <w:highlight w:val="none"/>
                <w:lang w:val="en-US" w:eastAsia="zh-CN"/>
              </w:rPr>
              <w:t>3、本项目生产废水循环使用，不外排，生活污水经自建污水处理站处理后回用，</w:t>
            </w:r>
            <w:r>
              <w:rPr>
                <w:rFonts w:ascii="Times New Roman" w:hAnsi="Times New Roman" w:eastAsia="宋体"/>
                <w:color w:val="auto"/>
                <w:sz w:val="24"/>
              </w:rPr>
              <w:t xml:space="preserve">废水执行《城市污水再生利用 </w:t>
            </w:r>
            <w:r>
              <w:rPr>
                <w:rFonts w:hint="eastAsia" w:ascii="Times New Roman" w:hAnsi="Times New Roman" w:eastAsia="宋体"/>
                <w:color w:val="auto"/>
                <w:sz w:val="24"/>
              </w:rPr>
              <w:t>城市杂用水水质</w:t>
            </w:r>
            <w:r>
              <w:rPr>
                <w:rFonts w:ascii="Times New Roman" w:hAnsi="Times New Roman" w:eastAsia="宋体"/>
                <w:color w:val="auto"/>
                <w:sz w:val="24"/>
              </w:rPr>
              <w:t>》（GB</w:t>
            </w:r>
            <w:r>
              <w:rPr>
                <w:rFonts w:hint="eastAsia" w:ascii="Times New Roman" w:hAnsi="Times New Roman" w:eastAsia="宋体"/>
                <w:color w:val="auto"/>
                <w:sz w:val="24"/>
              </w:rPr>
              <w:t>/</w:t>
            </w:r>
            <w:r>
              <w:rPr>
                <w:rFonts w:ascii="Times New Roman" w:hAnsi="Times New Roman" w:eastAsia="宋体"/>
                <w:color w:val="auto"/>
                <w:sz w:val="24"/>
              </w:rPr>
              <w:t>T</w:t>
            </w:r>
            <w:r>
              <w:rPr>
                <w:rFonts w:hint="eastAsia" w:ascii="Times New Roman" w:hAnsi="Times New Roman" w:eastAsia="宋体"/>
                <w:color w:val="auto"/>
                <w:sz w:val="24"/>
              </w:rPr>
              <w:t>18920-2002</w:t>
            </w:r>
            <w:r>
              <w:rPr>
                <w:rFonts w:ascii="Times New Roman" w:hAnsi="Times New Roman" w:eastAsia="宋体"/>
                <w:color w:val="auto"/>
                <w:sz w:val="24"/>
              </w:rPr>
              <w:t>）</w:t>
            </w:r>
            <w:r>
              <w:rPr>
                <w:rFonts w:hint="eastAsia" w:ascii="Times New Roman" w:hAnsi="Times New Roman" w:eastAsia="宋体"/>
                <w:color w:val="auto"/>
                <w:sz w:val="24"/>
                <w:lang w:val="en-US" w:eastAsia="zh-CN"/>
              </w:rPr>
              <w:t>标准</w:t>
            </w:r>
            <w:r>
              <w:rPr>
                <w:rFonts w:hint="eastAsia"/>
                <w:color w:val="auto"/>
                <w:sz w:val="24"/>
                <w:lang w:val="en-US" w:eastAsia="zh-CN"/>
              </w:rPr>
              <w:t>和《城市污水再生利用 工业用水水质》（GBT19923-2005）标准</w:t>
            </w:r>
            <w:r>
              <w:rPr>
                <w:rFonts w:hint="eastAsia" w:ascii="Times New Roman" w:hAnsi="Times New Roman" w:eastAsia="宋体"/>
                <w:color w:val="auto"/>
                <w:sz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表4-</w:t>
            </w:r>
            <w:r>
              <w:rPr>
                <w:rFonts w:hint="eastAsia" w:ascii="Times New Roman" w:hAnsi="Times New Roman" w:eastAsia="宋体" w:cs="Times New Roman"/>
                <w:b/>
                <w:bCs w:val="0"/>
                <w:color w:val="auto"/>
                <w:kern w:val="2"/>
                <w:sz w:val="21"/>
                <w:szCs w:val="21"/>
                <w:lang w:val="en-US" w:eastAsia="zh-CN" w:bidi="ar-SA"/>
              </w:rPr>
              <w:t>7</w:t>
            </w:r>
            <w:r>
              <w:rPr>
                <w:rFonts w:hint="default" w:ascii="Times New Roman" w:hAnsi="Times New Roman" w:eastAsia="宋体" w:cs="Times New Roman"/>
                <w:b/>
                <w:bCs w:val="0"/>
                <w:color w:val="auto"/>
                <w:kern w:val="2"/>
                <w:sz w:val="21"/>
                <w:szCs w:val="21"/>
                <w:lang w:val="en-GB" w:eastAsia="zh-CN" w:bidi="ar-SA"/>
              </w:rPr>
              <w:t xml:space="preserve">  废水排放标准（mg/</w:t>
            </w:r>
            <w:r>
              <w:rPr>
                <w:rFonts w:hint="eastAsia" w:cs="Times New Roman"/>
                <w:b/>
                <w:bCs w:val="0"/>
                <w:color w:val="auto"/>
                <w:kern w:val="2"/>
                <w:sz w:val="21"/>
                <w:szCs w:val="21"/>
                <w:lang w:val="en-US" w:eastAsia="zh-CN" w:bidi="ar-SA"/>
              </w:rPr>
              <w:t>L</w:t>
            </w:r>
            <w:r>
              <w:rPr>
                <w:rFonts w:hint="default" w:ascii="Times New Roman" w:hAnsi="Times New Roman" w:eastAsia="宋体" w:cs="Times New Roman"/>
                <w:b/>
                <w:bCs w:val="0"/>
                <w:color w:val="auto"/>
                <w:kern w:val="2"/>
                <w:sz w:val="21"/>
                <w:szCs w:val="21"/>
                <w:lang w:val="en-GB" w:eastAsia="zh-CN" w:bidi="ar-SA"/>
              </w:rPr>
              <w:t>）</w:t>
            </w:r>
          </w:p>
          <w:tbl>
            <w:tblPr>
              <w:tblStyle w:val="24"/>
              <w:tblW w:w="855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64"/>
              <w:gridCol w:w="1129"/>
              <w:gridCol w:w="1057"/>
              <w:gridCol w:w="1257"/>
              <w:gridCol w:w="1426"/>
              <w:gridCol w:w="142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2264" w:type="dxa"/>
                  <w:tcBorders>
                    <w:tl2br w:val="nil"/>
                    <w:tr2bl w:val="nil"/>
                  </w:tcBorders>
                  <w:noWrap w:val="0"/>
                  <w:vAlign w:val="top"/>
                </w:tcPr>
                <w:p>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污染物名称</w:t>
                  </w:r>
                </w:p>
              </w:tc>
              <w:tc>
                <w:tcPr>
                  <w:tcW w:w="1129" w:type="dxa"/>
                  <w:tcBorders>
                    <w:tl2br w:val="nil"/>
                    <w:tr2bl w:val="nil"/>
                  </w:tcBorders>
                  <w:noWrap w:val="0"/>
                  <w:vAlign w:val="top"/>
                </w:tcPr>
                <w:p>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PH</w:t>
                  </w:r>
                </w:p>
              </w:tc>
              <w:tc>
                <w:tcPr>
                  <w:tcW w:w="1057" w:type="dxa"/>
                  <w:tcBorders>
                    <w:tl2br w:val="nil"/>
                    <w:tr2bl w:val="nil"/>
                  </w:tcBorders>
                  <w:noWrap w:val="0"/>
                  <w:vAlign w:val="top"/>
                </w:tcPr>
                <w:p>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COD</w:t>
                  </w:r>
                </w:p>
              </w:tc>
              <w:tc>
                <w:tcPr>
                  <w:tcW w:w="1257" w:type="dxa"/>
                  <w:tcBorders>
                    <w:tl2br w:val="nil"/>
                    <w:tr2bl w:val="nil"/>
                  </w:tcBorders>
                  <w:noWrap w:val="0"/>
                  <w:vAlign w:val="top"/>
                </w:tcPr>
                <w:p>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BOD</w:t>
                  </w:r>
                  <w:r>
                    <w:rPr>
                      <w:rFonts w:ascii="Times New Roman" w:hAnsi="Times New Roman" w:eastAsia="宋体"/>
                      <w:b/>
                      <w:bCs/>
                      <w:color w:val="auto"/>
                      <w:sz w:val="21"/>
                      <w:szCs w:val="21"/>
                      <w:vertAlign w:val="subscript"/>
                    </w:rPr>
                    <w:t>5</w:t>
                  </w:r>
                </w:p>
              </w:tc>
              <w:tc>
                <w:tcPr>
                  <w:tcW w:w="1426" w:type="dxa"/>
                  <w:tcBorders>
                    <w:tl2br w:val="nil"/>
                    <w:tr2bl w:val="nil"/>
                  </w:tcBorders>
                  <w:noWrap w:val="0"/>
                  <w:vAlign w:val="top"/>
                </w:tcPr>
                <w:p>
                  <w:pPr>
                    <w:jc w:val="center"/>
                    <w:rPr>
                      <w:rFonts w:hint="eastAsia" w:ascii="Times New Roman" w:hAnsi="Times New Roman" w:eastAsia="宋体"/>
                      <w:b/>
                      <w:bCs/>
                      <w:color w:val="auto"/>
                      <w:sz w:val="21"/>
                      <w:szCs w:val="21"/>
                    </w:rPr>
                  </w:pPr>
                  <w:r>
                    <w:rPr>
                      <w:rFonts w:hint="eastAsia" w:ascii="Times New Roman" w:hAnsi="Times New Roman" w:eastAsia="宋体"/>
                      <w:b/>
                      <w:bCs/>
                      <w:color w:val="auto"/>
                      <w:sz w:val="21"/>
                      <w:szCs w:val="21"/>
                    </w:rPr>
                    <w:t>氨氮</w:t>
                  </w:r>
                </w:p>
              </w:tc>
              <w:tc>
                <w:tcPr>
                  <w:tcW w:w="1422" w:type="dxa"/>
                  <w:tcBorders>
                    <w:tl2br w:val="nil"/>
                    <w:tr2bl w:val="nil"/>
                  </w:tcBorders>
                  <w:noWrap w:val="0"/>
                  <w:vAlign w:val="top"/>
                </w:tcPr>
                <w:p>
                  <w:pPr>
                    <w:ind w:firstLine="422" w:firstLineChars="200"/>
                    <w:rPr>
                      <w:rFonts w:hint="eastAsia" w:ascii="Times New Roman" w:hAnsi="Times New Roman" w:eastAsia="宋体"/>
                      <w:b/>
                      <w:bCs/>
                      <w:color w:val="auto"/>
                      <w:sz w:val="21"/>
                      <w:szCs w:val="21"/>
                    </w:rPr>
                  </w:pPr>
                  <w:r>
                    <w:rPr>
                      <w:rFonts w:hint="eastAsia" w:ascii="Times New Roman" w:hAnsi="Times New Roman" w:eastAsia="宋体"/>
                      <w:b/>
                      <w:bCs/>
                      <w:color w:val="auto"/>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9" w:hRule="atLeast"/>
                <w:jc w:val="center"/>
              </w:trPr>
              <w:tc>
                <w:tcPr>
                  <w:tcW w:w="2264" w:type="dxa"/>
                  <w:tcBorders>
                    <w:tl2br w:val="nil"/>
                    <w:tr2bl w:val="nil"/>
                  </w:tcBorders>
                  <w:noWrap w:val="0"/>
                  <w:vAlign w:val="top"/>
                </w:tcPr>
                <w:p>
                  <w:pPr>
                    <w:jc w:val="center"/>
                    <w:rPr>
                      <w:rFonts w:ascii="Times New Roman" w:hAnsi="Times New Roman" w:eastAsia="宋体"/>
                      <w:color w:val="auto"/>
                      <w:sz w:val="21"/>
                      <w:szCs w:val="21"/>
                    </w:rPr>
                  </w:pPr>
                  <w:r>
                    <w:rPr>
                      <w:rFonts w:ascii="Times New Roman" w:hAnsi="Times New Roman" w:eastAsia="宋体"/>
                      <w:color w:val="auto"/>
                      <w:sz w:val="21"/>
                      <w:szCs w:val="21"/>
                    </w:rPr>
                    <w:t>GBT 18920-2002</w:t>
                  </w:r>
                </w:p>
              </w:tc>
              <w:tc>
                <w:tcPr>
                  <w:tcW w:w="1129" w:type="dxa"/>
                  <w:tcBorders>
                    <w:tl2br w:val="nil"/>
                    <w:tr2bl w:val="nil"/>
                  </w:tcBorders>
                  <w:noWrap w:val="0"/>
                  <w:vAlign w:val="top"/>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6-9</w:t>
                  </w:r>
                </w:p>
              </w:tc>
              <w:tc>
                <w:tcPr>
                  <w:tcW w:w="1057" w:type="dxa"/>
                  <w:tcBorders>
                    <w:tl2br w:val="nil"/>
                    <w:tr2bl w:val="nil"/>
                  </w:tcBorders>
                  <w:noWrap w:val="0"/>
                  <w:vAlign w:val="top"/>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1257" w:type="dxa"/>
                  <w:tcBorders>
                    <w:tl2br w:val="nil"/>
                    <w:tr2bl w:val="nil"/>
                  </w:tcBorders>
                  <w:noWrap w:val="0"/>
                  <w:vAlign w:val="top"/>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20</w:t>
                  </w:r>
                </w:p>
              </w:tc>
              <w:tc>
                <w:tcPr>
                  <w:tcW w:w="1426" w:type="dxa"/>
                  <w:tcBorders>
                    <w:tl2br w:val="nil"/>
                    <w:tr2bl w:val="nil"/>
                  </w:tcBorders>
                  <w:noWrap w:val="0"/>
                  <w:vAlign w:val="top"/>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20</w:t>
                  </w:r>
                </w:p>
              </w:tc>
              <w:tc>
                <w:tcPr>
                  <w:tcW w:w="1422" w:type="dxa"/>
                  <w:tcBorders>
                    <w:tl2br w:val="nil"/>
                    <w:tr2bl w:val="nil"/>
                  </w:tcBorders>
                  <w:noWrap w:val="0"/>
                  <w:vAlign w:val="top"/>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9" w:hRule="atLeast"/>
                <w:jc w:val="center"/>
              </w:trPr>
              <w:tc>
                <w:tcPr>
                  <w:tcW w:w="2264" w:type="dxa"/>
                  <w:tcBorders>
                    <w:tl2br w:val="nil"/>
                    <w:tr2bl w:val="nil"/>
                  </w:tcBorders>
                  <w:noWrap w:val="0"/>
                  <w:vAlign w:val="top"/>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GBT19923-2005</w:t>
                  </w:r>
                </w:p>
              </w:tc>
              <w:tc>
                <w:tcPr>
                  <w:tcW w:w="1129" w:type="dxa"/>
                  <w:tcBorders>
                    <w:tl2br w:val="nil"/>
                    <w:tr2bl w:val="nil"/>
                  </w:tcBorders>
                  <w:noWrap w:val="0"/>
                  <w:vAlign w:val="top"/>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6.5-8.5</w:t>
                  </w:r>
                </w:p>
              </w:tc>
              <w:tc>
                <w:tcPr>
                  <w:tcW w:w="1057" w:type="dxa"/>
                  <w:tcBorders>
                    <w:tl2br w:val="nil"/>
                    <w:tr2bl w:val="nil"/>
                  </w:tcBorders>
                  <w:noWrap w:val="0"/>
                  <w:vAlign w:val="top"/>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60</w:t>
                  </w:r>
                </w:p>
              </w:tc>
              <w:tc>
                <w:tcPr>
                  <w:tcW w:w="1257" w:type="dxa"/>
                  <w:tcBorders>
                    <w:tl2br w:val="nil"/>
                    <w:tr2bl w:val="nil"/>
                  </w:tcBorders>
                  <w:noWrap w:val="0"/>
                  <w:vAlign w:val="top"/>
                </w:tcPr>
                <w:p>
                  <w:pPr>
                    <w:jc w:val="center"/>
                    <w:rPr>
                      <w:rFonts w:hint="default"/>
                      <w:color w:val="auto"/>
                      <w:sz w:val="21"/>
                      <w:szCs w:val="21"/>
                      <w:lang w:val="en-US" w:eastAsia="zh-CN"/>
                    </w:rPr>
                  </w:pPr>
                  <w:r>
                    <w:rPr>
                      <w:rFonts w:hint="eastAsia"/>
                      <w:color w:val="auto"/>
                      <w:sz w:val="21"/>
                      <w:szCs w:val="21"/>
                      <w:lang w:val="en-US" w:eastAsia="zh-CN"/>
                    </w:rPr>
                    <w:t>10</w:t>
                  </w:r>
                </w:p>
              </w:tc>
              <w:tc>
                <w:tcPr>
                  <w:tcW w:w="1426" w:type="dxa"/>
                  <w:tcBorders>
                    <w:tl2br w:val="nil"/>
                    <w:tr2bl w:val="nil"/>
                  </w:tcBorders>
                  <w:noWrap w:val="0"/>
                  <w:vAlign w:val="top"/>
                </w:tcPr>
                <w:p>
                  <w:pPr>
                    <w:jc w:val="center"/>
                    <w:rPr>
                      <w:rFonts w:hint="default"/>
                      <w:color w:val="auto"/>
                      <w:sz w:val="21"/>
                      <w:szCs w:val="21"/>
                      <w:lang w:val="en-US" w:eastAsia="zh-CN"/>
                    </w:rPr>
                  </w:pPr>
                  <w:r>
                    <w:rPr>
                      <w:rFonts w:hint="eastAsia"/>
                      <w:color w:val="auto"/>
                      <w:sz w:val="21"/>
                      <w:szCs w:val="21"/>
                      <w:lang w:val="en-US" w:eastAsia="zh-CN"/>
                    </w:rPr>
                    <w:t>10</w:t>
                  </w:r>
                </w:p>
              </w:tc>
              <w:tc>
                <w:tcPr>
                  <w:tcW w:w="1422" w:type="dxa"/>
                  <w:tcBorders>
                    <w:tl2br w:val="nil"/>
                    <w:tr2bl w:val="nil"/>
                  </w:tcBorders>
                  <w:noWrap w:val="0"/>
                  <w:vAlign w:val="top"/>
                </w:tcPr>
                <w:p>
                  <w:pPr>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r>
          </w:tbl>
          <w:p>
            <w:pPr>
              <w:numPr>
                <w:ilvl w:val="0"/>
                <w:numId w:val="0"/>
              </w:num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一般</w:t>
            </w:r>
            <w:r>
              <w:rPr>
                <w:rFonts w:hint="eastAsia"/>
                <w:color w:val="auto"/>
                <w:sz w:val="24"/>
                <w:lang w:val="en-US" w:eastAsia="zh-CN"/>
              </w:rPr>
              <w:t>固体废物</w:t>
            </w:r>
            <w:r>
              <w:rPr>
                <w:rFonts w:hint="eastAsia" w:ascii="Times New Roman" w:hAnsi="Times New Roman" w:eastAsia="宋体"/>
                <w:color w:val="auto"/>
                <w:sz w:val="24"/>
                <w:lang w:val="en-US" w:eastAsia="zh-CN"/>
              </w:rPr>
              <w:t>执行</w:t>
            </w:r>
            <w:r>
              <w:rPr>
                <w:rFonts w:hint="eastAsia"/>
                <w:color w:val="auto"/>
                <w:sz w:val="24"/>
                <w:lang w:val="en-US" w:eastAsia="zh-CN"/>
              </w:rPr>
              <w:t>《一般工业固体废物贮存、处置场污染控制标准》（GB18599-2001）</w:t>
            </w:r>
            <w:r>
              <w:rPr>
                <w:rFonts w:hint="default" w:ascii="Times New Roman" w:hAnsi="Times New Roman" w:eastAsia="宋体"/>
                <w:color w:val="auto"/>
                <w:sz w:val="24"/>
                <w:lang w:val="en-US" w:eastAsia="zh-CN"/>
              </w:rPr>
              <w:t>及修</w:t>
            </w:r>
            <w:r>
              <w:rPr>
                <w:rFonts w:hint="default" w:ascii="Times New Roman" w:hAnsi="Times New Roman" w:eastAsia="宋体" w:cs="Times New Roman"/>
                <w:color w:val="auto"/>
                <w:sz w:val="24"/>
                <w:lang w:eastAsia="zh-CN"/>
              </w:rPr>
              <w:t>改单要求</w:t>
            </w:r>
            <w:r>
              <w:rPr>
                <w:rFonts w:hint="eastAsia" w:cs="Times New Roman"/>
                <w:color w:val="auto"/>
                <w:sz w:val="24"/>
                <w:lang w:eastAsia="zh-CN"/>
              </w:rPr>
              <w:t>；</w:t>
            </w:r>
            <w:r>
              <w:rPr>
                <w:rFonts w:hint="eastAsia" w:cs="Times New Roman"/>
                <w:color w:val="auto"/>
                <w:sz w:val="24"/>
                <w:lang w:val="en-US" w:eastAsia="zh-CN"/>
              </w:rPr>
              <w:t>危险废物执行</w:t>
            </w:r>
            <w:r>
              <w:rPr>
                <w:rFonts w:hint="default" w:ascii="Times New Roman" w:hAnsi="Times New Roman" w:eastAsia="宋体"/>
                <w:color w:val="auto"/>
                <w:sz w:val="24"/>
                <w:lang w:val="en-US" w:eastAsia="zh-CN"/>
              </w:rPr>
              <w:t>《危险废物贮存污染控制标准》</w:t>
            </w:r>
            <w:r>
              <w:rPr>
                <w:rFonts w:hint="eastAsia" w:ascii="Times New Roman" w:hAnsi="Times New Roman"/>
                <w:color w:val="auto"/>
                <w:sz w:val="24"/>
                <w:lang w:val="en-US" w:eastAsia="zh-CN"/>
              </w:rPr>
              <w:t>（GB18597-2001）及修改单要求</w:t>
            </w: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47" w:type="dxa"/>
            <w:noWrap w:val="0"/>
            <w:vAlign w:val="center"/>
          </w:tcPr>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量</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控</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制</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指</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标</w:t>
            </w:r>
          </w:p>
        </w:tc>
        <w:tc>
          <w:tcPr>
            <w:tcW w:w="8791" w:type="dxa"/>
            <w:noWrap w:val="0"/>
            <w:vAlign w:val="center"/>
          </w:tcPr>
          <w:p>
            <w:pPr>
              <w:spacing w:line="360" w:lineRule="auto"/>
              <w:ind w:firstLine="480" w:firstLineChars="200"/>
              <w:jc w:val="left"/>
              <w:rPr>
                <w:rFonts w:hint="eastAsia" w:cs="Times New Roman"/>
                <w:color w:val="auto"/>
                <w:sz w:val="24"/>
                <w:highlight w:val="none"/>
                <w:lang w:eastAsia="zh-CN"/>
              </w:rPr>
            </w:pPr>
            <w:r>
              <w:rPr>
                <w:rFonts w:hint="eastAsia" w:cs="Times New Roman"/>
                <w:snapToGrid w:val="0"/>
                <w:color w:val="auto"/>
                <w:kern w:val="0"/>
                <w:sz w:val="24"/>
                <w:szCs w:val="24"/>
                <w:lang w:val="en-US" w:eastAsia="zh-CN"/>
              </w:rPr>
              <w:t>项目生产废水循环使用不外排，生活污水经自建地埋式污</w:t>
            </w:r>
            <w:r>
              <w:rPr>
                <w:rFonts w:hint="eastAsia" w:cs="Times New Roman"/>
                <w:snapToGrid w:val="0"/>
                <w:color w:val="auto"/>
                <w:kern w:val="0"/>
                <w:sz w:val="24"/>
                <w:szCs w:val="24"/>
                <w:highlight w:val="none"/>
                <w:lang w:val="en-US" w:eastAsia="zh-CN"/>
              </w:rPr>
              <w:t>水处理设施处理后回用，不外排；</w:t>
            </w:r>
            <w:r>
              <w:rPr>
                <w:rFonts w:hint="eastAsia" w:cs="Times New Roman"/>
                <w:color w:val="auto"/>
                <w:sz w:val="24"/>
                <w:szCs w:val="32"/>
                <w:highlight w:val="none"/>
                <w:vertAlign w:val="baseline"/>
                <w:lang w:val="en-US" w:eastAsia="zh-CN"/>
              </w:rPr>
              <w:t>项目采用莱钢集团焦炉煤气作为燃料，根据核算，项目排放氮氧化物2.07t/a，二氧化硫0.61t/a，颗粒物0.4642t/a。</w:t>
            </w:r>
            <w:r>
              <w:rPr>
                <w:rFonts w:hint="default" w:ascii="Times New Roman" w:hAnsi="Times New Roman" w:cs="Times New Roman"/>
                <w:color w:val="auto"/>
                <w:sz w:val="24"/>
                <w:highlight w:val="none"/>
                <w:lang w:eastAsia="zh-CN"/>
              </w:rPr>
              <w:t>根据《关于印发山东省建设项目主要大气污染物排放总量替代指标核算及管理办法的通知》（鲁环发〔2019〕132号）要求，本项目需申请总量</w:t>
            </w:r>
            <w:r>
              <w:rPr>
                <w:rFonts w:hint="eastAsia" w:cs="Times New Roman"/>
                <w:color w:val="auto"/>
                <w:sz w:val="24"/>
                <w:szCs w:val="32"/>
                <w:highlight w:val="none"/>
                <w:vertAlign w:val="baseline"/>
                <w:lang w:val="en-US" w:eastAsia="zh-CN"/>
              </w:rPr>
              <w:t>氮氧化物2.07t/a，二氧化硫0.61t/a，颗粒物0.4642t/a</w:t>
            </w:r>
            <w:r>
              <w:rPr>
                <w:rFonts w:hint="eastAsia" w:cs="Times New Roman"/>
                <w:color w:val="auto"/>
                <w:sz w:val="24"/>
                <w:highlight w:val="none"/>
                <w:lang w:eastAsia="zh-CN"/>
              </w:rPr>
              <w:t>。</w:t>
            </w:r>
          </w:p>
          <w:p>
            <w:pPr>
              <w:pStyle w:val="2"/>
              <w:rPr>
                <w:rFonts w:hint="eastAsia" w:cs="Times New Roman"/>
                <w:color w:val="auto"/>
                <w:sz w:val="24"/>
                <w:highlight w:val="none"/>
                <w:lang w:eastAsia="zh-CN"/>
              </w:rPr>
            </w:pPr>
          </w:p>
          <w:p>
            <w:pPr>
              <w:rPr>
                <w:rFonts w:hint="default"/>
                <w:color w:val="auto"/>
                <w:lang w:eastAsia="zh-CN"/>
              </w:rPr>
            </w:pPr>
          </w:p>
          <w:p>
            <w:pPr>
              <w:spacing w:line="360" w:lineRule="auto"/>
              <w:jc w:val="both"/>
              <w:rPr>
                <w:rFonts w:hint="default" w:ascii="Times New Roman" w:hAnsi="Times New Roman" w:cs="Times New Roman"/>
                <w:color w:val="auto"/>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五、建设项目工程分析</w:t>
      </w:r>
    </w:p>
    <w:tbl>
      <w:tblPr>
        <w:tblStyle w:val="24"/>
        <w:tblW w:w="963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638" w:type="dxa"/>
            <w:noWrap w:val="0"/>
            <w:vAlign w:val="top"/>
          </w:tcPr>
          <w:p>
            <w:pPr>
              <w:pStyle w:val="46"/>
              <w:keepNext w:val="0"/>
              <w:keepLines w:val="0"/>
              <w:pageBreakBefore w:val="0"/>
              <w:widowControl w:val="0"/>
              <w:numPr>
                <w:ilvl w:val="0"/>
                <w:numId w:val="7"/>
              </w:numPr>
              <w:kinsoku/>
              <w:wordWrap/>
              <w:overflowPunct/>
              <w:topLinePunct w:val="0"/>
              <w:autoSpaceDE/>
              <w:autoSpaceDN/>
              <w:bidi w:val="0"/>
              <w:snapToGrid/>
              <w:spacing w:line="360" w:lineRule="auto"/>
              <w:ind w:left="0" w:leftChars="0" w:right="0" w:rightChars="0" w:firstLine="0" w:firstLineChars="0"/>
              <w:jc w:val="both"/>
              <w:outlineLvl w:val="9"/>
              <w:rPr>
                <w:rFonts w:hint="default" w:ascii="Times New Roman" w:hAnsi="Times New Roman" w:cs="Times New Roman"/>
                <w:b/>
                <w:bCs/>
                <w:color w:val="auto"/>
              </w:rPr>
            </w:pPr>
            <w:r>
              <w:rPr>
                <w:rFonts w:hint="default" w:ascii="Times New Roman" w:hAnsi="Times New Roman" w:cs="Times New Roman"/>
                <w:b/>
                <w:bCs/>
                <w:color w:val="auto"/>
              </w:rPr>
              <w:t>工艺流程简述(图示)：</w:t>
            </w:r>
          </w:p>
          <w:p>
            <w:pPr>
              <w:pStyle w:val="49"/>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both"/>
              <w:outlineLvl w:val="9"/>
              <w:rPr>
                <w:rFonts w:hint="default" w:ascii="Times New Roman" w:hAnsi="Times New Roman" w:cs="Times New Roman"/>
                <w:b/>
                <w:color w:val="auto"/>
              </w:rPr>
            </w:pPr>
            <w:r>
              <w:rPr>
                <w:rFonts w:hint="default" w:ascii="Times New Roman" w:hAnsi="Times New Roman" w:cs="Times New Roman"/>
                <w:b/>
                <w:color w:val="auto"/>
              </w:rPr>
              <w:t>（一）施工期</w:t>
            </w:r>
          </w:p>
          <w:p>
            <w:pPr>
              <w:autoSpaceDE w:val="0"/>
              <w:spacing w:line="360" w:lineRule="auto"/>
              <w:ind w:firstLine="480" w:firstLineChars="200"/>
              <w:jc w:val="left"/>
              <w:rPr>
                <w:rFonts w:hint="eastAsia" w:ascii="Times New Roman" w:hAnsi="Times New Roman" w:eastAsia="宋体"/>
                <w:color w:val="auto"/>
                <w:sz w:val="24"/>
                <w:lang w:eastAsia="zh-CN"/>
              </w:rPr>
            </w:pPr>
            <w:r>
              <w:rPr>
                <w:rFonts w:hint="eastAsia"/>
                <w:color w:val="auto"/>
                <w:kern w:val="0"/>
                <w:sz w:val="24"/>
                <w:lang w:eastAsia="zh-CN"/>
              </w:rPr>
              <w:t>项目施工期已结束，不再对施工期进行评价</w:t>
            </w:r>
            <w:r>
              <w:rPr>
                <w:rFonts w:hint="eastAsia"/>
                <w:color w:val="auto"/>
                <w:sz w:val="24"/>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eastAsia="宋体" w:cs="Times New Roman"/>
                <w:b/>
                <w:color w:val="auto"/>
                <w:sz w:val="24"/>
                <w:szCs w:val="24"/>
              </w:rPr>
              <w:t>营运期</w:t>
            </w:r>
            <w:r>
              <w:rPr>
                <w:rFonts w:hint="default" w:ascii="Times New Roman" w:hAnsi="Times New Roman" w:cs="Times New Roman"/>
                <w:color w:val="auto"/>
                <w:sz w:val="24"/>
                <w:lang w:val="en-US" w:eastAsia="zh-CN"/>
              </w:rPr>
              <w:t xml:space="preserve">         </w:t>
            </w:r>
          </w:p>
          <w:p>
            <w:pPr>
              <w:pStyle w:val="32"/>
              <w:spacing w:line="360" w:lineRule="auto"/>
              <w:ind w:firstLine="480" w:firstLineChars="200"/>
              <w:rPr>
                <w:rFonts w:ascii="Times New Roman" w:hAnsi="Times New Roman" w:eastAsia="宋体"/>
                <w:color w:val="auto"/>
              </w:rPr>
            </w:pPr>
            <w:r>
              <w:rPr>
                <w:rFonts w:hint="eastAsia" w:ascii="Times New Roman" w:hAnsi="Times New Roman" w:eastAsia="宋体" w:cs="Times New Roman"/>
                <w:color w:val="auto"/>
                <w:kern w:val="24"/>
                <w:sz w:val="24"/>
                <w:szCs w:val="20"/>
                <w:lang w:val="en-US" w:eastAsia="zh-CN" w:bidi="ar-SA"/>
              </w:rPr>
              <w:t>本项目共计生产</w:t>
            </w:r>
            <w:r>
              <w:rPr>
                <w:rFonts w:hint="eastAsia" w:ascii="Times New Roman" w:cs="Times New Roman"/>
                <w:color w:val="auto"/>
                <w:kern w:val="24"/>
                <w:sz w:val="24"/>
                <w:szCs w:val="20"/>
                <w:lang w:val="en-US" w:eastAsia="zh-CN" w:bidi="ar-SA"/>
              </w:rPr>
              <w:t>四</w:t>
            </w:r>
            <w:r>
              <w:rPr>
                <w:rFonts w:hint="eastAsia" w:ascii="Times New Roman" w:hAnsi="Times New Roman" w:eastAsia="宋体" w:cs="Times New Roman"/>
                <w:color w:val="auto"/>
                <w:kern w:val="24"/>
                <w:sz w:val="24"/>
                <w:szCs w:val="20"/>
                <w:lang w:val="en-US" w:eastAsia="zh-CN" w:bidi="ar-SA"/>
              </w:rPr>
              <w:t>种产品，</w:t>
            </w:r>
            <w:r>
              <w:rPr>
                <w:rFonts w:hint="eastAsia" w:ascii="Times New Roman" w:cs="Times New Roman"/>
                <w:color w:val="auto"/>
                <w:kern w:val="24"/>
                <w:sz w:val="24"/>
                <w:szCs w:val="20"/>
                <w:lang w:val="en-US" w:eastAsia="zh-CN" w:bidi="ar-SA"/>
              </w:rPr>
              <w:t>工艺略有不同，工艺流程见下图</w:t>
            </w:r>
            <w:r>
              <w:rPr>
                <w:rFonts w:hint="eastAsia" w:ascii="Times New Roman" w:hAnsi="Times New Roman" w:eastAsia="宋体" w:cs="Times New Roman"/>
                <w:color w:val="auto"/>
                <w:kern w:val="24"/>
                <w:sz w:val="24"/>
                <w:szCs w:val="20"/>
                <w:lang w:val="en-US" w:eastAsia="zh-CN" w:bidi="ar-SA"/>
              </w:rPr>
              <w:t>。</w:t>
            </w:r>
          </w:p>
          <w:p>
            <w:pPr>
              <w:pStyle w:val="32"/>
              <w:jc w:val="center"/>
              <w:rPr>
                <w:rFonts w:hint="eastAsia" w:ascii="Times New Roman" w:hAnsi="Times New Roman" w:eastAsia="宋体"/>
                <w:b/>
                <w:bCs/>
                <w:strike w:val="0"/>
                <w:dstrike w:val="0"/>
                <w:color w:val="auto"/>
                <w:sz w:val="21"/>
                <w:szCs w:val="21"/>
                <w:vertAlign w:val="baseline"/>
                <w:lang w:val="en-US" w:eastAsia="zh-CN"/>
              </w:rPr>
            </w:pPr>
            <w:r>
              <w:drawing>
                <wp:inline distT="0" distB="0" distL="114300" distR="114300">
                  <wp:extent cx="5980430" cy="4847590"/>
                  <wp:effectExtent l="0" t="0" r="127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5980430" cy="48475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b/>
                <w:bCs/>
                <w:strike w:val="0"/>
                <w:dstrike w:val="0"/>
                <w:color w:val="auto"/>
                <w:sz w:val="21"/>
                <w:szCs w:val="21"/>
                <w:vertAlign w:val="baseline"/>
                <w:lang w:val="en-US" w:eastAsia="zh-CN"/>
              </w:rPr>
            </w:pPr>
            <w:r>
              <w:rPr>
                <w:rFonts w:hint="eastAsia" w:ascii="Times New Roman" w:hAnsi="Times New Roman" w:eastAsia="宋体"/>
                <w:b/>
                <w:bCs/>
                <w:strike w:val="0"/>
                <w:dstrike w:val="0"/>
                <w:color w:val="auto"/>
                <w:sz w:val="21"/>
                <w:szCs w:val="21"/>
                <w:vertAlign w:val="baseline"/>
                <w:lang w:val="en-US" w:eastAsia="zh-CN"/>
              </w:rPr>
              <w:t>图</w:t>
            </w:r>
            <w:r>
              <w:rPr>
                <w:rFonts w:hint="eastAsia"/>
                <w:b/>
                <w:bCs/>
                <w:strike w:val="0"/>
                <w:dstrike w:val="0"/>
                <w:color w:val="auto"/>
                <w:sz w:val="21"/>
                <w:szCs w:val="21"/>
                <w:vertAlign w:val="baseline"/>
                <w:lang w:val="en-US" w:eastAsia="zh-CN"/>
              </w:rPr>
              <w:t xml:space="preserve">5.1  </w:t>
            </w:r>
            <w:r>
              <w:rPr>
                <w:rFonts w:hint="eastAsia" w:ascii="Times New Roman" w:hAnsi="Times New Roman" w:eastAsia="宋体"/>
                <w:b/>
                <w:bCs/>
                <w:strike w:val="0"/>
                <w:dstrike w:val="0"/>
                <w:color w:val="auto"/>
                <w:sz w:val="21"/>
                <w:szCs w:val="21"/>
                <w:vertAlign w:val="baseline"/>
                <w:lang w:val="en-US" w:eastAsia="zh-CN"/>
              </w:rPr>
              <w:t xml:space="preserve"> </w:t>
            </w:r>
            <w:r>
              <w:rPr>
                <w:rFonts w:hint="eastAsia"/>
                <w:b/>
                <w:bCs/>
                <w:strike w:val="0"/>
                <w:dstrike w:val="0"/>
                <w:color w:val="auto"/>
                <w:sz w:val="21"/>
                <w:szCs w:val="21"/>
                <w:vertAlign w:val="baseline"/>
                <w:lang w:val="en-US" w:eastAsia="zh-CN"/>
              </w:rPr>
              <w:t>项目生产工艺</w:t>
            </w:r>
            <w:r>
              <w:rPr>
                <w:rFonts w:hint="eastAsia" w:ascii="Times New Roman" w:hAnsi="Times New Roman" w:eastAsia="宋体"/>
                <w:b/>
                <w:bCs/>
                <w:strike w:val="0"/>
                <w:dstrike w:val="0"/>
                <w:color w:val="auto"/>
                <w:sz w:val="21"/>
                <w:szCs w:val="21"/>
                <w:vertAlign w:val="baseline"/>
                <w:lang w:val="en-US" w:eastAsia="zh-CN"/>
              </w:rPr>
              <w:t>流程</w:t>
            </w:r>
            <w:r>
              <w:rPr>
                <w:rFonts w:hint="eastAsia"/>
                <w:b/>
                <w:bCs/>
                <w:strike w:val="0"/>
                <w:dstrike w:val="0"/>
                <w:color w:val="auto"/>
                <w:sz w:val="21"/>
                <w:szCs w:val="21"/>
                <w:vertAlign w:val="baseline"/>
                <w:lang w:val="en-US" w:eastAsia="zh-CN"/>
              </w:rPr>
              <w:t>图</w:t>
            </w:r>
          </w:p>
          <w:p>
            <w:pPr>
              <w:pStyle w:val="32"/>
              <w:spacing w:beforeLines="0" w:afterLines="0" w:line="360" w:lineRule="auto"/>
              <w:ind w:firstLine="480" w:firstLineChars="200"/>
              <w:rPr>
                <w:rFonts w:hint="eastAsia" w:ascii="Times New Roman"/>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工艺简介：</w:t>
            </w:r>
          </w:p>
          <w:p>
            <w:pPr>
              <w:pStyle w:val="32"/>
              <w:spacing w:beforeLines="0" w:afterLines="0" w:line="360" w:lineRule="auto"/>
              <w:ind w:firstLine="480" w:firstLineChars="200"/>
              <w:rPr>
                <w:rFonts w:hint="eastAsia" w:ascii="Times New Roman"/>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定尺切割：根据订单要求对钢坯原材料进行切割。此过程会产生少量的废钢料头和噪声。</w:t>
            </w:r>
          </w:p>
          <w:p>
            <w:pPr>
              <w:pStyle w:val="32"/>
              <w:spacing w:beforeLines="0" w:afterLines="0" w:line="360" w:lineRule="auto"/>
              <w:ind w:firstLine="480" w:firstLineChars="200"/>
              <w:rPr>
                <w:rFonts w:hint="eastAsia" w:ascii="Times New Roman"/>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原料装炉加热：将成品钢坯成批吊到加热炉上料台架上，称重后用推钢机推入焦炉煤气加热炉，钢坯被加热到900~1200℃。加热炉以莱钢集团焦炉煤气为燃料，燃烧产生废气。</w:t>
            </w:r>
          </w:p>
          <w:p>
            <w:pPr>
              <w:pStyle w:val="32"/>
              <w:spacing w:beforeLines="0" w:afterLines="0" w:line="360" w:lineRule="auto"/>
              <w:ind w:firstLine="480" w:firstLineChars="200"/>
              <w:rPr>
                <w:rFonts w:hint="eastAsia" w:ascii="Times New Roman" w:eastAsia="宋体"/>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出钢机出钢：</w:t>
            </w:r>
            <w:r>
              <w:rPr>
                <w:rFonts w:hint="eastAsia" w:ascii="Times New Roman" w:hAnsi="Times New Roman" w:eastAsia="宋体" w:cs="宋体"/>
                <w:i w:val="0"/>
                <w:caps w:val="0"/>
                <w:color w:val="auto"/>
                <w:spacing w:val="0"/>
                <w:sz w:val="24"/>
                <w:szCs w:val="24"/>
                <w:highlight w:val="none"/>
                <w:shd w:val="clear"/>
              </w:rPr>
              <w:t>位于加热炉出炉侧正前方，是用于将加热炉内加热好的</w:t>
            </w:r>
            <w:r>
              <w:rPr>
                <w:rFonts w:hint="eastAsia" w:ascii="Times New Roman" w:cs="宋体"/>
                <w:i w:val="0"/>
                <w:caps w:val="0"/>
                <w:color w:val="auto"/>
                <w:spacing w:val="0"/>
                <w:sz w:val="24"/>
                <w:szCs w:val="24"/>
                <w:highlight w:val="none"/>
                <w:shd w:val="clear"/>
                <w:lang w:eastAsia="zh-CN"/>
              </w:rPr>
              <w:t>钢坯</w:t>
            </w:r>
            <w:r>
              <w:rPr>
                <w:rFonts w:hint="eastAsia" w:ascii="Times New Roman" w:hAnsi="Times New Roman" w:eastAsia="宋体" w:cs="宋体"/>
                <w:i w:val="0"/>
                <w:caps w:val="0"/>
                <w:color w:val="auto"/>
                <w:spacing w:val="0"/>
                <w:sz w:val="24"/>
                <w:szCs w:val="24"/>
                <w:highlight w:val="none"/>
                <w:shd w:val="clear"/>
              </w:rPr>
              <w:t>托出并平稳地放在出炉辊道上的装置</w:t>
            </w:r>
            <w:r>
              <w:rPr>
                <w:rFonts w:hint="eastAsia" w:ascii="Times New Roman" w:cs="宋体"/>
                <w:i w:val="0"/>
                <w:caps w:val="0"/>
                <w:color w:val="auto"/>
                <w:spacing w:val="0"/>
                <w:sz w:val="24"/>
                <w:szCs w:val="24"/>
                <w:highlight w:val="none"/>
                <w:shd w:val="clear"/>
                <w:lang w:eastAsia="zh-CN"/>
              </w:rPr>
              <w:t>。</w:t>
            </w:r>
          </w:p>
          <w:p>
            <w:pPr>
              <w:pStyle w:val="32"/>
              <w:spacing w:beforeLines="0" w:afterLines="0" w:line="360" w:lineRule="auto"/>
              <w:ind w:firstLine="480" w:firstLineChars="200"/>
              <w:rPr>
                <w:rFonts w:hint="eastAsia" w:ascii="Times New Roman" w:eastAsia="宋体"/>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520开坯机：</w:t>
            </w:r>
            <w:r>
              <w:rPr>
                <w:rFonts w:hint="eastAsia" w:ascii="Times New Roman" w:hAnsi="Times New Roman" w:eastAsia="宋体" w:cs="宋体"/>
                <w:i w:val="0"/>
                <w:caps w:val="0"/>
                <w:color w:val="auto"/>
                <w:spacing w:val="0"/>
                <w:sz w:val="24"/>
                <w:szCs w:val="24"/>
                <w:highlight w:val="none"/>
                <w:shd w:val="clear"/>
              </w:rPr>
              <w:t>大型</w:t>
            </w:r>
            <w:r>
              <w:rPr>
                <w:rFonts w:hint="eastAsia" w:ascii="Times New Roman" w:cs="宋体"/>
                <w:i w:val="0"/>
                <w:caps w:val="0"/>
                <w:color w:val="auto"/>
                <w:spacing w:val="0"/>
                <w:sz w:val="24"/>
                <w:szCs w:val="24"/>
                <w:highlight w:val="none"/>
                <w:shd w:val="clear"/>
                <w:lang w:eastAsia="zh-CN"/>
              </w:rPr>
              <w:t>钢坯</w:t>
            </w:r>
            <w:r>
              <w:rPr>
                <w:rFonts w:hint="eastAsia" w:ascii="Times New Roman" w:hAnsi="Times New Roman" w:eastAsia="宋体" w:cs="宋体"/>
                <w:i w:val="0"/>
                <w:caps w:val="0"/>
                <w:color w:val="auto"/>
                <w:spacing w:val="0"/>
                <w:sz w:val="24"/>
                <w:szCs w:val="24"/>
                <w:highlight w:val="none"/>
                <w:shd w:val="clear"/>
              </w:rPr>
              <w:t>通常不能直接轧成所需尺寸的钢材，而先轧成</w:t>
            </w:r>
            <w:r>
              <w:rPr>
                <w:rFonts w:hint="eastAsia" w:ascii="Times New Roman" w:cs="宋体"/>
                <w:i w:val="0"/>
                <w:caps w:val="0"/>
                <w:color w:val="auto"/>
                <w:spacing w:val="0"/>
                <w:sz w:val="24"/>
                <w:szCs w:val="24"/>
                <w:highlight w:val="none"/>
                <w:shd w:val="clear"/>
                <w:lang w:eastAsia="zh-CN"/>
              </w:rPr>
              <w:t>较小型的</w:t>
            </w:r>
            <w:r>
              <w:rPr>
                <w:rFonts w:hint="eastAsia" w:ascii="Times New Roman" w:hAnsi="Times New Roman" w:eastAsia="宋体" w:cs="宋体"/>
                <w:i w:val="0"/>
                <w:caps w:val="0"/>
                <w:color w:val="auto"/>
                <w:spacing w:val="0"/>
                <w:sz w:val="24"/>
                <w:szCs w:val="24"/>
                <w:highlight w:val="none"/>
                <w:shd w:val="clear"/>
              </w:rPr>
              <w:t>钢坯（开坯），用钢坯再去轧成成品。</w:t>
            </w:r>
          </w:p>
          <w:p>
            <w:pPr>
              <w:pStyle w:val="32"/>
              <w:spacing w:beforeLines="0" w:afterLines="0" w:line="360" w:lineRule="auto"/>
              <w:ind w:firstLine="480" w:firstLineChars="200"/>
              <w:rPr>
                <w:rFonts w:hint="eastAsia" w:ascii="Times New Roman"/>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精轧立轧机：轧机的一种，上下传动的方式将钢坯轧制成所需尺寸。</w:t>
            </w:r>
          </w:p>
          <w:p>
            <w:pPr>
              <w:pStyle w:val="32"/>
              <w:spacing w:beforeLines="0" w:afterLines="0" w:line="360" w:lineRule="auto"/>
              <w:ind w:firstLine="480" w:firstLineChars="200"/>
              <w:rPr>
                <w:rFonts w:hint="eastAsia" w:ascii="Times New Roman"/>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K5~K1连轧机：</w:t>
            </w:r>
            <w:r>
              <w:rPr>
                <w:rFonts w:hint="eastAsia" w:ascii="Times New Roman" w:hAnsi="Times New Roman" w:eastAsia="宋体" w:cs="宋体"/>
                <w:i w:val="0"/>
                <w:caps w:val="0"/>
                <w:color w:val="auto"/>
                <w:spacing w:val="0"/>
                <w:sz w:val="24"/>
                <w:szCs w:val="24"/>
                <w:highlight w:val="none"/>
                <w:shd w:val="clear"/>
              </w:rPr>
              <w:t>工业机械连续式轧机的简称</w:t>
            </w:r>
            <w:r>
              <w:rPr>
                <w:rFonts w:hint="eastAsia" w:ascii="Times New Roman" w:hAnsi="Times New Roman" w:eastAsia="宋体" w:cs="宋体"/>
                <w:i w:val="0"/>
                <w:caps w:val="0"/>
                <w:color w:val="auto"/>
                <w:spacing w:val="0"/>
                <w:sz w:val="24"/>
                <w:szCs w:val="24"/>
                <w:highlight w:val="none"/>
                <w:shd w:val="clear"/>
                <w:lang w:eastAsia="zh-CN"/>
              </w:rPr>
              <w:t>，</w:t>
            </w:r>
            <w:r>
              <w:rPr>
                <w:rFonts w:hint="eastAsia" w:ascii="Times New Roman"/>
                <w:b w:val="0"/>
                <w:bCs w:val="0"/>
                <w:strike w:val="0"/>
                <w:dstrike w:val="0"/>
                <w:color w:val="auto"/>
                <w:sz w:val="24"/>
                <w:szCs w:val="24"/>
                <w:highlight w:val="none"/>
                <w:vertAlign w:val="baseline"/>
                <w:lang w:val="en-US" w:eastAsia="zh-CN"/>
              </w:rPr>
              <w:t>进入轧制生产线的钢坯，经精轧机组逐次轧制。在连轧机后设有水冷段，对轧件进行快速冷却，以控制进入精轧机和出钢机前的轧件温度。</w:t>
            </w:r>
          </w:p>
          <w:p>
            <w:pPr>
              <w:pStyle w:val="32"/>
              <w:spacing w:beforeLines="0" w:afterLines="0" w:line="360" w:lineRule="auto"/>
              <w:ind w:firstLine="480" w:firstLineChars="200"/>
              <w:rPr>
                <w:rFonts w:hint="eastAsia" w:ascii="Times New Roman" w:eastAsia="宋体"/>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矫直：</w:t>
            </w:r>
            <w:r>
              <w:rPr>
                <w:rFonts w:hint="eastAsia" w:ascii="Times New Roman" w:hAnsi="Times New Roman" w:eastAsia="宋体" w:cs="宋体"/>
                <w:i w:val="0"/>
                <w:caps w:val="0"/>
                <w:color w:val="auto"/>
                <w:spacing w:val="0"/>
                <w:sz w:val="24"/>
                <w:szCs w:val="24"/>
                <w:highlight w:val="none"/>
                <w:shd w:val="clear"/>
              </w:rPr>
              <w:t>轧材在轧制过程或在以后的冷却和运输过程中经常会产生种种形状缺陷，诸如棒材、型材和管材的弯曲，板带材的弯曲、波浪、瓢曲等。通过各种矫直工序可使弯曲等缺陷在外力作用下得以消除，使产品达到合格的状态</w:t>
            </w:r>
            <w:r>
              <w:rPr>
                <w:rFonts w:hint="eastAsia" w:ascii="Times New Roman" w:cs="宋体"/>
                <w:i w:val="0"/>
                <w:caps w:val="0"/>
                <w:color w:val="auto"/>
                <w:spacing w:val="0"/>
                <w:sz w:val="24"/>
                <w:szCs w:val="24"/>
                <w:highlight w:val="none"/>
                <w:shd w:val="clear"/>
                <w:lang w:eastAsia="zh-CN"/>
              </w:rPr>
              <w:t>。</w:t>
            </w:r>
          </w:p>
          <w:p>
            <w:pPr>
              <w:pStyle w:val="32"/>
              <w:spacing w:beforeLines="0" w:afterLines="0" w:line="360" w:lineRule="auto"/>
              <w:ind w:firstLine="480" w:firstLineChars="200"/>
              <w:rPr>
                <w:rFonts w:hint="default" w:ascii="Times New Roman"/>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辊道立钢：利用辊道，将轧件翻转90°。</w:t>
            </w:r>
          </w:p>
          <w:p>
            <w:pPr>
              <w:pStyle w:val="32"/>
              <w:spacing w:beforeLines="0" w:afterLines="0" w:line="360" w:lineRule="auto"/>
              <w:ind w:firstLine="480" w:firstLineChars="200"/>
              <w:rPr>
                <w:rFonts w:hint="eastAsia" w:ascii="Times New Roman" w:eastAsia="宋体"/>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卷机成型：将轧制好的钢材，通过卷机将热钢材压平并卷起，同时使用循环水进行冷却，</w:t>
            </w:r>
            <w:r>
              <w:rPr>
                <w:rFonts w:hint="eastAsia"/>
                <w:color w:val="auto"/>
                <w:lang w:eastAsia="zh-CN"/>
              </w:rPr>
              <w:t>项目冷却水循环量</w:t>
            </w:r>
            <w:r>
              <w:rPr>
                <w:rFonts w:hint="default" w:ascii="Times New Roman" w:hAnsi="Times New Roman" w:cs="Times New Roman"/>
                <w:color w:val="auto"/>
                <w:lang w:eastAsia="zh-CN"/>
              </w:rPr>
              <w:t>为</w:t>
            </w:r>
            <w:r>
              <w:rPr>
                <w:rFonts w:hint="eastAsia" w:ascii="Times New Roman" w:hAnsi="Times New Roman" w:cs="Times New Roman"/>
                <w:color w:val="auto"/>
                <w:lang w:val="en-US" w:eastAsia="zh-CN"/>
              </w:rPr>
              <w:t>420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d</w:t>
            </w:r>
            <w:r>
              <w:rPr>
                <w:rFonts w:hint="eastAsia"/>
                <w:color w:val="auto"/>
                <w:lang w:eastAsia="zh-CN"/>
              </w:rPr>
              <w:t>，采用直接冷却的方式进行冷却。</w:t>
            </w:r>
          </w:p>
          <w:p>
            <w:pPr>
              <w:pStyle w:val="32"/>
              <w:spacing w:beforeLines="0" w:afterLines="0" w:line="360" w:lineRule="auto"/>
              <w:ind w:firstLine="480" w:firstLineChars="200"/>
              <w:rPr>
                <w:rFonts w:hint="eastAsia" w:ascii="Times New Roman"/>
                <w:b w:val="0"/>
                <w:bCs w:val="0"/>
                <w:strike w:val="0"/>
                <w:dstrike w:val="0"/>
                <w:color w:val="auto"/>
                <w:sz w:val="24"/>
                <w:szCs w:val="24"/>
                <w:highlight w:val="none"/>
                <w:vertAlign w:val="baseline"/>
                <w:lang w:val="en-US" w:eastAsia="zh-CN"/>
              </w:rPr>
            </w:pPr>
            <w:r>
              <w:rPr>
                <w:rFonts w:hint="eastAsia" w:ascii="Times New Roman"/>
                <w:b w:val="0"/>
                <w:bCs w:val="0"/>
                <w:strike w:val="0"/>
                <w:dstrike w:val="0"/>
                <w:color w:val="auto"/>
                <w:sz w:val="24"/>
                <w:szCs w:val="24"/>
                <w:highlight w:val="none"/>
                <w:vertAlign w:val="baseline"/>
                <w:lang w:val="en-US" w:eastAsia="zh-CN"/>
              </w:rPr>
              <w:t>焊接撵平：利用焊机将管桩法兰撵平，焊接过程产生少量的焊接烟尘。</w:t>
            </w:r>
          </w:p>
          <w:p>
            <w:pPr>
              <w:pStyle w:val="32"/>
              <w:spacing w:beforeLines="0" w:afterLines="0" w:line="360" w:lineRule="auto"/>
              <w:ind w:firstLine="480" w:firstLineChars="200"/>
              <w:rPr>
                <w:rFonts w:hint="eastAsia" w:ascii="Times New Roman"/>
                <w:b w:val="0"/>
                <w:bCs w:val="0"/>
                <w:strike w:val="0"/>
                <w:dstrike w:val="0"/>
                <w:color w:val="FF0000"/>
                <w:sz w:val="24"/>
                <w:szCs w:val="24"/>
                <w:highlight w:val="none"/>
                <w:vertAlign w:val="baseline"/>
                <w:lang w:val="en-US" w:eastAsia="zh-CN"/>
              </w:rPr>
            </w:pPr>
            <w:r>
              <w:rPr>
                <w:rFonts w:hint="eastAsia" w:ascii="Times New Roman"/>
                <w:b w:val="0"/>
                <w:bCs w:val="0"/>
                <w:strike w:val="0"/>
                <w:dstrike w:val="0"/>
                <w:color w:val="FF0000"/>
                <w:sz w:val="24"/>
                <w:szCs w:val="24"/>
                <w:highlight w:val="none"/>
                <w:vertAlign w:val="baseline"/>
                <w:lang w:val="en-US" w:eastAsia="zh-CN"/>
              </w:rPr>
              <w:t>车削钻孔：项目管桩法兰焊接撵平后，经过车床、钻床、铣床等机加工设备进行深加工后，成为成品管桩法兰。此过程不产生废气，会产生一定量的废铁屑，设备运行产生噪声。</w:t>
            </w:r>
          </w:p>
          <w:p>
            <w:pPr>
              <w:pStyle w:val="49"/>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val="0"/>
                <w:color w:val="auto"/>
                <w:kern w:val="0"/>
                <w:szCs w:val="28"/>
              </w:rPr>
            </w:pPr>
            <w:r>
              <w:rPr>
                <w:rFonts w:hint="default" w:ascii="Times New Roman" w:hAnsi="Times New Roman" w:cs="Times New Roman"/>
                <w:b/>
                <w:bCs w:val="0"/>
                <w:color w:val="auto"/>
                <w:kern w:val="0"/>
                <w:szCs w:val="28"/>
                <w:lang w:val="zh-CN"/>
              </w:rPr>
              <w:t>主要污染工序</w:t>
            </w:r>
            <w:r>
              <w:rPr>
                <w:rFonts w:hint="default" w:ascii="Times New Roman" w:hAnsi="Times New Roman" w:cs="Times New Roman"/>
                <w:bCs w:val="0"/>
                <w:color w:val="auto"/>
                <w:kern w:val="0"/>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（一）施工期</w:t>
            </w:r>
          </w:p>
          <w:p>
            <w:pPr>
              <w:spacing w:line="360" w:lineRule="auto"/>
              <w:ind w:firstLine="480" w:firstLineChars="200"/>
              <w:rPr>
                <w:rFonts w:ascii="Times New Roman" w:hAnsi="Times New Roman" w:eastAsia="宋体"/>
                <w:b w:val="0"/>
                <w:bCs w:val="0"/>
                <w:color w:val="auto"/>
                <w:szCs w:val="21"/>
              </w:rPr>
            </w:pPr>
            <w:r>
              <w:rPr>
                <w:rFonts w:hint="eastAsia"/>
                <w:b w:val="0"/>
                <w:bCs w:val="0"/>
                <w:color w:val="auto"/>
                <w:sz w:val="24"/>
                <w:lang w:val="en-US" w:eastAsia="zh-CN"/>
              </w:rPr>
              <w:t>项目施工期已结束</w:t>
            </w:r>
            <w:r>
              <w:rPr>
                <w:rFonts w:ascii="Times New Roman" w:hAnsi="Times New Roman" w:eastAsia="宋体"/>
                <w:b w:val="0"/>
                <w:bCs w:val="0"/>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color w:val="auto"/>
              </w:rPr>
            </w:pPr>
            <w:r>
              <w:rPr>
                <w:rFonts w:hint="default" w:ascii="Times New Roman" w:hAnsi="Times New Roman" w:cs="Times New Roman"/>
                <w:b/>
                <w:bCs/>
                <w:color w:val="auto"/>
                <w:sz w:val="24"/>
              </w:rPr>
              <w:t>（二）运营期</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val="0"/>
                <w:color w:val="auto"/>
                <w:szCs w:val="24"/>
              </w:rPr>
            </w:pPr>
            <w:r>
              <w:rPr>
                <w:rFonts w:hint="eastAsia" w:ascii="Times New Roman" w:hAnsi="Times New Roman" w:cs="Times New Roman"/>
                <w:b/>
                <w:bCs w:val="0"/>
                <w:color w:val="auto"/>
                <w:szCs w:val="24"/>
                <w:lang w:val="en-US" w:eastAsia="zh-CN"/>
              </w:rPr>
              <w:t>1、</w:t>
            </w:r>
            <w:r>
              <w:rPr>
                <w:rFonts w:hint="default" w:ascii="Times New Roman" w:hAnsi="Times New Roman" w:cs="Times New Roman"/>
                <w:b/>
                <w:bCs w:val="0"/>
                <w:color w:val="auto"/>
                <w:szCs w:val="24"/>
              </w:rPr>
              <w:t>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color w:val="auto"/>
                <w:spacing w:val="-5"/>
                <w:kern w:val="0"/>
                <w:sz w:val="24"/>
                <w:szCs w:val="20"/>
                <w:vertAlign w:val="baseline"/>
                <w:lang w:val="en-US" w:eastAsia="zh-CN" w:bidi="ar-SA"/>
              </w:rPr>
            </w:pPr>
            <w:r>
              <w:rPr>
                <w:rFonts w:hint="eastAsia" w:cs="Times New Roman"/>
                <w:b/>
                <w:bCs/>
                <w:color w:val="auto"/>
                <w:spacing w:val="-5"/>
                <w:kern w:val="0"/>
                <w:sz w:val="24"/>
                <w:szCs w:val="20"/>
                <w:vertAlign w:val="baseline"/>
                <w:lang w:val="en-US" w:eastAsia="zh-CN" w:bidi="ar-SA"/>
              </w:rPr>
              <w:t>1.1有组织废气</w:t>
            </w:r>
          </w:p>
          <w:p>
            <w:pPr>
              <w:keepLines w:val="0"/>
              <w:widowControl w:val="0"/>
              <w:spacing w:line="360" w:lineRule="auto"/>
              <w:ind w:firstLine="460"/>
              <w:rPr>
                <w:rFonts w:hint="default" w:ascii="Times New Roman" w:hAnsi="Times New Roman" w:cs="Times New Roman"/>
                <w:b w:val="0"/>
                <w:bCs w:val="0"/>
                <w:color w:val="auto"/>
                <w:spacing w:val="-5"/>
                <w:kern w:val="0"/>
                <w:sz w:val="24"/>
                <w:szCs w:val="20"/>
                <w:vertAlign w:val="baseline"/>
                <w:lang w:val="en-US" w:eastAsia="zh-CN"/>
              </w:rPr>
            </w:pPr>
            <w:r>
              <w:rPr>
                <w:rFonts w:hint="eastAsia" w:ascii="Times New Roman" w:hAnsi="Times New Roman" w:cs="Times New Roman"/>
                <w:b w:val="0"/>
                <w:bCs w:val="0"/>
                <w:color w:val="auto"/>
                <w:spacing w:val="-5"/>
                <w:kern w:val="0"/>
                <w:sz w:val="24"/>
                <w:szCs w:val="20"/>
                <w:vertAlign w:val="baseline"/>
                <w:lang w:val="en-US" w:eastAsia="zh-CN"/>
              </w:rPr>
              <w:t>项目有组织废气主要为</w:t>
            </w:r>
            <w:r>
              <w:rPr>
                <w:rFonts w:hint="eastAsia" w:cs="Times New Roman"/>
                <w:b w:val="0"/>
                <w:bCs w:val="0"/>
                <w:color w:val="auto"/>
                <w:spacing w:val="-5"/>
                <w:kern w:val="0"/>
                <w:sz w:val="24"/>
                <w:szCs w:val="20"/>
                <w:vertAlign w:val="baseline"/>
                <w:lang w:val="en-US" w:eastAsia="zh-CN"/>
              </w:rPr>
              <w:t>加热炉燃烧废气</w:t>
            </w:r>
            <w:r>
              <w:rPr>
                <w:rFonts w:hint="eastAsia" w:ascii="Times New Roman" w:hAnsi="Times New Roman" w:cs="Times New Roman"/>
                <w:b w:val="0"/>
                <w:bCs w:val="0"/>
                <w:color w:val="auto"/>
                <w:spacing w:val="-5"/>
                <w:kern w:val="0"/>
                <w:sz w:val="24"/>
                <w:szCs w:val="20"/>
                <w:vertAlign w:val="baseline"/>
                <w:lang w:val="en-US" w:eastAsia="zh-CN"/>
              </w:rPr>
              <w:t>，引入</w:t>
            </w:r>
            <w:r>
              <w:rPr>
                <w:rFonts w:hint="eastAsia" w:cs="Times New Roman"/>
                <w:b w:val="0"/>
                <w:bCs w:val="0"/>
                <w:color w:val="auto"/>
                <w:spacing w:val="-5"/>
                <w:kern w:val="0"/>
                <w:sz w:val="24"/>
                <w:szCs w:val="20"/>
                <w:vertAlign w:val="baseline"/>
                <w:lang w:val="en-US" w:eastAsia="zh-CN"/>
              </w:rPr>
              <w:t>SCR脱硝+双碱法脱硫+湿式静电除尘设施处理后由</w:t>
            </w:r>
            <w:r>
              <w:rPr>
                <w:rFonts w:hint="eastAsia" w:ascii="Times New Roman" w:hAnsi="Times New Roman" w:cs="Times New Roman"/>
                <w:b w:val="0"/>
                <w:bCs w:val="0"/>
                <w:color w:val="auto"/>
                <w:spacing w:val="-5"/>
                <w:kern w:val="0"/>
                <w:sz w:val="24"/>
                <w:szCs w:val="20"/>
                <w:vertAlign w:val="baseline"/>
                <w:lang w:val="en-US" w:eastAsia="zh-CN"/>
              </w:rPr>
              <w:t>1根</w:t>
            </w:r>
            <w:r>
              <w:rPr>
                <w:rFonts w:hint="eastAsia" w:cs="Times New Roman"/>
                <w:b w:val="0"/>
                <w:bCs w:val="0"/>
                <w:color w:val="auto"/>
                <w:spacing w:val="-5"/>
                <w:kern w:val="0"/>
                <w:sz w:val="24"/>
                <w:szCs w:val="20"/>
                <w:vertAlign w:val="baseline"/>
                <w:lang w:val="en-US" w:eastAsia="zh-CN"/>
              </w:rPr>
              <w:t>22</w:t>
            </w:r>
            <w:r>
              <w:rPr>
                <w:rFonts w:hint="eastAsia" w:ascii="Times New Roman" w:hAnsi="Times New Roman" w:cs="Times New Roman"/>
                <w:b w:val="0"/>
                <w:bCs w:val="0"/>
                <w:color w:val="auto"/>
                <w:spacing w:val="-5"/>
                <w:kern w:val="0"/>
                <w:sz w:val="24"/>
                <w:szCs w:val="20"/>
                <w:vertAlign w:val="baseline"/>
                <w:lang w:val="en-US" w:eastAsia="zh-CN"/>
              </w:rPr>
              <w:t>米排气筒P1排放。</w:t>
            </w:r>
          </w:p>
          <w:p>
            <w:pPr>
              <w:pStyle w:val="62"/>
              <w:keepNext w:val="0"/>
              <w:keepLines/>
              <w:pageBreakBefore w:val="0"/>
              <w:widowControl/>
              <w:kinsoku/>
              <w:wordWrap/>
              <w:overflowPunct/>
              <w:topLinePunct w:val="0"/>
              <w:autoSpaceDE/>
              <w:autoSpaceDN/>
              <w:bidi w:val="0"/>
              <w:adjustRightInd/>
              <w:snapToGrid/>
              <w:spacing w:line="360" w:lineRule="auto"/>
              <w:ind w:left="0" w:leftChars="0" w:right="0" w:rightChars="0" w:firstLine="460" w:firstLineChars="200"/>
              <w:jc w:val="both"/>
              <w:textAlignment w:val="auto"/>
              <w:outlineLvl w:val="9"/>
              <w:rPr>
                <w:rFonts w:hint="eastAsia" w:ascii="Times New Roman" w:hAnsi="Times New Roman" w:cs="Times New Roman"/>
                <w:bCs/>
                <w:color w:val="auto"/>
                <w:kern w:val="10"/>
                <w:sz w:val="24"/>
                <w:szCs w:val="21"/>
                <w:vertAlign w:val="baseline"/>
                <w:lang w:val="en-US" w:eastAsia="zh-CN" w:bidi="ar-SA"/>
              </w:rPr>
            </w:pPr>
            <w:r>
              <w:rPr>
                <w:rFonts w:hint="default" w:ascii="Times New Roman" w:hAnsi="Times New Roman" w:cs="Times New Roman"/>
                <w:color w:val="auto"/>
                <w:sz w:val="24"/>
                <w:vertAlign w:val="baseline"/>
                <w:lang w:val="en-US" w:eastAsia="zh-CN"/>
              </w:rPr>
              <w:t>建设项目</w:t>
            </w:r>
            <w:r>
              <w:rPr>
                <w:rFonts w:hint="eastAsia" w:ascii="Times New Roman" w:hAnsi="Times New Roman" w:cs="Times New Roman"/>
                <w:color w:val="auto"/>
                <w:sz w:val="24"/>
                <w:vertAlign w:val="baseline"/>
                <w:lang w:val="en-US" w:eastAsia="zh-CN"/>
              </w:rPr>
              <w:t>加热炉采用焦炉煤气燃烧供热</w:t>
            </w:r>
            <w:r>
              <w:rPr>
                <w:rFonts w:hint="default" w:ascii="Times New Roman" w:hAnsi="Times New Roman" w:cs="Times New Roman"/>
                <w:color w:val="auto"/>
                <w:sz w:val="24"/>
                <w:vertAlign w:val="baseline"/>
                <w:lang w:val="en-US" w:eastAsia="zh-CN"/>
              </w:rPr>
              <w:t>，</w:t>
            </w:r>
            <w:r>
              <w:rPr>
                <w:rFonts w:hint="default" w:ascii="Times New Roman" w:hAnsi="Times New Roman" w:cs="Times New Roman"/>
                <w:bCs/>
                <w:color w:val="auto"/>
                <w:kern w:val="10"/>
                <w:sz w:val="24"/>
                <w:szCs w:val="21"/>
                <w:lang w:val="en-US" w:eastAsia="zh-CN" w:bidi="ar-SA"/>
              </w:rPr>
              <w:t>项目</w:t>
            </w:r>
            <w:r>
              <w:rPr>
                <w:rFonts w:hint="eastAsia" w:ascii="Times New Roman" w:hAnsi="Times New Roman" w:cs="Times New Roman"/>
                <w:bCs/>
                <w:color w:val="auto"/>
                <w:kern w:val="10"/>
                <w:sz w:val="24"/>
                <w:szCs w:val="21"/>
                <w:lang w:val="en-US" w:eastAsia="zh-CN" w:bidi="ar-SA"/>
              </w:rPr>
              <w:t>焦炉煤气用量960万m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lang w:val="en-US" w:eastAsia="zh-CN" w:bidi="ar-SA"/>
              </w:rPr>
              <w:t>/a</w:t>
            </w:r>
            <w:r>
              <w:rPr>
                <w:rFonts w:hint="eastAsia" w:ascii="Times New Roman" w:hAnsi="Times New Roman" w:cs="Times New Roman"/>
                <w:bCs/>
                <w:color w:val="auto"/>
                <w:kern w:val="10"/>
                <w:sz w:val="24"/>
                <w:szCs w:val="21"/>
                <w:vertAlign w:val="baseline"/>
                <w:lang w:val="en-US" w:eastAsia="zh-CN" w:bidi="ar-SA"/>
              </w:rPr>
              <w:t>。</w:t>
            </w:r>
          </w:p>
          <w:p>
            <w:pPr>
              <w:pStyle w:val="62"/>
              <w:keepNext w:val="0"/>
              <w:keepLines/>
              <w:pageBreakBefore w:val="0"/>
              <w:widowControl/>
              <w:kinsoku/>
              <w:wordWrap/>
              <w:overflowPunct/>
              <w:topLinePunct w:val="0"/>
              <w:autoSpaceDE/>
              <w:autoSpaceDN/>
              <w:bidi w:val="0"/>
              <w:adjustRightInd/>
              <w:snapToGrid/>
              <w:spacing w:line="360" w:lineRule="auto"/>
              <w:ind w:left="0" w:leftChars="0" w:right="0" w:rightChars="0" w:firstLine="460" w:firstLineChars="200"/>
              <w:jc w:val="both"/>
              <w:textAlignment w:val="auto"/>
              <w:outlineLvl w:val="9"/>
              <w:rPr>
                <w:rFonts w:hint="default" w:ascii="Times New Roman" w:hAnsi="Times New Roman" w:cs="Times New Roman"/>
                <w:color w:val="auto"/>
                <w:sz w:val="24"/>
                <w:vertAlign w:val="baseline"/>
                <w:lang w:val="en-US" w:eastAsia="zh-CN"/>
              </w:rPr>
            </w:pPr>
            <w:r>
              <w:rPr>
                <w:rFonts w:hint="eastAsia" w:ascii="Times New Roman" w:hAnsi="Times New Roman" w:cs="Times New Roman"/>
                <w:color w:val="auto"/>
                <w:sz w:val="24"/>
                <w:lang w:val="en-US" w:eastAsia="zh-CN"/>
              </w:rPr>
              <w:t>项目在2020年1月6日对燃烧废气进行监测，监测期间生产负荷90%，根据监测数据，项目加热炉废气颗粒物平均排放浓度3.3mg/m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，平均折算浓度8.6mg/m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vertAlign w:val="baseline"/>
                <w:lang w:val="en-US" w:eastAsia="zh-CN"/>
              </w:rPr>
              <w:t>，平均排放速率4.8</w:t>
            </w:r>
            <w:r>
              <w:rPr>
                <w:rFonts w:hint="default" w:ascii="Arial" w:hAnsi="Arial" w:cs="Arial"/>
                <w:color w:val="auto"/>
                <w:sz w:val="24"/>
                <w:vertAlign w:val="baseline"/>
                <w:lang w:val="en-US" w:eastAsia="zh-CN"/>
              </w:rPr>
              <w:t>×</w:t>
            </w:r>
            <w:r>
              <w:rPr>
                <w:rFonts w:hint="eastAsia" w:ascii="Times New Roman" w:hAnsi="Times New Roman" w:cs="Times New Roman"/>
                <w:color w:val="auto"/>
                <w:sz w:val="24"/>
                <w:vertAlign w:val="baseline"/>
                <w:lang w:val="en-US" w:eastAsia="zh-CN"/>
              </w:rPr>
              <w:t>10</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vertAlign w:val="baseline"/>
                <w:lang w:val="en-US" w:eastAsia="zh-CN"/>
              </w:rPr>
              <w:t>kg/h；SO</w:t>
            </w:r>
            <w:r>
              <w:rPr>
                <w:rFonts w:hint="eastAsia" w:ascii="Times New Roman" w:hAnsi="Times New Roman" w:cs="Times New Roman"/>
                <w:color w:val="auto"/>
                <w:sz w:val="24"/>
                <w:vertAlign w:val="subscript"/>
                <w:lang w:val="en-US" w:eastAsia="zh-CN"/>
              </w:rPr>
              <w:t>2</w:t>
            </w:r>
            <w:r>
              <w:rPr>
                <w:rFonts w:hint="eastAsia" w:ascii="Times New Roman" w:hAnsi="Times New Roman" w:cs="Times New Roman"/>
                <w:color w:val="auto"/>
                <w:sz w:val="24"/>
                <w:lang w:val="en-US" w:eastAsia="zh-CN"/>
              </w:rPr>
              <w:t>平均排放浓度4mg/m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，平均折算浓度11mg/m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vertAlign w:val="baseline"/>
                <w:lang w:val="en-US" w:eastAsia="zh-CN"/>
              </w:rPr>
              <w:t>，平均排放速率6.34</w:t>
            </w:r>
            <w:r>
              <w:rPr>
                <w:rFonts w:hint="default" w:ascii="Arial" w:hAnsi="Arial" w:cs="Arial"/>
                <w:color w:val="auto"/>
                <w:sz w:val="24"/>
                <w:vertAlign w:val="baseline"/>
                <w:lang w:val="en-US" w:eastAsia="zh-CN"/>
              </w:rPr>
              <w:t>×</w:t>
            </w:r>
            <w:r>
              <w:rPr>
                <w:rFonts w:hint="eastAsia" w:ascii="Times New Roman" w:hAnsi="Times New Roman" w:cs="Times New Roman"/>
                <w:color w:val="auto"/>
                <w:sz w:val="24"/>
                <w:vertAlign w:val="baseline"/>
                <w:lang w:val="en-US" w:eastAsia="zh-CN"/>
              </w:rPr>
              <w:t>10</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vertAlign w:val="baseline"/>
                <w:lang w:val="en-US" w:eastAsia="zh-CN"/>
              </w:rPr>
              <w:t>kg/h；NOx</w:t>
            </w:r>
            <w:r>
              <w:rPr>
                <w:rFonts w:hint="eastAsia" w:ascii="Times New Roman" w:hAnsi="Times New Roman" w:cs="Times New Roman"/>
                <w:color w:val="auto"/>
                <w:sz w:val="24"/>
                <w:lang w:val="en-US" w:eastAsia="zh-CN"/>
              </w:rPr>
              <w:t>平均排放浓度15mg/m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，平均折算浓度39mg/m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vertAlign w:val="baseline"/>
                <w:lang w:val="en-US" w:eastAsia="zh-CN"/>
              </w:rPr>
              <w:t>，平均排放速率0.216kg/h。项目年生产8640h，根据负荷折算，项目满负荷条件下颗粒物排放量为0.46t/a，SO</w:t>
            </w:r>
            <w:r>
              <w:rPr>
                <w:rFonts w:hint="eastAsia" w:ascii="Times New Roman" w:hAnsi="Times New Roman" w:cs="Times New Roman"/>
                <w:color w:val="auto"/>
                <w:sz w:val="24"/>
                <w:vertAlign w:val="subscript"/>
                <w:lang w:val="en-US" w:eastAsia="zh-CN"/>
              </w:rPr>
              <w:t>2</w:t>
            </w:r>
            <w:r>
              <w:rPr>
                <w:rFonts w:hint="eastAsia" w:ascii="Times New Roman" w:hAnsi="Times New Roman" w:cs="Times New Roman"/>
                <w:color w:val="auto"/>
                <w:sz w:val="24"/>
                <w:vertAlign w:val="baseline"/>
                <w:lang w:val="en-US" w:eastAsia="zh-CN"/>
              </w:rPr>
              <w:t>排放量为0.61t/a，NOx排放量为2.07t/a。</w:t>
            </w:r>
            <w:r>
              <w:rPr>
                <w:rFonts w:hint="eastAsia" w:ascii="Times New Roman" w:hAnsi="Times New Roman" w:cs="Times New Roman"/>
                <w:b w:val="0"/>
                <w:bCs w:val="0"/>
                <w:color w:val="auto"/>
                <w:spacing w:val="-5"/>
                <w:kern w:val="0"/>
                <w:sz w:val="24"/>
                <w:szCs w:val="20"/>
                <w:vertAlign w:val="baseline"/>
                <w:lang w:val="en-US" w:eastAsia="zh-CN"/>
              </w:rPr>
              <w:t>SCR脱硝+双碱法脱硫+湿式静电除尘处理效率按照90%计算，则颗粒物产生浓度约为37</w:t>
            </w:r>
            <w:r>
              <w:rPr>
                <w:rFonts w:hint="eastAsia" w:ascii="Times New Roman" w:hAnsi="Times New Roman" w:cs="Times New Roman"/>
                <w:color w:val="auto"/>
                <w:sz w:val="24"/>
                <w:lang w:val="en-US" w:eastAsia="zh-CN"/>
              </w:rPr>
              <w:t>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，产生</w:t>
            </w:r>
            <w:r>
              <w:rPr>
                <w:rFonts w:hint="eastAsia" w:ascii="Times New Roman" w:hAnsi="Times New Roman" w:cs="Times New Roman"/>
                <w:color w:val="auto"/>
                <w:sz w:val="24"/>
                <w:vertAlign w:val="baseline"/>
                <w:lang w:val="en-US" w:eastAsia="zh-CN"/>
              </w:rPr>
              <w:t>排放速率0.53kg/h，产生量为4.1t/a；SO</w:t>
            </w:r>
            <w:r>
              <w:rPr>
                <w:rFonts w:hint="eastAsia" w:ascii="Times New Roman" w:hAnsi="Times New Roman" w:cs="Times New Roman"/>
                <w:color w:val="auto"/>
                <w:sz w:val="24"/>
                <w:vertAlign w:val="subscript"/>
                <w:lang w:val="en-US" w:eastAsia="zh-CN"/>
              </w:rPr>
              <w:t>2</w:t>
            </w:r>
            <w:r>
              <w:rPr>
                <w:rFonts w:hint="eastAsia" w:ascii="Times New Roman" w:hAnsi="Times New Roman" w:cs="Times New Roman"/>
                <w:color w:val="auto"/>
                <w:sz w:val="24"/>
                <w:lang w:val="en-US" w:eastAsia="zh-CN"/>
              </w:rPr>
              <w:t>产生浓度44mg/m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，产生</w:t>
            </w:r>
            <w:r>
              <w:rPr>
                <w:rFonts w:hint="eastAsia" w:ascii="Times New Roman" w:hAnsi="Times New Roman" w:cs="Times New Roman"/>
                <w:color w:val="auto"/>
                <w:sz w:val="24"/>
                <w:vertAlign w:val="baseline"/>
                <w:lang w:val="en-US" w:eastAsia="zh-CN"/>
              </w:rPr>
              <w:t>速率0.704kg/h，产生量5.4t/a；NOx</w:t>
            </w:r>
            <w:r>
              <w:rPr>
                <w:rFonts w:hint="eastAsia" w:ascii="Times New Roman" w:hAnsi="Times New Roman" w:cs="Times New Roman"/>
                <w:color w:val="auto"/>
                <w:sz w:val="24"/>
                <w:lang w:val="en-US" w:eastAsia="zh-CN"/>
              </w:rPr>
              <w:t>产生浓度167mg/m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，产生</w:t>
            </w:r>
            <w:r>
              <w:rPr>
                <w:rFonts w:hint="eastAsia" w:ascii="Times New Roman" w:hAnsi="Times New Roman" w:cs="Times New Roman"/>
                <w:color w:val="auto"/>
                <w:sz w:val="24"/>
                <w:vertAlign w:val="baseline"/>
                <w:lang w:val="en-US" w:eastAsia="zh-CN"/>
              </w:rPr>
              <w:t>速率2.4kg/h，产生量18.4t/a。</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eastAsia="宋体"/>
                <w:b/>
                <w:bCs w:val="0"/>
                <w:color w:val="auto"/>
                <w:sz w:val="21"/>
                <w:szCs w:val="21"/>
                <w:highlight w:val="none"/>
                <w:lang w:val="en-US" w:eastAsia="zh-CN"/>
              </w:rPr>
            </w:pPr>
            <w:r>
              <w:rPr>
                <w:rFonts w:hint="default" w:ascii="Times New Roman" w:hAnsi="Times New Roman" w:eastAsia="宋体"/>
                <w:b/>
                <w:bCs w:val="0"/>
                <w:color w:val="auto"/>
                <w:sz w:val="21"/>
                <w:szCs w:val="21"/>
                <w:highlight w:val="none"/>
                <w:lang w:val="en-US" w:eastAsia="zh-CN"/>
              </w:rPr>
              <w:t>表</w:t>
            </w:r>
            <w:r>
              <w:rPr>
                <w:rFonts w:hint="eastAsia" w:ascii="Times New Roman" w:hAnsi="Times New Roman" w:eastAsia="宋体"/>
                <w:b/>
                <w:bCs w:val="0"/>
                <w:color w:val="auto"/>
                <w:sz w:val="21"/>
                <w:szCs w:val="21"/>
                <w:highlight w:val="none"/>
                <w:lang w:val="en-US" w:eastAsia="zh-CN"/>
              </w:rPr>
              <w:t>5</w:t>
            </w:r>
            <w:r>
              <w:rPr>
                <w:rFonts w:hint="default" w:ascii="Times New Roman" w:hAnsi="Times New Roman" w:eastAsia="宋体"/>
                <w:b/>
                <w:bCs w:val="0"/>
                <w:color w:val="auto"/>
                <w:sz w:val="21"/>
                <w:szCs w:val="21"/>
                <w:highlight w:val="none"/>
                <w:lang w:val="en-US" w:eastAsia="zh-CN"/>
              </w:rPr>
              <w:t>-</w:t>
            </w:r>
            <w:r>
              <w:rPr>
                <w:rFonts w:hint="eastAsia"/>
                <w:b/>
                <w:bCs w:val="0"/>
                <w:color w:val="auto"/>
                <w:sz w:val="21"/>
                <w:szCs w:val="21"/>
                <w:highlight w:val="none"/>
                <w:lang w:val="en-US" w:eastAsia="zh-CN"/>
              </w:rPr>
              <w:t>1</w:t>
            </w:r>
            <w:r>
              <w:rPr>
                <w:rFonts w:hint="default" w:ascii="Times New Roman" w:hAnsi="Times New Roman" w:eastAsia="宋体"/>
                <w:b/>
                <w:bCs w:val="0"/>
                <w:color w:val="auto"/>
                <w:sz w:val="21"/>
                <w:szCs w:val="21"/>
                <w:highlight w:val="none"/>
                <w:lang w:val="en-US" w:eastAsia="zh-CN"/>
              </w:rPr>
              <w:t xml:space="preserve">  </w:t>
            </w:r>
            <w:r>
              <w:rPr>
                <w:rFonts w:hint="eastAsia"/>
                <w:b/>
                <w:bCs w:val="0"/>
                <w:color w:val="auto"/>
                <w:sz w:val="21"/>
                <w:szCs w:val="21"/>
                <w:highlight w:val="none"/>
                <w:lang w:val="en-US" w:eastAsia="zh-CN"/>
              </w:rPr>
              <w:t>项目检测数据对比表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992"/>
              <w:gridCol w:w="992"/>
              <w:gridCol w:w="992"/>
              <w:gridCol w:w="992"/>
              <w:gridCol w:w="992"/>
              <w:gridCol w:w="992"/>
              <w:gridCol w:w="992"/>
              <w:gridCol w:w="992"/>
              <w:gridCol w:w="7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restart"/>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0"/>
                      <w:vertAlign w:val="baseline"/>
                      <w:lang w:val="en-US" w:eastAsia="zh-CN"/>
                    </w:rPr>
                  </w:pPr>
                  <w:r>
                    <w:rPr>
                      <w:rFonts w:hint="eastAsia" w:ascii="Times New Roman" w:hAnsi="Times New Roman" w:eastAsia="宋体" w:cs="Times New Roman"/>
                      <w:color w:val="auto"/>
                      <w:sz w:val="21"/>
                      <w:szCs w:val="20"/>
                      <w:vertAlign w:val="baseline"/>
                      <w:lang w:val="en-US" w:eastAsia="zh-CN"/>
                    </w:rPr>
                    <w:t>污染物</w:t>
                  </w:r>
                </w:p>
              </w:tc>
              <w:tc>
                <w:tcPr>
                  <w:tcW w:w="3968" w:type="dxa"/>
                  <w:gridSpan w:val="4"/>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检测期间生产负荷90%情况下</w:t>
                  </w:r>
                </w:p>
              </w:tc>
              <w:tc>
                <w:tcPr>
                  <w:tcW w:w="3968" w:type="dxa"/>
                  <w:gridSpan w:val="4"/>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折算为满负荷情况下</w:t>
                  </w:r>
                </w:p>
              </w:tc>
              <w:tc>
                <w:tcPr>
                  <w:tcW w:w="792" w:type="dxa"/>
                  <w:vMerge w:val="restart"/>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0"/>
                      <w:vertAlign w:val="baseline"/>
                      <w:lang w:val="en-US" w:eastAsia="zh-CN"/>
                    </w:rPr>
                  </w:pP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0"/>
                      <w:szCs w:val="18"/>
                      <w:vertAlign w:val="baseline"/>
                      <w:lang w:val="en-US" w:eastAsia="zh-CN"/>
                    </w:rPr>
                  </w:pPr>
                  <w:r>
                    <w:rPr>
                      <w:rFonts w:hint="eastAsia" w:ascii="Times New Roman" w:hAnsi="Times New Roman" w:eastAsia="宋体" w:cs="Times New Roman"/>
                      <w:color w:val="auto"/>
                      <w:sz w:val="20"/>
                      <w:szCs w:val="18"/>
                      <w:vertAlign w:val="baseline"/>
                      <w:lang w:val="en-US" w:eastAsia="zh-CN"/>
                    </w:rPr>
                    <w:t>实测浓度</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0"/>
                      <w:szCs w:val="18"/>
                      <w:vertAlign w:val="baseline"/>
                      <w:lang w:val="en-US" w:eastAsia="zh-CN"/>
                    </w:rPr>
                  </w:pPr>
                  <w:r>
                    <w:rPr>
                      <w:rFonts w:hint="eastAsia" w:ascii="Times New Roman" w:hAnsi="Times New Roman" w:eastAsia="宋体" w:cs="Times New Roman"/>
                      <w:color w:val="auto"/>
                      <w:sz w:val="20"/>
                      <w:szCs w:val="18"/>
                      <w:vertAlign w:val="baseline"/>
                      <w:lang w:val="en-US" w:eastAsia="zh-CN"/>
                    </w:rPr>
                    <w:t>折算浓度</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0"/>
                      <w:szCs w:val="18"/>
                      <w:vertAlign w:val="baseline"/>
                      <w:lang w:val="en-US" w:eastAsia="zh-CN"/>
                    </w:rPr>
                  </w:pPr>
                  <w:r>
                    <w:rPr>
                      <w:rFonts w:hint="eastAsia" w:ascii="Times New Roman" w:hAnsi="Times New Roman" w:eastAsia="宋体" w:cs="Times New Roman"/>
                      <w:color w:val="auto"/>
                      <w:sz w:val="20"/>
                      <w:szCs w:val="18"/>
                      <w:vertAlign w:val="baseline"/>
                      <w:lang w:val="en-US" w:eastAsia="zh-CN"/>
                    </w:rPr>
                    <w:t>排放速率</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0"/>
                      <w:szCs w:val="18"/>
                      <w:vertAlign w:val="baseline"/>
                      <w:lang w:val="en-US" w:eastAsia="zh-CN"/>
                    </w:rPr>
                  </w:pPr>
                  <w:r>
                    <w:rPr>
                      <w:rFonts w:hint="eastAsia" w:ascii="Times New Roman" w:hAnsi="Times New Roman" w:eastAsia="宋体" w:cs="Times New Roman"/>
                      <w:color w:val="auto"/>
                      <w:sz w:val="20"/>
                      <w:szCs w:val="18"/>
                      <w:vertAlign w:val="baseline"/>
                      <w:lang w:val="en-US" w:eastAsia="zh-CN"/>
                    </w:rPr>
                    <w:t>排放量</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0"/>
                      <w:szCs w:val="18"/>
                      <w:vertAlign w:val="baseline"/>
                      <w:lang w:val="en-US" w:eastAsia="zh-CN"/>
                    </w:rPr>
                  </w:pPr>
                  <w:r>
                    <w:rPr>
                      <w:rFonts w:hint="eastAsia" w:ascii="Times New Roman" w:hAnsi="Times New Roman" w:eastAsia="宋体" w:cs="Times New Roman"/>
                      <w:color w:val="auto"/>
                      <w:sz w:val="20"/>
                      <w:szCs w:val="18"/>
                      <w:vertAlign w:val="baseline"/>
                      <w:lang w:val="en-US" w:eastAsia="zh-CN"/>
                    </w:rPr>
                    <w:t>实测浓度</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0"/>
                      <w:szCs w:val="18"/>
                      <w:vertAlign w:val="baseline"/>
                      <w:lang w:val="en-US" w:eastAsia="zh-CN"/>
                    </w:rPr>
                  </w:pPr>
                  <w:r>
                    <w:rPr>
                      <w:rFonts w:hint="eastAsia" w:ascii="Times New Roman" w:hAnsi="Times New Roman" w:eastAsia="宋体" w:cs="Times New Roman"/>
                      <w:color w:val="auto"/>
                      <w:sz w:val="20"/>
                      <w:szCs w:val="18"/>
                      <w:vertAlign w:val="baseline"/>
                      <w:lang w:val="en-US" w:eastAsia="zh-CN"/>
                    </w:rPr>
                    <w:t>折算浓度</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0"/>
                      <w:szCs w:val="18"/>
                      <w:vertAlign w:val="baseline"/>
                      <w:lang w:val="en-US" w:eastAsia="zh-CN"/>
                    </w:rPr>
                  </w:pPr>
                  <w:r>
                    <w:rPr>
                      <w:rFonts w:hint="eastAsia" w:ascii="Times New Roman" w:hAnsi="Times New Roman" w:eastAsia="宋体" w:cs="Times New Roman"/>
                      <w:color w:val="auto"/>
                      <w:sz w:val="20"/>
                      <w:szCs w:val="18"/>
                      <w:vertAlign w:val="baseline"/>
                      <w:lang w:val="en-US" w:eastAsia="zh-CN"/>
                    </w:rPr>
                    <w:t>排放速率</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0"/>
                      <w:szCs w:val="18"/>
                      <w:vertAlign w:val="baseline"/>
                      <w:lang w:val="en-US" w:eastAsia="zh-CN"/>
                    </w:rPr>
                  </w:pPr>
                  <w:r>
                    <w:rPr>
                      <w:rFonts w:hint="eastAsia" w:ascii="Times New Roman" w:hAnsi="Times New Roman" w:eastAsia="宋体" w:cs="Times New Roman"/>
                      <w:color w:val="auto"/>
                      <w:sz w:val="20"/>
                      <w:szCs w:val="18"/>
                      <w:vertAlign w:val="baseline"/>
                      <w:lang w:val="en-US" w:eastAsia="zh-CN"/>
                    </w:rPr>
                    <w:t>排放量</w:t>
                  </w:r>
                </w:p>
              </w:tc>
              <w:tc>
                <w:tcPr>
                  <w:tcW w:w="792" w:type="dxa"/>
                  <w:vMerge w:val="continue"/>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0"/>
                      <w:vertAlign w:val="baseline"/>
                      <w:lang w:val="en-US" w:eastAsia="zh-CN"/>
                    </w:rPr>
                  </w:pPr>
                  <w:r>
                    <w:rPr>
                      <w:rFonts w:hint="eastAsia" w:ascii="Times New Roman" w:hAnsi="Times New Roman" w:eastAsia="宋体" w:cs="Times New Roman"/>
                      <w:color w:val="auto"/>
                      <w:sz w:val="21"/>
                      <w:szCs w:val="20"/>
                      <w:vertAlign w:val="baseline"/>
                      <w:lang w:val="en-US" w:eastAsia="zh-CN"/>
                    </w:rPr>
                    <w:t>颗粒物</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3.3</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8.6</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szCs w:val="21"/>
                      <w:vertAlign w:val="superscript"/>
                      <w:lang w:val="en-US" w:eastAsia="zh-CN"/>
                    </w:rPr>
                  </w:pPr>
                  <w:r>
                    <w:rPr>
                      <w:rFonts w:hint="eastAsia" w:ascii="Times New Roman" w:hAnsi="Times New Roman" w:eastAsia="宋体" w:cs="Times New Roman"/>
                      <w:color w:val="auto"/>
                      <w:sz w:val="21"/>
                      <w:vertAlign w:val="baseline"/>
                      <w:lang w:val="en-US" w:eastAsia="zh-CN"/>
                    </w:rPr>
                    <w:t>4.8</w:t>
                  </w:r>
                  <w:r>
                    <w:rPr>
                      <w:rFonts w:hint="default" w:ascii="Arial" w:hAnsi="Arial" w:cs="Arial"/>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10</w:t>
                  </w:r>
                  <w:r>
                    <w:rPr>
                      <w:rFonts w:hint="eastAsia" w:ascii="Times New Roman" w:hAnsi="Times New Roman" w:cs="Times New Roman"/>
                      <w:color w:val="auto"/>
                      <w:sz w:val="21"/>
                      <w:szCs w:val="21"/>
                      <w:vertAlign w:val="superscript"/>
                      <w:lang w:val="en-US" w:eastAsia="zh-CN"/>
                    </w:rPr>
                    <w:t>-2</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color w:val="auto"/>
                      <w:sz w:val="21"/>
                      <w:szCs w:val="21"/>
                      <w:vertAlign w:val="superscript"/>
                      <w:lang w:val="en-US" w:eastAsia="zh-CN"/>
                    </w:rPr>
                  </w:pPr>
                  <w:r>
                    <w:rPr>
                      <w:rFonts w:hint="eastAsia" w:ascii="Times New Roman" w:hAnsi="Times New Roman" w:cs="Times New Roman"/>
                      <w:color w:val="auto"/>
                      <w:sz w:val="21"/>
                      <w:szCs w:val="21"/>
                      <w:vertAlign w:val="baseline"/>
                      <w:lang w:val="en-US" w:eastAsia="zh-CN"/>
                    </w:rPr>
                    <w:t>kg/h</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0.37</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t/a</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3.7</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9.6</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szCs w:val="21"/>
                      <w:vertAlign w:val="superscript"/>
                      <w:lang w:val="en-US" w:eastAsia="zh-CN"/>
                    </w:rPr>
                  </w:pPr>
                  <w:r>
                    <w:rPr>
                      <w:rFonts w:hint="eastAsia" w:ascii="Times New Roman" w:hAnsi="Times New Roman" w:cs="Times New Roman"/>
                      <w:color w:val="auto"/>
                      <w:sz w:val="21"/>
                      <w:vertAlign w:val="baseline"/>
                      <w:lang w:val="en-US" w:eastAsia="zh-CN"/>
                    </w:rPr>
                    <w:t>5.3</w:t>
                  </w:r>
                  <w:r>
                    <w:rPr>
                      <w:rFonts w:hint="default" w:ascii="Arial" w:hAnsi="Arial" w:cs="Arial"/>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10</w:t>
                  </w:r>
                  <w:r>
                    <w:rPr>
                      <w:rFonts w:hint="eastAsia" w:ascii="Times New Roman" w:hAnsi="Times New Roman" w:cs="Times New Roman"/>
                      <w:color w:val="auto"/>
                      <w:sz w:val="21"/>
                      <w:szCs w:val="21"/>
                      <w:vertAlign w:val="superscript"/>
                      <w:lang w:val="en-US" w:eastAsia="zh-CN"/>
                    </w:rPr>
                    <w:t>-2</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cs="Times New Roman"/>
                      <w:color w:val="auto"/>
                      <w:sz w:val="21"/>
                      <w:szCs w:val="21"/>
                      <w:vertAlign w:val="baseline"/>
                      <w:lang w:val="en-US" w:eastAsia="zh-CN"/>
                    </w:rPr>
                    <w:t>kg/h</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0.46</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t/a</w:t>
                  </w:r>
                </w:p>
              </w:tc>
              <w:tc>
                <w:tcPr>
                  <w:tcW w:w="7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SO</w:t>
                  </w:r>
                  <w:r>
                    <w:rPr>
                      <w:rFonts w:hint="eastAsia" w:ascii="Times New Roman" w:hAnsi="Times New Roman" w:eastAsia="宋体" w:cs="Times New Roman"/>
                      <w:color w:val="auto"/>
                      <w:sz w:val="21"/>
                      <w:vertAlign w:val="subscript"/>
                      <w:lang w:val="en-US" w:eastAsia="zh-CN"/>
                    </w:rPr>
                    <w:t>2</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4.0</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11</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szCs w:val="21"/>
                      <w:vertAlign w:val="superscript"/>
                      <w:lang w:val="en-US" w:eastAsia="zh-CN"/>
                    </w:rPr>
                  </w:pPr>
                  <w:r>
                    <w:rPr>
                      <w:rFonts w:hint="eastAsia" w:ascii="Times New Roman" w:hAnsi="Times New Roman" w:cs="Times New Roman"/>
                      <w:color w:val="auto"/>
                      <w:sz w:val="21"/>
                      <w:vertAlign w:val="baseline"/>
                      <w:lang w:val="en-US" w:eastAsia="zh-CN"/>
                    </w:rPr>
                    <w:t>6.34</w:t>
                  </w:r>
                  <w:r>
                    <w:rPr>
                      <w:rFonts w:hint="default" w:ascii="Arial" w:hAnsi="Arial" w:cs="Arial"/>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10</w:t>
                  </w:r>
                  <w:r>
                    <w:rPr>
                      <w:rFonts w:hint="eastAsia" w:ascii="Times New Roman" w:hAnsi="Times New Roman" w:cs="Times New Roman"/>
                      <w:color w:val="auto"/>
                      <w:sz w:val="21"/>
                      <w:szCs w:val="21"/>
                      <w:vertAlign w:val="superscript"/>
                      <w:lang w:val="en-US" w:eastAsia="zh-CN"/>
                    </w:rPr>
                    <w:t>-2</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cs="Times New Roman"/>
                      <w:color w:val="auto"/>
                      <w:sz w:val="21"/>
                      <w:szCs w:val="21"/>
                      <w:vertAlign w:val="baseline"/>
                      <w:lang w:val="en-US" w:eastAsia="zh-CN"/>
                    </w:rPr>
                    <w:t>kg/h</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0.49</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t/a</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4.4</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12.2</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szCs w:val="21"/>
                      <w:vertAlign w:val="superscript"/>
                      <w:lang w:val="en-US" w:eastAsia="zh-CN"/>
                    </w:rPr>
                  </w:pPr>
                  <w:r>
                    <w:rPr>
                      <w:rFonts w:hint="eastAsia" w:ascii="Times New Roman" w:hAnsi="Times New Roman" w:cs="Times New Roman"/>
                      <w:color w:val="auto"/>
                      <w:sz w:val="21"/>
                      <w:vertAlign w:val="baseline"/>
                      <w:lang w:val="en-US" w:eastAsia="zh-CN"/>
                    </w:rPr>
                    <w:t>7.04</w:t>
                  </w:r>
                  <w:r>
                    <w:rPr>
                      <w:rFonts w:hint="default" w:ascii="Arial" w:hAnsi="Arial" w:cs="Arial"/>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10</w:t>
                  </w:r>
                  <w:r>
                    <w:rPr>
                      <w:rFonts w:hint="eastAsia" w:ascii="Times New Roman" w:hAnsi="Times New Roman" w:cs="Times New Roman"/>
                      <w:color w:val="auto"/>
                      <w:sz w:val="21"/>
                      <w:szCs w:val="21"/>
                      <w:vertAlign w:val="superscript"/>
                      <w:lang w:val="en-US" w:eastAsia="zh-CN"/>
                    </w:rPr>
                    <w:t>-2</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cs="Times New Roman"/>
                      <w:color w:val="auto"/>
                      <w:sz w:val="21"/>
                      <w:szCs w:val="21"/>
                      <w:vertAlign w:val="baseline"/>
                      <w:lang w:val="en-US" w:eastAsia="zh-CN"/>
                    </w:rPr>
                    <w:t>kg/h</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0.61</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t/a</w:t>
                  </w:r>
                </w:p>
              </w:tc>
              <w:tc>
                <w:tcPr>
                  <w:tcW w:w="7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NOx</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15</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39</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0.216</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cs="Times New Roman"/>
                      <w:color w:val="auto"/>
                      <w:sz w:val="21"/>
                      <w:szCs w:val="21"/>
                      <w:vertAlign w:val="baseline"/>
                      <w:lang w:val="en-US" w:eastAsia="zh-CN"/>
                    </w:rPr>
                    <w:t>kg/h</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1.66</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t/a</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16.7</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43.3</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mg/m</w:t>
                  </w:r>
                  <w:r>
                    <w:rPr>
                      <w:rFonts w:hint="eastAsia" w:ascii="Times New Roman" w:hAnsi="Times New Roman" w:eastAsia="宋体" w:cs="Times New Roman"/>
                      <w:color w:val="auto"/>
                      <w:sz w:val="21"/>
                      <w:vertAlign w:val="superscript"/>
                      <w:lang w:val="en-US" w:eastAsia="zh-CN"/>
                    </w:rPr>
                    <w:t>3</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szCs w:val="21"/>
                      <w:vertAlign w:val="superscript"/>
                      <w:lang w:val="en-US" w:eastAsia="zh-CN"/>
                    </w:rPr>
                  </w:pPr>
                  <w:r>
                    <w:rPr>
                      <w:rFonts w:hint="eastAsia" w:ascii="Times New Roman" w:hAnsi="Times New Roman" w:cs="Times New Roman"/>
                      <w:color w:val="auto"/>
                      <w:sz w:val="21"/>
                      <w:vertAlign w:val="baseline"/>
                      <w:lang w:val="en-US" w:eastAsia="zh-CN"/>
                    </w:rPr>
                    <w:t>0.24</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cs="Times New Roman"/>
                      <w:color w:val="auto"/>
                      <w:sz w:val="21"/>
                      <w:szCs w:val="21"/>
                      <w:vertAlign w:val="baseline"/>
                      <w:lang w:val="en-US" w:eastAsia="zh-CN"/>
                    </w:rPr>
                    <w:t>kg/h</w:t>
                  </w:r>
                </w:p>
              </w:tc>
              <w:tc>
                <w:tcPr>
                  <w:tcW w:w="9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2.07</w:t>
                  </w:r>
                </w:p>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t/a</w:t>
                  </w:r>
                </w:p>
              </w:tc>
              <w:tc>
                <w:tcPr>
                  <w:tcW w:w="792" w:type="dxa"/>
                  <w:tcBorders>
                    <w:tl2br w:val="nil"/>
                    <w:tr2bl w:val="nil"/>
                  </w:tcBorders>
                  <w:vAlign w:val="center"/>
                </w:tcPr>
                <w:p>
                  <w:pPr>
                    <w:pStyle w:val="62"/>
                    <w:keepNext w:val="0"/>
                    <w:keepLines/>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vertAlign w:val="baseline"/>
                      <w:lang w:val="en-US" w:eastAsia="zh-CN"/>
                    </w:rPr>
                  </w:pPr>
                  <w:r>
                    <w:rPr>
                      <w:rFonts w:hint="eastAsia" w:ascii="Times New Roman" w:hAnsi="Times New Roman" w:eastAsia="宋体" w:cs="Times New Roman"/>
                      <w:color w:val="auto"/>
                      <w:sz w:val="21"/>
                      <w:vertAlign w:val="baseline"/>
                      <w:lang w:val="en-US" w:eastAsia="zh-CN"/>
                    </w:rPr>
                    <w:t>达标</w:t>
                  </w:r>
                </w:p>
              </w:tc>
            </w:tr>
          </w:tbl>
          <w:p>
            <w:pPr>
              <w:pStyle w:val="62"/>
              <w:keepNext w:val="0"/>
              <w:keepLines/>
              <w:pageBreakBefore w:val="0"/>
              <w:widowControl/>
              <w:kinsoku/>
              <w:wordWrap/>
              <w:overflowPunct/>
              <w:topLinePunct w:val="0"/>
              <w:autoSpaceDE/>
              <w:autoSpaceDN/>
              <w:bidi w:val="0"/>
              <w:adjustRightInd/>
              <w:snapToGrid/>
              <w:spacing w:line="360" w:lineRule="auto"/>
              <w:ind w:left="0" w:leftChars="0" w:right="0" w:rightChars="0" w:firstLine="460" w:firstLineChars="200"/>
              <w:jc w:val="both"/>
              <w:textAlignment w:val="auto"/>
              <w:outlineLvl w:val="9"/>
              <w:rPr>
                <w:rFonts w:hint="default" w:ascii="Times New Roman" w:hAnsi="Times New Roman" w:cs="Times New Roman"/>
                <w:bCs/>
                <w:color w:val="auto"/>
                <w:kern w:val="10"/>
                <w:sz w:val="24"/>
                <w:szCs w:val="21"/>
                <w:vertAlign w:val="baseline"/>
                <w:lang w:val="en-US" w:eastAsia="zh-CN" w:bidi="ar-SA"/>
              </w:rPr>
            </w:pPr>
            <w:r>
              <w:rPr>
                <w:rFonts w:hint="eastAsia" w:ascii="Times New Roman" w:hAnsi="Times New Roman" w:eastAsia="宋体" w:cs="Times New Roman"/>
                <w:color w:val="auto"/>
                <w:sz w:val="24"/>
                <w:lang w:val="en-US" w:eastAsia="zh-CN"/>
              </w:rPr>
              <w:t>项目以尿素作为还原剂进行脱硝，若尿素溶液喷淋过量则会造成少量的氨逃逸，</w:t>
            </w:r>
            <w:r>
              <w:rPr>
                <w:rFonts w:hint="eastAsia" w:ascii="Times New Roman" w:hAnsi="Times New Roman" w:eastAsia="宋体" w:cs="Times New Roman"/>
                <w:color w:val="auto"/>
                <w:sz w:val="24"/>
                <w:lang w:eastAsia="zh-CN"/>
              </w:rPr>
              <w:t>尿素中的的氨分子的化学键即使尿素溶液被加热到位</w:t>
            </w:r>
            <w:r>
              <w:rPr>
                <w:rFonts w:hint="eastAsia" w:ascii="Times New Roman" w:hAnsi="Times New Roman" w:eastAsia="宋体" w:cs="Times New Roman"/>
                <w:color w:val="auto"/>
                <w:sz w:val="24"/>
                <w:lang w:val="en-US" w:eastAsia="zh-CN"/>
              </w:rPr>
              <w:t>106</w:t>
            </w:r>
            <w:r>
              <w:rPr>
                <w:rFonts w:hint="eastAsia" w:ascii="Times New Roman" w:hAnsi="Times New Roman" w:eastAsia="宋体" w:cs="宋体"/>
                <w:color w:val="auto"/>
                <w:sz w:val="24"/>
                <w:lang w:val="en-US" w:eastAsia="zh-CN"/>
              </w:rPr>
              <w:t>℃也不会有氨气蒸发出来。尿素分解为氨和二氧化碳的过程必须在温度高于130℃才开始，分解效率的峰值温度为380℃。在尿素溶液存储时是不会达到如此高的温度的，因此尿素溶液存储时不会有氨挥发。</w:t>
            </w:r>
            <w:r>
              <w:rPr>
                <w:rFonts w:hint="eastAsia" w:ascii="Times New Roman" w:hAnsi="Times New Roman" w:eastAsia="宋体" w:cs="Times New Roman"/>
                <w:color w:val="auto"/>
                <w:sz w:val="24"/>
                <w:lang w:eastAsia="zh-CN"/>
              </w:rPr>
              <w:t>烟气脱硝</w:t>
            </w:r>
            <w:r>
              <w:rPr>
                <w:rFonts w:hint="eastAsia" w:ascii="Times New Roman" w:hAnsi="Times New Roman" w:eastAsia="宋体" w:cs="Times New Roman"/>
                <w:color w:val="auto"/>
                <w:sz w:val="24"/>
                <w:lang w:val="en-US" w:eastAsia="zh-CN"/>
              </w:rPr>
              <w:t>SCR装置出口有少量氨逃逸，类比莱城电厂SCR装置出口氨逃逸浓度控制在1</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vertAlign w:val="baseline"/>
                <w:lang w:eastAsia="zh-CN"/>
              </w:rPr>
              <w:t>，</w:t>
            </w:r>
            <w:r>
              <w:rPr>
                <w:rFonts w:hint="eastAsia" w:ascii="Times New Roman" w:hAnsi="Times New Roman" w:eastAsia="宋体" w:cs="Times New Roman"/>
                <w:color w:val="auto"/>
                <w:sz w:val="24"/>
                <w:vertAlign w:val="baseline"/>
                <w:lang w:val="en-US" w:eastAsia="zh-CN"/>
              </w:rPr>
              <w:t>则排放源强控制在0.015kg/h。</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eastAsia="宋体"/>
                <w:b/>
                <w:bCs w:val="0"/>
                <w:color w:val="auto"/>
                <w:sz w:val="21"/>
                <w:szCs w:val="21"/>
                <w:highlight w:val="none"/>
                <w:lang w:val="en-US" w:eastAsia="zh-CN"/>
              </w:rPr>
            </w:pPr>
            <w:r>
              <w:rPr>
                <w:rFonts w:hint="default" w:ascii="Times New Roman" w:hAnsi="Times New Roman" w:eastAsia="宋体"/>
                <w:b/>
                <w:bCs w:val="0"/>
                <w:color w:val="auto"/>
                <w:sz w:val="21"/>
                <w:szCs w:val="21"/>
                <w:highlight w:val="none"/>
                <w:lang w:val="en-US" w:eastAsia="zh-CN"/>
              </w:rPr>
              <w:t>表</w:t>
            </w:r>
            <w:r>
              <w:rPr>
                <w:rFonts w:hint="eastAsia" w:ascii="Times New Roman" w:hAnsi="Times New Roman" w:eastAsia="宋体"/>
                <w:b/>
                <w:bCs w:val="0"/>
                <w:color w:val="auto"/>
                <w:sz w:val="21"/>
                <w:szCs w:val="21"/>
                <w:highlight w:val="none"/>
                <w:lang w:val="en-US" w:eastAsia="zh-CN"/>
              </w:rPr>
              <w:t>5</w:t>
            </w:r>
            <w:r>
              <w:rPr>
                <w:rFonts w:hint="default" w:ascii="Times New Roman" w:hAnsi="Times New Roman" w:eastAsia="宋体"/>
                <w:b/>
                <w:bCs w:val="0"/>
                <w:color w:val="auto"/>
                <w:sz w:val="21"/>
                <w:szCs w:val="21"/>
                <w:highlight w:val="none"/>
                <w:lang w:val="en-US" w:eastAsia="zh-CN"/>
              </w:rPr>
              <w:t>-</w:t>
            </w:r>
            <w:r>
              <w:rPr>
                <w:rFonts w:hint="eastAsia"/>
                <w:b/>
                <w:bCs w:val="0"/>
                <w:color w:val="auto"/>
                <w:sz w:val="21"/>
                <w:szCs w:val="21"/>
                <w:highlight w:val="none"/>
                <w:lang w:val="en-US" w:eastAsia="zh-CN"/>
              </w:rPr>
              <w:t>2</w:t>
            </w:r>
            <w:r>
              <w:rPr>
                <w:rFonts w:hint="default" w:ascii="Times New Roman" w:hAnsi="Times New Roman" w:eastAsia="宋体"/>
                <w:b/>
                <w:bCs w:val="0"/>
                <w:color w:val="auto"/>
                <w:sz w:val="21"/>
                <w:szCs w:val="21"/>
                <w:highlight w:val="none"/>
                <w:lang w:val="en-US" w:eastAsia="zh-CN"/>
              </w:rPr>
              <w:t xml:space="preserve">  </w:t>
            </w:r>
            <w:r>
              <w:rPr>
                <w:rFonts w:hint="eastAsia" w:ascii="Times New Roman" w:hAnsi="Times New Roman"/>
                <w:b/>
                <w:bCs w:val="0"/>
                <w:color w:val="auto"/>
                <w:sz w:val="21"/>
                <w:szCs w:val="21"/>
                <w:highlight w:val="none"/>
                <w:lang w:val="en-US" w:eastAsia="zh-CN"/>
              </w:rPr>
              <w:t>P1点源参数</w:t>
            </w:r>
            <w:r>
              <w:rPr>
                <w:rFonts w:hint="default" w:ascii="Times New Roman" w:hAnsi="Times New Roman" w:eastAsia="宋体"/>
                <w:b/>
                <w:bCs w:val="0"/>
                <w:color w:val="auto"/>
                <w:sz w:val="21"/>
                <w:szCs w:val="21"/>
                <w:highlight w:val="none"/>
                <w:lang w:val="en-US" w:eastAsia="zh-CN"/>
              </w:rPr>
              <w:t>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8"/>
              <w:gridCol w:w="1139"/>
              <w:gridCol w:w="770"/>
              <w:gridCol w:w="770"/>
              <w:gridCol w:w="770"/>
              <w:gridCol w:w="770"/>
              <w:gridCol w:w="770"/>
              <w:gridCol w:w="773"/>
              <w:gridCol w:w="880"/>
              <w:gridCol w:w="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8" w:hRule="atLeast"/>
                <w:jc w:val="center"/>
              </w:trPr>
              <w:tc>
                <w:tcPr>
                  <w:tcW w:w="709"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排气筒编号</w:t>
                  </w:r>
                </w:p>
              </w:tc>
              <w:tc>
                <w:tcPr>
                  <w:tcW w:w="2277" w:type="dxa"/>
                  <w:gridSpan w:val="2"/>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排气筒底部中心坐标</w:t>
                  </w:r>
                </w:p>
              </w:tc>
              <w:tc>
                <w:tcPr>
                  <w:tcW w:w="770"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eastAsia" w:ascii="Times New Roman" w:hAnsi="Times New Roman" w:cs="Times New Roman"/>
                      <w:color w:val="auto"/>
                      <w:szCs w:val="21"/>
                      <w:highlight w:val="none"/>
                      <w:lang w:val="en-GB" w:eastAsia="zh-CN"/>
                    </w:rPr>
                    <w:t>排气筒高度</w:t>
                  </w:r>
                  <w:r>
                    <w:rPr>
                      <w:rFonts w:hint="default" w:ascii="Times New Roman" w:hAnsi="Times New Roman" w:cs="Times New Roman"/>
                      <w:color w:val="auto"/>
                      <w:szCs w:val="21"/>
                      <w:highlight w:val="none"/>
                      <w:lang w:val="en-GB"/>
                    </w:rPr>
                    <w:t>/m</w:t>
                  </w:r>
                </w:p>
              </w:tc>
              <w:tc>
                <w:tcPr>
                  <w:tcW w:w="770"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排气筒出口内径/m</w:t>
                  </w:r>
                </w:p>
              </w:tc>
              <w:tc>
                <w:tcPr>
                  <w:tcW w:w="770"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烟气</w:t>
                  </w:r>
                </w:p>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流速/（m/s）</w:t>
                  </w:r>
                </w:p>
              </w:tc>
              <w:tc>
                <w:tcPr>
                  <w:tcW w:w="770"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烟气出口温度/℃</w:t>
                  </w:r>
                </w:p>
              </w:tc>
              <w:tc>
                <w:tcPr>
                  <w:tcW w:w="770"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年排放时间/h</w:t>
                  </w:r>
                </w:p>
              </w:tc>
              <w:tc>
                <w:tcPr>
                  <w:tcW w:w="773"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排放工况</w:t>
                  </w:r>
                </w:p>
              </w:tc>
              <w:tc>
                <w:tcPr>
                  <w:tcW w:w="1745" w:type="dxa"/>
                  <w:gridSpan w:val="2"/>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污染物排放速率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1138" w:type="dxa"/>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X</w:t>
                  </w:r>
                </w:p>
              </w:tc>
              <w:tc>
                <w:tcPr>
                  <w:tcW w:w="1139" w:type="dxa"/>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Y</w:t>
                  </w:r>
                </w:p>
              </w:tc>
              <w:tc>
                <w:tcPr>
                  <w:tcW w:w="770"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70"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70"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70"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70"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73"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88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污染物</w:t>
                  </w:r>
                </w:p>
              </w:tc>
              <w:tc>
                <w:tcPr>
                  <w:tcW w:w="865" w:type="dxa"/>
                  <w:tcBorders>
                    <w:tl2br w:val="nil"/>
                    <w:tr2bl w:val="nil"/>
                  </w:tcBorders>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g/s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09" w:type="dxa"/>
                  <w:vMerge w:val="restart"/>
                  <w:tcBorders>
                    <w:tl2br w:val="nil"/>
                    <w:tr2bl w:val="nil"/>
                  </w:tcBorders>
                  <w:noWrap w:val="0"/>
                  <w:vAlign w:val="center"/>
                </w:tcPr>
                <w:p>
                  <w:pPr>
                    <w:jc w:val="center"/>
                    <w:rPr>
                      <w:rFonts w:hint="eastAsia" w:ascii="Times New Roman" w:hAnsi="Times New Roman" w:eastAsia="宋体" w:cs="Times New Roman"/>
                      <w:color w:val="auto"/>
                      <w:szCs w:val="21"/>
                      <w:highlight w:val="none"/>
                      <w:lang w:val="en-GB" w:eastAsia="zh-CN"/>
                    </w:rPr>
                  </w:pPr>
                  <w:r>
                    <w:rPr>
                      <w:rFonts w:hint="default" w:ascii="Times New Roman" w:hAnsi="Times New Roman" w:cs="Times New Roman"/>
                      <w:color w:val="auto"/>
                      <w:szCs w:val="21"/>
                      <w:highlight w:val="none"/>
                      <w:lang w:val="en-GB"/>
                    </w:rPr>
                    <w:t>P</w:t>
                  </w:r>
                  <w:r>
                    <w:rPr>
                      <w:rFonts w:hint="eastAsia" w:ascii="Times New Roman" w:hAnsi="Times New Roman" w:cs="Times New Roman"/>
                      <w:color w:val="auto"/>
                      <w:szCs w:val="21"/>
                      <w:highlight w:val="none"/>
                      <w:lang w:val="en-US" w:eastAsia="zh-CN"/>
                    </w:rPr>
                    <w:t>1</w:t>
                  </w:r>
                </w:p>
              </w:tc>
              <w:tc>
                <w:tcPr>
                  <w:tcW w:w="1138"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GB"/>
                    </w:rPr>
                    <w:t>E117</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799</w:t>
                  </w:r>
                  <w:r>
                    <w:rPr>
                      <w:rFonts w:hint="default" w:ascii="Times New Roman" w:hAnsi="Times New Roman" w:cs="Times New Roman"/>
                      <w:color w:val="auto"/>
                      <w:szCs w:val="21"/>
                      <w:highlight w:val="none"/>
                      <w:lang w:val="en-GB"/>
                    </w:rPr>
                    <w:t>°</w:t>
                  </w:r>
                </w:p>
              </w:tc>
              <w:tc>
                <w:tcPr>
                  <w:tcW w:w="1139"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GB"/>
                    </w:rPr>
                    <w:t>N</w:t>
                  </w:r>
                  <w:r>
                    <w:rPr>
                      <w:rFonts w:hint="default" w:ascii="Times New Roman" w:hAnsi="Times New Roman" w:cs="Times New Roman"/>
                      <w:color w:val="auto"/>
                      <w:szCs w:val="21"/>
                      <w:highlight w:val="none"/>
                      <w:lang w:val="en-US" w:eastAsia="zh-CN"/>
                    </w:rPr>
                    <w:t>36</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096</w:t>
                  </w:r>
                  <w:r>
                    <w:rPr>
                      <w:rFonts w:hint="default" w:ascii="Times New Roman" w:hAnsi="Times New Roman" w:cs="Times New Roman"/>
                      <w:color w:val="auto"/>
                      <w:szCs w:val="21"/>
                      <w:highlight w:val="none"/>
                      <w:lang w:val="en-GB"/>
                    </w:rPr>
                    <w:t>°</w:t>
                  </w:r>
                </w:p>
              </w:tc>
              <w:tc>
                <w:tcPr>
                  <w:tcW w:w="770"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w:t>
                  </w:r>
                </w:p>
              </w:tc>
              <w:tc>
                <w:tcPr>
                  <w:tcW w:w="770"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w:t>
                  </w:r>
                </w:p>
              </w:tc>
              <w:tc>
                <w:tcPr>
                  <w:tcW w:w="770"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8.4</w:t>
                  </w:r>
                </w:p>
              </w:tc>
              <w:tc>
                <w:tcPr>
                  <w:tcW w:w="770"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c>
                <w:tcPr>
                  <w:tcW w:w="770"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7680</w:t>
                  </w:r>
                </w:p>
              </w:tc>
              <w:tc>
                <w:tcPr>
                  <w:tcW w:w="773"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正常</w:t>
                  </w:r>
                </w:p>
              </w:tc>
              <w:tc>
                <w:tcPr>
                  <w:tcW w:w="88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GB"/>
                    </w:rPr>
                    <w:t>颗粒物</w:t>
                  </w:r>
                </w:p>
              </w:tc>
              <w:tc>
                <w:tcPr>
                  <w:tcW w:w="865"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09"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1138"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1139"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70" w:type="dxa"/>
                  <w:vMerge w:val="continue"/>
                  <w:tcBorders>
                    <w:tl2br w:val="nil"/>
                    <w:tr2bl w:val="nil"/>
                  </w:tcBorders>
                  <w:noWrap w:val="0"/>
                  <w:vAlign w:val="center"/>
                </w:tcPr>
                <w:p>
                  <w:pPr>
                    <w:jc w:val="center"/>
                    <w:rPr>
                      <w:rFonts w:hint="eastAsia" w:ascii="Times New Roman" w:hAnsi="Times New Roman"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ascii="Times New Roman" w:hAnsi="Times New Roman" w:cs="Times New Roman"/>
                      <w:color w:val="auto"/>
                      <w:szCs w:val="21"/>
                      <w:highlight w:val="none"/>
                      <w:lang w:val="en-US" w:eastAsia="zh-CN"/>
                    </w:rPr>
                  </w:pPr>
                </w:p>
              </w:tc>
              <w:tc>
                <w:tcPr>
                  <w:tcW w:w="773"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880"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SO</w:t>
                  </w:r>
                  <w:r>
                    <w:rPr>
                      <w:rFonts w:hint="eastAsia" w:ascii="Times New Roman" w:hAnsi="Times New Roman" w:cs="Times New Roman"/>
                      <w:color w:val="auto"/>
                      <w:szCs w:val="21"/>
                      <w:highlight w:val="none"/>
                      <w:vertAlign w:val="subscript"/>
                      <w:lang w:val="en-US" w:eastAsia="zh-CN"/>
                    </w:rPr>
                    <w:t>2</w:t>
                  </w:r>
                </w:p>
              </w:tc>
              <w:tc>
                <w:tcPr>
                  <w:tcW w:w="865"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0.0196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09"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1138"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1139"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70" w:type="dxa"/>
                  <w:vMerge w:val="continue"/>
                  <w:tcBorders>
                    <w:tl2br w:val="nil"/>
                    <w:tr2bl w:val="nil"/>
                  </w:tcBorders>
                  <w:noWrap w:val="0"/>
                  <w:vAlign w:val="center"/>
                </w:tcPr>
                <w:p>
                  <w:pPr>
                    <w:jc w:val="center"/>
                    <w:rPr>
                      <w:rFonts w:hint="eastAsia" w:ascii="Times New Roman" w:hAnsi="Times New Roman"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ascii="Times New Roman" w:hAnsi="Times New Roman" w:cs="Times New Roman"/>
                      <w:color w:val="auto"/>
                      <w:szCs w:val="21"/>
                      <w:highlight w:val="none"/>
                      <w:lang w:val="en-US" w:eastAsia="zh-CN"/>
                    </w:rPr>
                  </w:pPr>
                </w:p>
              </w:tc>
              <w:tc>
                <w:tcPr>
                  <w:tcW w:w="773"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880"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NOx</w:t>
                  </w:r>
                </w:p>
              </w:tc>
              <w:tc>
                <w:tcPr>
                  <w:tcW w:w="865"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0.067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09"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1138"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1139"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70" w:type="dxa"/>
                  <w:vMerge w:val="continue"/>
                  <w:tcBorders>
                    <w:tl2br w:val="nil"/>
                    <w:tr2bl w:val="nil"/>
                  </w:tcBorders>
                  <w:noWrap w:val="0"/>
                  <w:vAlign w:val="center"/>
                </w:tcPr>
                <w:p>
                  <w:pPr>
                    <w:jc w:val="center"/>
                    <w:rPr>
                      <w:rFonts w:hint="eastAsia" w:ascii="Times New Roman" w:hAnsi="Times New Roman"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770" w:type="dxa"/>
                  <w:vMerge w:val="continue"/>
                  <w:tcBorders>
                    <w:tl2br w:val="nil"/>
                    <w:tr2bl w:val="nil"/>
                  </w:tcBorders>
                  <w:noWrap w:val="0"/>
                  <w:vAlign w:val="center"/>
                </w:tcPr>
                <w:p>
                  <w:pPr>
                    <w:jc w:val="center"/>
                    <w:rPr>
                      <w:rFonts w:hint="eastAsia" w:ascii="Times New Roman" w:hAnsi="Times New Roman" w:cs="Times New Roman"/>
                      <w:color w:val="auto"/>
                      <w:szCs w:val="21"/>
                      <w:highlight w:val="none"/>
                      <w:lang w:val="en-US" w:eastAsia="zh-CN"/>
                    </w:rPr>
                  </w:pPr>
                </w:p>
              </w:tc>
              <w:tc>
                <w:tcPr>
                  <w:tcW w:w="773"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880"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NH</w:t>
                  </w:r>
                  <w:r>
                    <w:rPr>
                      <w:rFonts w:hint="eastAsia" w:cs="Times New Roman"/>
                      <w:color w:val="auto"/>
                      <w:szCs w:val="21"/>
                      <w:highlight w:val="none"/>
                      <w:vertAlign w:val="subscript"/>
                      <w:lang w:val="en-US" w:eastAsia="zh-CN"/>
                    </w:rPr>
                    <w:t>3</w:t>
                  </w:r>
                </w:p>
              </w:tc>
              <w:tc>
                <w:tcPr>
                  <w:tcW w:w="865" w:type="dxa"/>
                  <w:tcBorders>
                    <w:tl2br w:val="nil"/>
                    <w:tr2bl w:val="nil"/>
                  </w:tcBorders>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0.0042</w:t>
                  </w:r>
                </w:p>
              </w:tc>
            </w:tr>
          </w:tbl>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val="0"/>
                <w:color w:val="auto"/>
                <w:szCs w:val="24"/>
                <w:lang w:val="en-US" w:eastAsia="zh-CN"/>
              </w:rPr>
            </w:pPr>
            <w:r>
              <w:rPr>
                <w:rFonts w:hint="eastAsia" w:ascii="Times New Roman" w:hAnsi="Times New Roman" w:cs="Times New Roman"/>
                <w:b/>
                <w:bCs w:val="0"/>
                <w:color w:val="auto"/>
                <w:szCs w:val="24"/>
                <w:lang w:val="en-US" w:eastAsia="zh-CN"/>
              </w:rPr>
              <w:t>1.2无组织废气</w:t>
            </w:r>
          </w:p>
          <w:p>
            <w:p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项目</w:t>
            </w:r>
            <w:r>
              <w:rPr>
                <w:rFonts w:hint="eastAsia" w:cs="Times New Roman"/>
                <w:b w:val="0"/>
                <w:bCs w:val="0"/>
                <w:color w:val="auto"/>
                <w:sz w:val="24"/>
                <w:szCs w:val="24"/>
                <w:lang w:val="en-US" w:eastAsia="zh-CN"/>
              </w:rPr>
              <w:t>无组织废气主要为焊接工序产生的烟尘，经移动式烟尘净化器处理后无组织排放</w:t>
            </w:r>
            <w:r>
              <w:rPr>
                <w:rFonts w:hint="eastAsia" w:ascii="Times New Roman" w:hAnsi="Times New Roman" w:cs="Times New Roman"/>
                <w:b w:val="0"/>
                <w:bCs w:val="0"/>
                <w:color w:val="auto"/>
                <w:sz w:val="24"/>
                <w:szCs w:val="24"/>
                <w:lang w:val="en-US" w:eastAsia="zh-CN"/>
              </w:rPr>
              <w:t>。</w:t>
            </w:r>
          </w:p>
          <w:p>
            <w:pPr>
              <w:spacing w:line="360" w:lineRule="auto"/>
              <w:ind w:firstLine="482" w:firstLineChars="200"/>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（1）产污分析：</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cs="Times New Roman"/>
                <w:color w:val="auto"/>
                <w:highlight w:val="yellow"/>
                <w:lang w:val="en-US" w:eastAsia="zh-CN"/>
              </w:rPr>
            </w:pPr>
            <w:r>
              <w:rPr>
                <w:rFonts w:hint="eastAsia" w:ascii="Times New Roman" w:hAnsi="Times New Roman" w:cs="Times New Roman"/>
                <w:color w:val="auto"/>
                <w:highlight w:val="none"/>
                <w:lang w:val="en-US" w:eastAsia="zh-CN"/>
              </w:rPr>
              <w:t>本项目焊接方式为</w:t>
            </w:r>
            <w:r>
              <w:rPr>
                <w:rFonts w:hint="eastAsia" w:ascii="Times New Roman" w:cs="Times New Roman"/>
                <w:color w:val="auto"/>
                <w:highlight w:val="none"/>
                <w:lang w:val="en-US" w:eastAsia="zh-CN"/>
              </w:rPr>
              <w:t>手工电弧焊和氩弧焊</w:t>
            </w:r>
            <w:r>
              <w:rPr>
                <w:rFonts w:hint="eastAsia" w:ascii="Times New Roman" w:hAnsi="Times New Roman" w:cs="Times New Roman"/>
                <w:color w:val="auto"/>
                <w:highlight w:val="none"/>
                <w:lang w:val="en-US" w:eastAsia="zh-CN"/>
              </w:rPr>
              <w:t>，焊条年用量为</w:t>
            </w:r>
            <w:r>
              <w:rPr>
                <w:rFonts w:hint="eastAsia" w:asci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t/a，</w:t>
            </w:r>
            <w:r>
              <w:rPr>
                <w:rFonts w:hint="eastAsia" w:ascii="Times New Roman" w:cs="Times New Roman"/>
                <w:color w:val="auto"/>
                <w:highlight w:val="none"/>
                <w:lang w:val="en-US" w:eastAsia="zh-CN"/>
              </w:rPr>
              <w:t>实芯焊丝用量为2t/a，</w:t>
            </w:r>
            <w:r>
              <w:rPr>
                <w:rFonts w:hint="default" w:ascii="Times New Roman" w:hAnsi="Times New Roman" w:cs="Times New Roman"/>
                <w:color w:val="auto"/>
                <w:highlight w:val="none"/>
                <w:lang w:val="en-US" w:eastAsia="zh-CN"/>
              </w:rPr>
              <w:t>根据《焊接车间环境污染及控制技术进展》（《上海环境科学》），</w:t>
            </w:r>
            <w:r>
              <w:rPr>
                <w:rFonts w:hint="eastAsia" w:ascii="Times New Roman" w:cs="Times New Roman"/>
                <w:color w:val="auto"/>
                <w:highlight w:val="none"/>
                <w:lang w:val="en-US" w:eastAsia="zh-CN"/>
              </w:rPr>
              <w:t>手工电弧焊</w:t>
            </w:r>
            <w:r>
              <w:rPr>
                <w:rFonts w:hint="eastAsia" w:ascii="Times New Roman" w:hAnsi="Times New Roman" w:cs="Times New Roman"/>
                <w:color w:val="auto"/>
                <w:highlight w:val="none"/>
                <w:lang w:val="en-US" w:eastAsia="zh-CN"/>
              </w:rPr>
              <w:t>发尘量</w:t>
            </w:r>
            <w:r>
              <w:rPr>
                <w:rFonts w:hint="eastAsia" w:ascii="Times New Roman" w:cs="Times New Roman"/>
                <w:color w:val="auto"/>
                <w:highlight w:val="none"/>
                <w:lang w:val="en-US" w:eastAsia="zh-CN"/>
              </w:rPr>
              <w:t>11~16</w:t>
            </w:r>
            <w:r>
              <w:rPr>
                <w:rFonts w:hint="eastAsia" w:ascii="Times New Roman" w:hAnsi="Times New Roman" w:cs="Times New Roman"/>
                <w:color w:val="auto"/>
                <w:highlight w:val="none"/>
                <w:lang w:val="en-US" w:eastAsia="zh-CN"/>
              </w:rPr>
              <w:t xml:space="preserve"> g/kg，本项目取最大值</w:t>
            </w:r>
            <w:r>
              <w:rPr>
                <w:rFonts w:hint="eastAsia" w:ascii="Times New Roman" w:cs="Times New Roman"/>
                <w:color w:val="auto"/>
                <w:highlight w:val="none"/>
                <w:lang w:val="en-US" w:eastAsia="zh-CN"/>
              </w:rPr>
              <w:t>16</w:t>
            </w:r>
            <w:r>
              <w:rPr>
                <w:rFonts w:hint="eastAsia" w:ascii="Times New Roman" w:hAnsi="Times New Roman" w:cs="Times New Roman"/>
                <w:color w:val="auto"/>
                <w:highlight w:val="none"/>
                <w:lang w:val="en-US" w:eastAsia="zh-CN"/>
              </w:rPr>
              <w:t xml:space="preserve"> g/kg</w:t>
            </w:r>
            <w:r>
              <w:rPr>
                <w:rFonts w:hint="eastAsia" w:ascii="Times New Roman" w:cs="Times New Roman"/>
                <w:color w:val="auto"/>
                <w:highlight w:val="none"/>
                <w:lang w:val="en-US" w:eastAsia="zh-CN"/>
              </w:rPr>
              <w:t>；氩弧焊发尘量为2~5g/kg，本项目取最大值5g/kg，</w:t>
            </w:r>
            <w:r>
              <w:rPr>
                <w:rFonts w:hint="eastAsia" w:ascii="Times New Roman" w:hAnsi="Times New Roman" w:cs="Times New Roman"/>
                <w:color w:val="auto"/>
                <w:highlight w:val="none"/>
                <w:lang w:val="en-US" w:eastAsia="zh-CN"/>
              </w:rPr>
              <w:t>则项目焊接烟尘产生量为</w:t>
            </w:r>
            <w:r>
              <w:rPr>
                <w:rFonts w:hint="eastAsia" w:ascii="Times New Roman" w:cs="Times New Roman"/>
                <w:color w:val="auto"/>
                <w:highlight w:val="none"/>
                <w:lang w:val="en-US" w:eastAsia="zh-CN"/>
              </w:rPr>
              <w:t>0.042</w:t>
            </w:r>
            <w:r>
              <w:rPr>
                <w:rFonts w:hint="eastAsia" w:ascii="Times New Roman" w:hAnsi="Times New Roman" w:cs="Times New Roman"/>
                <w:color w:val="auto"/>
                <w:highlight w:val="none"/>
                <w:lang w:val="en-US" w:eastAsia="zh-CN"/>
              </w:rPr>
              <w:t>t/a。</w:t>
            </w:r>
          </w:p>
          <w:p>
            <w:pPr>
              <w:spacing w:line="360" w:lineRule="auto"/>
              <w:ind w:firstLine="482"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bCs/>
                <w:color w:val="auto"/>
                <w:sz w:val="24"/>
                <w:szCs w:val="24"/>
                <w:lang w:val="en-US" w:eastAsia="zh-CN"/>
              </w:rPr>
              <w:t>（2）环保措施：</w:t>
            </w:r>
            <w:r>
              <w:rPr>
                <w:rFonts w:hint="eastAsia" w:ascii="Times New Roman" w:hAnsi="Times New Roman" w:cs="Times New Roman"/>
                <w:b w:val="0"/>
                <w:bCs w:val="0"/>
                <w:color w:val="auto"/>
                <w:sz w:val="24"/>
                <w:szCs w:val="24"/>
                <w:lang w:val="en-US" w:eastAsia="zh-CN"/>
              </w:rPr>
              <w:t>项目</w:t>
            </w:r>
            <w:r>
              <w:rPr>
                <w:rFonts w:hint="eastAsia" w:cs="Times New Roman"/>
                <w:b w:val="0"/>
                <w:bCs w:val="0"/>
                <w:color w:val="auto"/>
                <w:sz w:val="24"/>
                <w:szCs w:val="24"/>
                <w:lang w:val="en-US" w:eastAsia="zh-CN"/>
              </w:rPr>
              <w:t>焊接烟尘采用移动式烟尘净化器处理后排放</w:t>
            </w:r>
            <w:r>
              <w:rPr>
                <w:rFonts w:hint="eastAsia" w:ascii="Times New Roman" w:hAnsi="Times New Roman" w:cs="Times New Roman"/>
                <w:b w:val="0"/>
                <w:bCs w:val="0"/>
                <w:color w:val="auto"/>
                <w:sz w:val="24"/>
                <w:szCs w:val="24"/>
                <w:lang w:val="en-US" w:eastAsia="zh-CN"/>
              </w:rPr>
              <w:t>。</w:t>
            </w:r>
          </w:p>
          <w:p>
            <w:pPr>
              <w:spacing w:line="360" w:lineRule="auto"/>
              <w:ind w:firstLine="482"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szCs w:val="24"/>
                <w:lang w:val="en-US" w:eastAsia="zh-CN"/>
              </w:rPr>
              <w:t>（3）产污计算：</w:t>
            </w:r>
            <w:r>
              <w:rPr>
                <w:rFonts w:hint="eastAsia" w:cs="Times New Roman"/>
                <w:b w:val="0"/>
                <w:bCs w:val="0"/>
                <w:color w:val="auto"/>
                <w:sz w:val="24"/>
                <w:szCs w:val="24"/>
                <w:lang w:val="en-US" w:eastAsia="zh-CN"/>
              </w:rPr>
              <w:t>移动式烟尘净化器的处理效率按照90%计算，则无组织颗粒物的排放</w:t>
            </w:r>
            <w:r>
              <w:rPr>
                <w:rFonts w:hint="eastAsia" w:cs="Times New Roman"/>
                <w:b w:val="0"/>
                <w:bCs w:val="0"/>
                <w:color w:val="auto"/>
                <w:sz w:val="24"/>
                <w:szCs w:val="24"/>
                <w:highlight w:val="none"/>
                <w:lang w:val="en-US" w:eastAsia="zh-CN"/>
              </w:rPr>
              <w:t>量为0.0042t/a</w:t>
            </w:r>
            <w:r>
              <w:rPr>
                <w:rFonts w:hint="eastAsia" w:ascii="Times New Roman" w:hAnsi="Times New Roman" w:cs="Times New Roman"/>
                <w:b w:val="0"/>
                <w:bCs w:val="0"/>
                <w:color w:val="auto"/>
                <w:sz w:val="24"/>
                <w:szCs w:val="24"/>
                <w:highlight w:val="none"/>
                <w:lang w:val="en-US" w:eastAsia="zh-CN"/>
              </w:rPr>
              <w:t>。</w:t>
            </w:r>
          </w:p>
          <w:p>
            <w:pPr>
              <w:pStyle w:val="32"/>
              <w:ind w:firstLine="480" w:firstLineChars="200"/>
              <w:rPr>
                <w:rFonts w:hint="default"/>
                <w:color w:val="auto"/>
                <w:lang w:val="en-US" w:eastAsia="zh-CN"/>
              </w:rPr>
            </w:pPr>
            <w:r>
              <w:rPr>
                <w:rFonts w:hint="eastAsia" w:ascii="Times New Roman" w:cs="Times New Roman"/>
                <w:b w:val="0"/>
                <w:bCs w:val="0"/>
                <w:color w:val="auto"/>
                <w:sz w:val="24"/>
                <w:szCs w:val="24"/>
                <w:highlight w:val="none"/>
                <w:lang w:val="en-US" w:eastAsia="zh-CN"/>
              </w:rPr>
              <w:t>根据项目无组织废气监测结果，项目厂界颗粒物最大排放浓度为0.337mg/m</w:t>
            </w:r>
            <w:r>
              <w:rPr>
                <w:rFonts w:hint="eastAsia" w:ascii="Times New Roman" w:cs="Times New Roman"/>
                <w:b w:val="0"/>
                <w:bCs w:val="0"/>
                <w:color w:val="auto"/>
                <w:sz w:val="24"/>
                <w:szCs w:val="24"/>
                <w:highlight w:val="none"/>
                <w:vertAlign w:val="superscript"/>
                <w:lang w:val="en-US" w:eastAsia="zh-CN"/>
              </w:rPr>
              <w:t>3</w:t>
            </w:r>
            <w:r>
              <w:rPr>
                <w:rFonts w:hint="eastAsia" w:ascii="Times New Roman" w:cs="Times New Roman"/>
                <w:b w:val="0"/>
                <w:bCs w:val="0"/>
                <w:color w:val="auto"/>
                <w:sz w:val="24"/>
                <w:szCs w:val="24"/>
                <w:highlight w:val="none"/>
                <w:vertAlign w:val="baseline"/>
                <w:lang w:val="en-US" w:eastAsia="zh-CN"/>
              </w:rPr>
              <w:t>。</w:t>
            </w:r>
          </w:p>
          <w:p>
            <w:pPr>
              <w:widowControl/>
              <w:spacing w:line="360" w:lineRule="auto"/>
              <w:ind w:firstLine="0" w:firstLineChars="0"/>
              <w:jc w:val="center"/>
              <w:outlineLvl w:val="9"/>
              <w:rPr>
                <w:rFonts w:hint="eastAsia" w:ascii="Times New Roman" w:hAnsi="Times New Roman" w:cs="Times New Roman"/>
                <w:b w:val="0"/>
                <w:bCs w:val="0"/>
                <w:color w:val="auto"/>
                <w:sz w:val="24"/>
                <w:szCs w:val="24"/>
                <w:lang w:val="en-US" w:eastAsia="zh-CN"/>
              </w:rPr>
            </w:pPr>
            <w:r>
              <w:rPr>
                <w:rFonts w:hint="default" w:ascii="Times New Roman" w:hAnsi="Times New Roman" w:eastAsia="宋体"/>
                <w:b/>
                <w:bCs w:val="0"/>
                <w:color w:val="auto"/>
                <w:sz w:val="21"/>
                <w:szCs w:val="21"/>
                <w:highlight w:val="none"/>
                <w:lang w:val="en-US" w:eastAsia="zh-CN"/>
              </w:rPr>
              <w:t>表</w:t>
            </w:r>
            <w:r>
              <w:rPr>
                <w:rFonts w:hint="eastAsia" w:ascii="Times New Roman" w:hAnsi="Times New Roman" w:eastAsia="宋体"/>
                <w:b/>
                <w:bCs w:val="0"/>
                <w:color w:val="auto"/>
                <w:sz w:val="21"/>
                <w:szCs w:val="21"/>
                <w:highlight w:val="none"/>
                <w:lang w:val="en-US" w:eastAsia="zh-CN"/>
              </w:rPr>
              <w:t>5</w:t>
            </w:r>
            <w:r>
              <w:rPr>
                <w:rFonts w:hint="default" w:ascii="Times New Roman" w:hAnsi="Times New Roman" w:eastAsia="宋体"/>
                <w:b/>
                <w:bCs w:val="0"/>
                <w:color w:val="auto"/>
                <w:sz w:val="21"/>
                <w:szCs w:val="21"/>
                <w:highlight w:val="none"/>
                <w:lang w:val="en-US" w:eastAsia="zh-CN"/>
              </w:rPr>
              <w:t>-</w:t>
            </w:r>
            <w:r>
              <w:rPr>
                <w:rFonts w:hint="eastAsia"/>
                <w:b/>
                <w:bCs w:val="0"/>
                <w:color w:val="auto"/>
                <w:sz w:val="21"/>
                <w:szCs w:val="21"/>
                <w:highlight w:val="none"/>
                <w:lang w:val="en-US" w:eastAsia="zh-CN"/>
              </w:rPr>
              <w:t>3</w:t>
            </w:r>
            <w:r>
              <w:rPr>
                <w:rFonts w:hint="default" w:ascii="Times New Roman" w:hAnsi="Times New Roman" w:eastAsia="宋体"/>
                <w:b/>
                <w:bCs w:val="0"/>
                <w:color w:val="auto"/>
                <w:sz w:val="21"/>
                <w:szCs w:val="21"/>
                <w:highlight w:val="none"/>
                <w:lang w:val="en-US" w:eastAsia="zh-CN"/>
              </w:rPr>
              <w:t xml:space="preserve">  </w:t>
            </w:r>
            <w:r>
              <w:rPr>
                <w:rFonts w:hint="eastAsia" w:ascii="Times New Roman" w:hAnsi="Times New Roman"/>
                <w:b/>
                <w:bCs w:val="0"/>
                <w:color w:val="auto"/>
                <w:sz w:val="21"/>
                <w:szCs w:val="21"/>
                <w:highlight w:val="none"/>
                <w:lang w:val="en-US" w:eastAsia="zh-CN"/>
              </w:rPr>
              <w:t>项目</w:t>
            </w:r>
            <w:r>
              <w:rPr>
                <w:rFonts w:hint="eastAsia"/>
                <w:b/>
                <w:bCs w:val="0"/>
                <w:color w:val="auto"/>
                <w:sz w:val="21"/>
                <w:szCs w:val="21"/>
                <w:highlight w:val="none"/>
                <w:lang w:val="en-US" w:eastAsia="zh-CN"/>
              </w:rPr>
              <w:t>机加工车间</w:t>
            </w:r>
            <w:r>
              <w:rPr>
                <w:rFonts w:hint="eastAsia" w:ascii="Times New Roman" w:hAnsi="Times New Roman"/>
                <w:b/>
                <w:bCs w:val="0"/>
                <w:color w:val="auto"/>
                <w:sz w:val="21"/>
                <w:szCs w:val="21"/>
                <w:highlight w:val="none"/>
                <w:lang w:val="en-US" w:eastAsia="zh-CN"/>
              </w:rPr>
              <w:t>面源参数一览</w:t>
            </w:r>
            <w:r>
              <w:rPr>
                <w:rFonts w:hint="default" w:ascii="Times New Roman" w:hAnsi="Times New Roman" w:eastAsia="宋体"/>
                <w:b/>
                <w:bCs w:val="0"/>
                <w:color w:val="auto"/>
                <w:sz w:val="21"/>
                <w:szCs w:val="21"/>
                <w:highlight w:val="none"/>
                <w:lang w:val="en-US" w:eastAsia="zh-CN"/>
              </w:rPr>
              <w:t>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72"/>
              <w:gridCol w:w="1172"/>
              <w:gridCol w:w="747"/>
              <w:gridCol w:w="747"/>
              <w:gridCol w:w="747"/>
              <w:gridCol w:w="747"/>
              <w:gridCol w:w="747"/>
              <w:gridCol w:w="747"/>
              <w:gridCol w:w="753"/>
              <w:gridCol w:w="1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6" w:hRule="atLeast"/>
                <w:jc w:val="center"/>
              </w:trPr>
              <w:tc>
                <w:tcPr>
                  <w:tcW w:w="714"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名称</w:t>
                  </w:r>
                </w:p>
              </w:tc>
              <w:tc>
                <w:tcPr>
                  <w:tcW w:w="2344" w:type="dxa"/>
                  <w:gridSpan w:val="2"/>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面源起点坐标</w:t>
                  </w:r>
                </w:p>
              </w:tc>
              <w:tc>
                <w:tcPr>
                  <w:tcW w:w="747"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面源海拔高度/m</w:t>
                  </w:r>
                </w:p>
              </w:tc>
              <w:tc>
                <w:tcPr>
                  <w:tcW w:w="747"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面源长度/m</w:t>
                  </w:r>
                </w:p>
              </w:tc>
              <w:tc>
                <w:tcPr>
                  <w:tcW w:w="747"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面源宽度/m</w:t>
                  </w:r>
                </w:p>
              </w:tc>
              <w:tc>
                <w:tcPr>
                  <w:tcW w:w="747"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与正北向夹角/</w:t>
                  </w:r>
                  <w:r>
                    <w:rPr>
                      <w:rFonts w:hint="default" w:ascii="Times New Roman" w:hAnsi="Times New Roman" w:cs="Times New Roman"/>
                      <w:color w:val="auto"/>
                      <w:sz w:val="24"/>
                      <w:highlight w:val="none"/>
                      <w:lang w:val="en-GB"/>
                    </w:rPr>
                    <w:t>。</w:t>
                  </w:r>
                </w:p>
              </w:tc>
              <w:tc>
                <w:tcPr>
                  <w:tcW w:w="747"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面源有效排放高度/m</w:t>
                  </w:r>
                </w:p>
              </w:tc>
              <w:tc>
                <w:tcPr>
                  <w:tcW w:w="747"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年排放小时数/h</w:t>
                  </w:r>
                </w:p>
              </w:tc>
              <w:tc>
                <w:tcPr>
                  <w:tcW w:w="753" w:type="dxa"/>
                  <w:vMerge w:val="restart"/>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排放工况</w:t>
                  </w:r>
                </w:p>
              </w:tc>
              <w:tc>
                <w:tcPr>
                  <w:tcW w:w="1061" w:type="dxa"/>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污染物排放速率/（g/</w:t>
                  </w:r>
                  <w:r>
                    <w:rPr>
                      <w:rFonts w:hint="eastAsia" w:cs="Times New Roman"/>
                      <w:color w:val="auto"/>
                      <w:szCs w:val="21"/>
                      <w:highlight w:val="none"/>
                      <w:lang w:val="en-US" w:eastAsia="zh-CN"/>
                    </w:rPr>
                    <w:t>s</w:t>
                  </w:r>
                  <w:r>
                    <w:rPr>
                      <w:rFonts w:hint="default" w:ascii="Times New Roman" w:hAnsi="Times New Roman" w:cs="Times New Roman"/>
                      <w:color w:val="auto"/>
                      <w:szCs w:val="21"/>
                      <w:highlight w:val="none"/>
                      <w:lang w:val="en-GB"/>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14"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1172" w:type="dxa"/>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X</w:t>
                  </w:r>
                </w:p>
              </w:tc>
              <w:tc>
                <w:tcPr>
                  <w:tcW w:w="1172" w:type="dxa"/>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Y</w:t>
                  </w:r>
                </w:p>
              </w:tc>
              <w:tc>
                <w:tcPr>
                  <w:tcW w:w="747"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47"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47"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47"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47"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47"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753"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GB"/>
                    </w:rPr>
                  </w:pPr>
                </w:p>
              </w:tc>
              <w:tc>
                <w:tcPr>
                  <w:tcW w:w="1061" w:type="dxa"/>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机加工车间</w:t>
                  </w:r>
                </w:p>
              </w:tc>
              <w:tc>
                <w:tcPr>
                  <w:tcW w:w="1172" w:type="dxa"/>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E117</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799</w:t>
                  </w:r>
                  <w:r>
                    <w:rPr>
                      <w:rFonts w:hint="default" w:ascii="Times New Roman" w:hAnsi="Times New Roman" w:cs="Times New Roman"/>
                      <w:color w:val="auto"/>
                      <w:szCs w:val="21"/>
                      <w:highlight w:val="none"/>
                      <w:lang w:val="en-GB"/>
                    </w:rPr>
                    <w:t>°</w:t>
                  </w:r>
                </w:p>
              </w:tc>
              <w:tc>
                <w:tcPr>
                  <w:tcW w:w="1172" w:type="dxa"/>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N3</w:t>
                  </w:r>
                  <w:r>
                    <w:rPr>
                      <w:rFonts w:hint="default" w:ascii="Times New Roman" w:hAnsi="Times New Roman" w:cs="Times New Roman"/>
                      <w:color w:val="auto"/>
                      <w:szCs w:val="21"/>
                      <w:highlight w:val="none"/>
                      <w:lang w:val="en-US" w:eastAsia="zh-CN"/>
                    </w:rPr>
                    <w:t>6</w:t>
                  </w:r>
                  <w:r>
                    <w:rPr>
                      <w:rFonts w:hint="eastAsia" w:cs="Times New Roman"/>
                      <w:color w:val="auto"/>
                      <w:szCs w:val="21"/>
                      <w:highlight w:val="none"/>
                      <w:lang w:val="en-US" w:eastAsia="zh-CN"/>
                    </w:rPr>
                    <w:t>.095</w:t>
                  </w:r>
                  <w:r>
                    <w:rPr>
                      <w:rFonts w:hint="default" w:ascii="Times New Roman" w:hAnsi="Times New Roman" w:cs="Times New Roman"/>
                      <w:color w:val="auto"/>
                      <w:szCs w:val="21"/>
                      <w:highlight w:val="none"/>
                      <w:lang w:val="en-GB"/>
                    </w:rPr>
                    <w:t>°</w:t>
                  </w:r>
                </w:p>
              </w:tc>
              <w:tc>
                <w:tcPr>
                  <w:tcW w:w="7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335</w:t>
                  </w:r>
                </w:p>
              </w:tc>
              <w:tc>
                <w:tcPr>
                  <w:tcW w:w="7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c>
                <w:tcPr>
                  <w:tcW w:w="7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c>
                <w:tcPr>
                  <w:tcW w:w="7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p>
              </w:tc>
              <w:tc>
                <w:tcPr>
                  <w:tcW w:w="7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p>
              </w:tc>
              <w:tc>
                <w:tcPr>
                  <w:tcW w:w="7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7680</w:t>
                  </w:r>
                </w:p>
              </w:tc>
              <w:tc>
                <w:tcPr>
                  <w:tcW w:w="753" w:type="dxa"/>
                  <w:tcBorders>
                    <w:tl2br w:val="nil"/>
                    <w:tr2bl w:val="nil"/>
                  </w:tcBorders>
                  <w:noWrap w:val="0"/>
                  <w:vAlign w:val="center"/>
                </w:tcPr>
                <w:p>
                  <w:pPr>
                    <w:jc w:val="center"/>
                    <w:rPr>
                      <w:rFonts w:hint="default" w:ascii="Times New Roman" w:hAnsi="Times New Roman" w:cs="Times New Roman"/>
                      <w:color w:val="auto"/>
                      <w:szCs w:val="21"/>
                      <w:highlight w:val="none"/>
                      <w:lang w:val="en-GB"/>
                    </w:rPr>
                  </w:pPr>
                  <w:r>
                    <w:rPr>
                      <w:rFonts w:hint="default" w:ascii="Times New Roman" w:hAnsi="Times New Roman" w:cs="Times New Roman"/>
                      <w:color w:val="auto"/>
                      <w:szCs w:val="21"/>
                      <w:highlight w:val="none"/>
                      <w:lang w:val="en-GB"/>
                    </w:rPr>
                    <w:t>正常</w:t>
                  </w:r>
                </w:p>
              </w:tc>
              <w:tc>
                <w:tcPr>
                  <w:tcW w:w="1061"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0.0015</w:t>
                  </w:r>
                </w:p>
              </w:tc>
            </w:tr>
          </w:tbl>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bCs w:val="0"/>
                <w:color w:val="auto"/>
                <w:szCs w:val="24"/>
                <w:lang w:val="en-US" w:eastAsia="zh-CN"/>
              </w:rPr>
            </w:pPr>
            <w:r>
              <w:rPr>
                <w:rFonts w:hint="eastAsia" w:ascii="Times New Roman" w:hAnsi="Times New Roman" w:cs="Times New Roman"/>
                <w:b/>
                <w:bCs w:val="0"/>
                <w:color w:val="auto"/>
                <w:szCs w:val="24"/>
                <w:lang w:val="en-US" w:eastAsia="zh-CN"/>
              </w:rPr>
              <w:t>2、</w:t>
            </w:r>
            <w:r>
              <w:rPr>
                <w:rFonts w:hint="default" w:ascii="Times New Roman" w:hAnsi="Times New Roman" w:cs="Times New Roman"/>
                <w:b/>
                <w:bCs w:val="0"/>
                <w:color w:val="auto"/>
                <w:szCs w:val="24"/>
              </w:rPr>
              <w:t>废水</w:t>
            </w:r>
          </w:p>
          <w:p>
            <w:pPr>
              <w:adjustRightInd w:val="0"/>
              <w:spacing w:beforeLines="0" w:afterLines="0" w:line="360" w:lineRule="auto"/>
              <w:ind w:firstLine="480" w:firstLineChars="200"/>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热轧冷却水循环使用不外排</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废水主要为职工生活污水。</w:t>
            </w:r>
            <w:r>
              <w:rPr>
                <w:rFonts w:hint="eastAsia"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szCs w:val="24"/>
                <w:highlight w:val="none"/>
                <w:vertAlign w:val="baseline"/>
                <w:lang w:eastAsia="zh-CN"/>
              </w:rPr>
              <w:t>生活污水产量为</w:t>
            </w:r>
            <w:r>
              <w:rPr>
                <w:rFonts w:hint="eastAsia" w:cs="Times New Roman"/>
                <w:color w:val="auto"/>
                <w:sz w:val="24"/>
                <w:szCs w:val="24"/>
                <w:highlight w:val="none"/>
                <w:vertAlign w:val="baseline"/>
                <w:lang w:val="en-US" w:eastAsia="zh-CN"/>
              </w:rPr>
              <w:t>2560</w:t>
            </w:r>
            <w:r>
              <w:rPr>
                <w:rFonts w:hint="default" w:ascii="Times New Roman" w:hAnsi="Times New Roman" w:eastAsia="宋体" w:cs="Times New Roman"/>
                <w:color w:val="auto"/>
                <w:sz w:val="24"/>
                <w:szCs w:val="24"/>
                <w:highlight w:val="none"/>
                <w:vertAlign w:val="baseli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/a，污水中主要污染物：COD</w:t>
            </w:r>
            <w:r>
              <w:rPr>
                <w:rFonts w:hint="eastAsia" w:cs="Times New Roman"/>
                <w:color w:val="auto"/>
                <w:sz w:val="24"/>
                <w:szCs w:val="24"/>
                <w:highlight w:val="none"/>
                <w:vertAlign w:val="baseline"/>
                <w:lang w:val="en-US" w:eastAsia="zh-CN"/>
              </w:rPr>
              <w:t>0.896</w:t>
            </w:r>
            <w:r>
              <w:rPr>
                <w:rFonts w:hint="default" w:ascii="Times New Roman" w:hAnsi="Times New Roman" w:eastAsia="宋体" w:cs="Times New Roman"/>
                <w:color w:val="auto"/>
                <w:sz w:val="24"/>
                <w:szCs w:val="24"/>
                <w:highlight w:val="none"/>
                <w:vertAlign w:val="baseline"/>
                <w:lang w:val="en-US" w:eastAsia="zh-CN"/>
              </w:rPr>
              <w:t>t/a（350mg/L），氨氮</w:t>
            </w:r>
            <w:r>
              <w:rPr>
                <w:rFonts w:hint="eastAsia" w:cs="Times New Roman"/>
                <w:color w:val="auto"/>
                <w:sz w:val="24"/>
                <w:szCs w:val="24"/>
                <w:highlight w:val="none"/>
                <w:vertAlign w:val="baseline"/>
                <w:lang w:val="en-US" w:eastAsia="zh-CN"/>
              </w:rPr>
              <w:t>0.0896</w:t>
            </w:r>
            <w:r>
              <w:rPr>
                <w:rFonts w:hint="default" w:ascii="Times New Roman" w:hAnsi="Times New Roman" w:eastAsia="宋体" w:cs="Times New Roman"/>
                <w:color w:val="auto"/>
                <w:sz w:val="24"/>
                <w:szCs w:val="24"/>
                <w:highlight w:val="none"/>
                <w:vertAlign w:val="baseline"/>
                <w:lang w:val="en-US" w:eastAsia="zh-CN"/>
              </w:rPr>
              <w:t>t/a（35mg/L），悬浮物</w:t>
            </w:r>
            <w:r>
              <w:rPr>
                <w:rFonts w:hint="eastAsia" w:cs="Times New Roman"/>
                <w:color w:val="auto"/>
                <w:sz w:val="24"/>
                <w:szCs w:val="24"/>
                <w:highlight w:val="none"/>
                <w:vertAlign w:val="baseline"/>
                <w:lang w:val="en-US" w:eastAsia="zh-CN"/>
              </w:rPr>
              <w:t>0.512</w:t>
            </w:r>
            <w:r>
              <w:rPr>
                <w:rFonts w:hint="default" w:ascii="Times New Roman" w:hAnsi="Times New Roman" w:eastAsia="宋体" w:cs="Times New Roman"/>
                <w:color w:val="auto"/>
                <w:sz w:val="24"/>
                <w:szCs w:val="24"/>
                <w:highlight w:val="none"/>
                <w:vertAlign w:val="baseline"/>
                <w:lang w:val="en-US" w:eastAsia="zh-CN"/>
              </w:rPr>
              <w:t>t/a（200mg/L）</w:t>
            </w:r>
            <w:r>
              <w:rPr>
                <w:rFonts w:hint="eastAsia" w:ascii="Times New Roman" w:hAnsi="Times New Roman" w:eastAsia="宋体" w:cs="Times New Roman"/>
                <w:color w:val="auto"/>
                <w:sz w:val="24"/>
                <w:szCs w:val="24"/>
                <w:highlight w:val="none"/>
                <w:vertAlign w:val="baseline"/>
                <w:lang w:val="en-US" w:eastAsia="zh-CN"/>
              </w:rPr>
              <w:t>。</w:t>
            </w:r>
          </w:p>
          <w:p>
            <w:pPr>
              <w:adjustRightInd w:val="0"/>
              <w:spacing w:beforeLines="0" w:afterLines="0"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szCs w:val="24"/>
                <w:highlight w:val="none"/>
                <w:vertAlign w:val="baseline"/>
                <w:lang w:val="en-US" w:eastAsia="zh-CN"/>
              </w:rPr>
              <w:t>生活污水排入厂区化粪池内，经自建污水处理设施处理后，处理达到</w:t>
            </w:r>
            <w:r>
              <w:rPr>
                <w:rFonts w:hint="default" w:ascii="Times New Roman" w:hAnsi="Times New Roman" w:cs="Times New Roman"/>
                <w:color w:val="auto"/>
                <w:sz w:val="24"/>
                <w:highlight w:val="none"/>
                <w:lang w:eastAsia="zh-CN"/>
              </w:rPr>
              <w:t>《城市污水再生利用 城市杂用水水质》（GB/T18920-2002）</w:t>
            </w:r>
            <w:r>
              <w:rPr>
                <w:rFonts w:hint="eastAsia" w:ascii="Times New Roman" w:hAnsi="Times New Roman" w:cs="Times New Roman"/>
                <w:color w:val="auto"/>
                <w:sz w:val="24"/>
                <w:highlight w:val="none"/>
                <w:lang w:eastAsia="zh-CN"/>
              </w:rPr>
              <w:t>标准</w:t>
            </w:r>
            <w:r>
              <w:rPr>
                <w:rFonts w:hint="eastAsia" w:cs="Times New Roman"/>
                <w:color w:val="auto"/>
                <w:sz w:val="24"/>
                <w:highlight w:val="none"/>
                <w:lang w:eastAsia="zh-CN"/>
              </w:rPr>
              <w:t>和</w:t>
            </w:r>
            <w:r>
              <w:rPr>
                <w:rFonts w:hint="eastAsia"/>
                <w:color w:val="auto"/>
                <w:sz w:val="24"/>
                <w:lang w:val="en-US" w:eastAsia="zh-CN"/>
              </w:rPr>
              <w:t>《城市污水再生利用 工业用水水质》（GBT19923-2005）标准</w:t>
            </w:r>
            <w:r>
              <w:rPr>
                <w:rFonts w:hint="default" w:ascii="Times New Roman" w:hAnsi="Times New Roman" w:cs="Times New Roman"/>
                <w:color w:val="auto"/>
                <w:sz w:val="24"/>
                <w:highlight w:val="none"/>
                <w:lang w:eastAsia="zh-CN"/>
              </w:rPr>
              <w:t>后</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eastAsia="zh-CN"/>
              </w:rPr>
              <w:t>回用于</w:t>
            </w:r>
            <w:r>
              <w:rPr>
                <w:rFonts w:hint="eastAsia" w:cs="Times New Roman"/>
                <w:color w:val="auto"/>
                <w:sz w:val="24"/>
                <w:highlight w:val="none"/>
                <w:lang w:eastAsia="zh-CN"/>
              </w:rPr>
              <w:t>热轧工序用水</w:t>
            </w:r>
            <w:r>
              <w:rPr>
                <w:rFonts w:hint="default" w:ascii="Times New Roman" w:hAnsi="Times New Roman" w:cs="Times New Roman"/>
                <w:color w:val="auto"/>
                <w:sz w:val="24"/>
                <w:highlight w:val="none"/>
                <w:lang w:eastAsia="zh-CN"/>
              </w:rPr>
              <w:t>和绿化</w:t>
            </w:r>
            <w:r>
              <w:rPr>
                <w:rFonts w:hint="eastAsia" w:cs="Times New Roman"/>
                <w:color w:val="auto"/>
                <w:sz w:val="24"/>
                <w:highlight w:val="none"/>
                <w:lang w:eastAsia="zh-CN"/>
              </w:rPr>
              <w:t>用水</w:t>
            </w:r>
            <w:r>
              <w:rPr>
                <w:rFonts w:hint="default" w:ascii="Times New Roman" w:hAnsi="Times New Roman" w:cs="Times New Roman"/>
                <w:color w:val="auto"/>
                <w:sz w:val="24"/>
                <w:highlight w:val="none"/>
              </w:rPr>
              <w:t>，不外排</w:t>
            </w:r>
            <w:r>
              <w:rPr>
                <w:rFonts w:hint="default" w:ascii="Times New Roman" w:hAnsi="Times New Roman" w:eastAsia="宋体" w:cs="Times New Roman"/>
                <w:color w:val="auto"/>
                <w:sz w:val="24"/>
                <w:szCs w:val="24"/>
                <w:highlight w:val="none"/>
                <w:vertAlign w:val="baseline"/>
                <w:lang w:val="en-US" w:eastAsia="zh-CN"/>
              </w:rPr>
              <w:t>。</w:t>
            </w:r>
          </w:p>
          <w:p>
            <w:pPr>
              <w:pStyle w:val="49"/>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both"/>
              <w:outlineLvl w:val="9"/>
              <w:rPr>
                <w:rFonts w:hint="default" w:ascii="Times New Roman" w:hAnsi="Times New Roman" w:cs="Times New Roman"/>
                <w:b/>
                <w:bCs w:val="0"/>
                <w:color w:val="auto"/>
                <w:szCs w:val="24"/>
                <w:highlight w:val="none"/>
              </w:rPr>
            </w:pPr>
            <w:r>
              <w:rPr>
                <w:rFonts w:hint="default" w:ascii="Times New Roman" w:hAnsi="Times New Roman" w:cs="Times New Roman"/>
                <w:b/>
                <w:bCs w:val="0"/>
                <w:color w:val="auto"/>
                <w:szCs w:val="24"/>
                <w:highlight w:val="none"/>
              </w:rPr>
              <w:t>3</w:t>
            </w:r>
            <w:r>
              <w:rPr>
                <w:rFonts w:hint="eastAsia" w:ascii="Times New Roman" w:hAnsi="Times New Roman" w:cs="Times New Roman"/>
                <w:b/>
                <w:bCs w:val="0"/>
                <w:color w:val="auto"/>
                <w:szCs w:val="24"/>
                <w:highlight w:val="none"/>
                <w:lang w:eastAsia="zh-CN"/>
              </w:rPr>
              <w:t>、</w:t>
            </w:r>
            <w:r>
              <w:rPr>
                <w:rFonts w:hint="default" w:ascii="Times New Roman" w:hAnsi="Times New Roman" w:cs="Times New Roman"/>
                <w:b/>
                <w:bCs w:val="0"/>
                <w:color w:val="auto"/>
                <w:szCs w:val="24"/>
                <w:highlight w:val="none"/>
              </w:rPr>
              <w:t>固体废物</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本项目产生的固体废物主要为</w:t>
            </w:r>
            <w:r>
              <w:rPr>
                <w:rFonts w:hint="default" w:cs="Times New Roman"/>
                <w:color w:val="auto"/>
                <w:sz w:val="24"/>
                <w:szCs w:val="24"/>
                <w:highlight w:val="none"/>
                <w:lang w:val="en-US" w:eastAsia="zh-CN"/>
              </w:rPr>
              <w:t>氧化铁皮、废钢料头、</w:t>
            </w:r>
            <w:r>
              <w:rPr>
                <w:rFonts w:hint="eastAsia" w:cs="Times New Roman"/>
                <w:color w:val="auto"/>
                <w:sz w:val="24"/>
                <w:szCs w:val="24"/>
                <w:highlight w:val="none"/>
                <w:lang w:val="en-US" w:eastAsia="zh-CN"/>
              </w:rPr>
              <w:t>废铁屑、废油桶、</w:t>
            </w:r>
            <w:r>
              <w:rPr>
                <w:rFonts w:hint="default" w:cs="Times New Roman"/>
                <w:color w:val="auto"/>
                <w:sz w:val="24"/>
                <w:szCs w:val="24"/>
                <w:highlight w:val="none"/>
                <w:lang w:val="en-US" w:eastAsia="zh-CN"/>
              </w:rPr>
              <w:t>脱硫石膏、废催化剂、</w:t>
            </w:r>
            <w:r>
              <w:rPr>
                <w:rFonts w:hint="default" w:ascii="Times New Roman" w:hAnsi="Times New Roman" w:eastAsia="宋体" w:cs="Times New Roman"/>
                <w:color w:val="auto"/>
                <w:sz w:val="24"/>
                <w:szCs w:val="24"/>
                <w:highlight w:val="none"/>
                <w:lang w:val="en-US" w:eastAsia="zh-CN"/>
              </w:rPr>
              <w:t>职工生活垃圾。</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根据建设单位提供资料，项目</w:t>
            </w:r>
            <w:r>
              <w:rPr>
                <w:rFonts w:hint="default" w:cs="Times New Roman"/>
                <w:color w:val="auto"/>
                <w:sz w:val="24"/>
                <w:szCs w:val="24"/>
                <w:highlight w:val="none"/>
                <w:lang w:val="en-US" w:eastAsia="zh-CN"/>
              </w:rPr>
              <w:t>氧化铁皮</w:t>
            </w:r>
            <w:r>
              <w:rPr>
                <w:rFonts w:hint="eastAsia" w:cs="Times New Roman"/>
                <w:color w:val="auto"/>
                <w:sz w:val="24"/>
                <w:szCs w:val="24"/>
                <w:highlight w:val="none"/>
                <w:lang w:val="en-US" w:eastAsia="zh-CN"/>
              </w:rPr>
              <w:t>产生量1.5t/a，</w:t>
            </w:r>
            <w:r>
              <w:rPr>
                <w:rFonts w:hint="default" w:cs="Times New Roman"/>
                <w:color w:val="auto"/>
                <w:sz w:val="24"/>
                <w:szCs w:val="24"/>
                <w:highlight w:val="none"/>
                <w:lang w:val="en-US" w:eastAsia="zh-CN"/>
              </w:rPr>
              <w:t>废钢料头</w:t>
            </w:r>
            <w:r>
              <w:rPr>
                <w:rFonts w:hint="eastAsia" w:cs="Times New Roman"/>
                <w:color w:val="auto"/>
                <w:sz w:val="24"/>
                <w:szCs w:val="24"/>
                <w:highlight w:val="none"/>
                <w:lang w:val="en-US" w:eastAsia="zh-CN"/>
              </w:rPr>
              <w:t>2.5t/a，</w:t>
            </w:r>
            <w:r>
              <w:rPr>
                <w:rFonts w:hint="eastAsia" w:cs="Times New Roman"/>
                <w:color w:val="FF0000"/>
                <w:sz w:val="24"/>
                <w:szCs w:val="24"/>
                <w:highlight w:val="none"/>
                <w:lang w:val="en-US" w:eastAsia="zh-CN"/>
              </w:rPr>
              <w:t>废铁屑1.5t/a，</w:t>
            </w:r>
            <w:r>
              <w:rPr>
                <w:rFonts w:hint="eastAsia" w:cs="Times New Roman"/>
                <w:color w:val="auto"/>
                <w:sz w:val="24"/>
                <w:szCs w:val="24"/>
                <w:highlight w:val="none"/>
                <w:lang w:val="en-US" w:eastAsia="zh-CN"/>
              </w:rPr>
              <w:t>均外售综合利用。</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根据产排污核算，</w:t>
            </w:r>
            <w:r>
              <w:rPr>
                <w:rFonts w:hint="default" w:cs="Times New Roman"/>
                <w:color w:val="auto"/>
                <w:sz w:val="24"/>
                <w:szCs w:val="24"/>
                <w:highlight w:val="none"/>
                <w:lang w:val="en-US" w:eastAsia="zh-CN"/>
              </w:rPr>
              <w:t>脱硫石膏</w:t>
            </w:r>
            <w:r>
              <w:rPr>
                <w:rFonts w:hint="eastAsia" w:cs="Times New Roman"/>
                <w:color w:val="auto"/>
                <w:sz w:val="24"/>
                <w:szCs w:val="24"/>
                <w:highlight w:val="none"/>
                <w:lang w:val="en-US" w:eastAsia="zh-CN"/>
              </w:rPr>
              <w:t>产生量约为32t/a</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外售综合利用。</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SCR装置需定期更换催化剂，根据提供技术资料，项目</w:t>
            </w:r>
            <w:r>
              <w:rPr>
                <w:rFonts w:hint="default" w:ascii="Times New Roman" w:hAnsi="Times New Roman" w:eastAsia="宋体" w:cs="Times New Roman"/>
                <w:color w:val="auto"/>
                <w:sz w:val="24"/>
                <w:highlight w:val="none"/>
              </w:rPr>
              <w:t>催化剂以TiO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为基材，以V</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为主要活性成份，以WO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为抗氧化、抗毒化辅助成份</w:t>
            </w:r>
            <w:r>
              <w:rPr>
                <w:rFonts w:hint="eastAsia" w:ascii="Times New Roman" w:hAnsi="Times New Roman" w:eastAsia="宋体" w:cs="Times New Roman"/>
                <w:color w:val="auto"/>
                <w:sz w:val="24"/>
                <w:highlight w:val="none"/>
                <w:lang w:eastAsia="zh-CN"/>
              </w:rPr>
              <w:t>，填充量为</w:t>
            </w:r>
            <w:r>
              <w:rPr>
                <w:rFonts w:hint="eastAsia" w:ascii="Times New Roman" w:hAnsi="Times New Roman" w:eastAsia="宋体" w:cs="Times New Roman"/>
                <w:color w:val="auto"/>
                <w:sz w:val="24"/>
                <w:highlight w:val="none"/>
                <w:lang w:val="en-US" w:eastAsia="zh-CN"/>
              </w:rPr>
              <w:t>6.2m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szCs w:val="24"/>
                <w:highlight w:val="none"/>
                <w:lang w:val="en-US" w:eastAsia="zh-CN"/>
              </w:rPr>
              <w:t>使用寿命约3年，</w:t>
            </w:r>
            <w:r>
              <w:rPr>
                <w:rFonts w:hint="default" w:cs="Times New Roman"/>
                <w:color w:val="auto"/>
                <w:sz w:val="24"/>
                <w:szCs w:val="24"/>
                <w:highlight w:val="none"/>
                <w:lang w:val="en-US" w:eastAsia="zh-CN"/>
              </w:rPr>
              <w:t>废催化剂</w:t>
            </w:r>
            <w:r>
              <w:rPr>
                <w:rFonts w:hint="eastAsia" w:cs="Times New Roman"/>
                <w:color w:val="auto"/>
                <w:sz w:val="24"/>
                <w:szCs w:val="24"/>
                <w:highlight w:val="none"/>
                <w:lang w:val="en-US" w:eastAsia="zh-CN"/>
              </w:rPr>
              <w:t>产生量约为3t/次，废催化剂属于</w:t>
            </w:r>
            <w:r>
              <w:rPr>
                <w:rFonts w:hint="eastAsia" w:cs="Times New Roman"/>
                <w:color w:val="auto"/>
                <w:sz w:val="24"/>
                <w:highlight w:val="none"/>
                <w:lang w:val="en-US" w:eastAsia="zh-CN"/>
              </w:rPr>
              <w:t>《国家危险废物名录》（2016）中</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highlight w:val="none"/>
              </w:rPr>
              <w:t>HW</w:t>
            </w:r>
            <w:r>
              <w:rPr>
                <w:rFonts w:hint="eastAsia" w:cs="Times New Roman"/>
                <w:color w:val="auto"/>
                <w:sz w:val="24"/>
                <w:highlight w:val="none"/>
                <w:lang w:val="en-US" w:eastAsia="zh-CN"/>
              </w:rPr>
              <w:t>50废催化剂 环境治理（772-007-50）烟气脱硝过程产生的废钒钛系催化剂</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根据项目排污许可证申报情况，项目废油桶产生量约为1t/a，属于</w:t>
            </w:r>
            <w:r>
              <w:rPr>
                <w:rFonts w:hint="eastAsia" w:cs="Times New Roman"/>
                <w:color w:val="auto"/>
                <w:sz w:val="24"/>
                <w:highlight w:val="none"/>
                <w:lang w:val="en-US" w:eastAsia="zh-CN"/>
              </w:rPr>
              <w:t>《国家危险废物名录》（2016）中</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highlight w:val="none"/>
              </w:rPr>
              <w:t>HW</w:t>
            </w:r>
            <w:r>
              <w:rPr>
                <w:rFonts w:hint="eastAsia" w:cs="Times New Roman"/>
                <w:color w:val="auto"/>
                <w:sz w:val="24"/>
                <w:highlight w:val="none"/>
                <w:lang w:val="en-US" w:eastAsia="zh-CN"/>
              </w:rPr>
              <w:t>49非特定行业 （900-041-49）含油或沾染毒性、感染性危险废物的废气包装物、容器、过滤吸附介质</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废催化剂、废油桶等危险废物应暂存入</w:t>
            </w:r>
            <w:r>
              <w:rPr>
                <w:rFonts w:hint="default" w:cs="Times New Roman"/>
                <w:color w:val="auto"/>
                <w:sz w:val="24"/>
                <w:szCs w:val="24"/>
                <w:highlight w:val="none"/>
                <w:lang w:val="en-US" w:eastAsia="zh-CN"/>
              </w:rPr>
              <w:t>危废暂存间，委托有资质单位处置</w:t>
            </w:r>
            <w:r>
              <w:rPr>
                <w:rFonts w:hint="eastAsia"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项目员工200人，</w:t>
            </w:r>
            <w:r>
              <w:rPr>
                <w:rFonts w:hint="default" w:cs="Times New Roman"/>
                <w:color w:val="auto"/>
                <w:sz w:val="24"/>
                <w:szCs w:val="24"/>
                <w:highlight w:val="none"/>
                <w:lang w:val="en-US" w:eastAsia="zh-CN"/>
              </w:rPr>
              <w:t>生活垃圾</w:t>
            </w:r>
            <w:r>
              <w:rPr>
                <w:rFonts w:hint="eastAsia" w:cs="Times New Roman"/>
                <w:color w:val="auto"/>
                <w:sz w:val="24"/>
                <w:szCs w:val="24"/>
                <w:highlight w:val="none"/>
                <w:lang w:val="en-US" w:eastAsia="zh-CN"/>
              </w:rPr>
              <w:t>按照每人每天0.5kg计算，则生活垃圾产生量为32t/a</w:t>
            </w:r>
            <w:r>
              <w:rPr>
                <w:rFonts w:hint="default" w:cs="Times New Roman"/>
                <w:color w:val="auto"/>
                <w:sz w:val="24"/>
                <w:szCs w:val="24"/>
                <w:highlight w:val="none"/>
                <w:lang w:val="en-US" w:eastAsia="zh-CN"/>
              </w:rPr>
              <w:t>委托</w:t>
            </w:r>
            <w:r>
              <w:rPr>
                <w:rFonts w:hint="eastAsia" w:cs="Times New Roman"/>
                <w:color w:val="auto"/>
                <w:sz w:val="24"/>
                <w:szCs w:val="24"/>
                <w:highlight w:val="none"/>
                <w:lang w:val="en-US" w:eastAsia="zh-CN"/>
              </w:rPr>
              <w:t>环卫</w:t>
            </w:r>
            <w:r>
              <w:rPr>
                <w:rFonts w:hint="default" w:cs="Times New Roman"/>
                <w:color w:val="auto"/>
                <w:sz w:val="24"/>
                <w:szCs w:val="24"/>
                <w:highlight w:val="none"/>
                <w:lang w:val="en-US" w:eastAsia="zh-CN"/>
              </w:rPr>
              <w:t>部门定期清运</w:t>
            </w:r>
            <w:r>
              <w:rPr>
                <w:rFonts w:hint="default" w:ascii="Times New Roman" w:hAnsi="Times New Roman" w:cs="Times New Roman"/>
                <w:color w:val="auto"/>
                <w:sz w:val="24"/>
                <w:szCs w:val="24"/>
                <w:highlight w:val="none"/>
              </w:rPr>
              <w:t>。</w:t>
            </w:r>
          </w:p>
          <w:p>
            <w:pPr>
              <w:widowControl/>
              <w:adjustRightInd/>
              <w:spacing w:line="360" w:lineRule="auto"/>
              <w:jc w:val="center"/>
              <w:outlineLvl w:val="9"/>
              <w:rPr>
                <w:rFonts w:hint="default"/>
                <w:color w:val="auto"/>
                <w:lang w:val="en-US" w:eastAsia="zh-CN"/>
              </w:rPr>
            </w:pPr>
            <w:r>
              <w:rPr>
                <w:rFonts w:hint="default" w:ascii="Times New Roman" w:hAnsi="Times New Roman" w:eastAsia="宋体" w:cs="Times New Roman"/>
                <w:b/>
                <w:bCs w:val="0"/>
                <w:color w:val="auto"/>
                <w:sz w:val="21"/>
                <w:szCs w:val="21"/>
                <w:highlight w:val="none"/>
                <w:lang w:val="en-US" w:eastAsia="zh-CN"/>
              </w:rPr>
              <w:t>表5-</w:t>
            </w:r>
            <w:r>
              <w:rPr>
                <w:rFonts w:hint="eastAsia" w:cs="Times New Roman"/>
                <w:b/>
                <w:bCs w:val="0"/>
                <w:color w:val="auto"/>
                <w:sz w:val="21"/>
                <w:szCs w:val="21"/>
                <w:highlight w:val="none"/>
                <w:lang w:val="en-US" w:eastAsia="zh-CN"/>
              </w:rPr>
              <w:t>4</w:t>
            </w:r>
            <w:r>
              <w:rPr>
                <w:rFonts w:hint="default" w:ascii="Times New Roman" w:hAnsi="Times New Roman" w:eastAsia="宋体" w:cs="Times New Roman"/>
                <w:b/>
                <w:bCs w:val="0"/>
                <w:color w:val="auto"/>
                <w:sz w:val="21"/>
                <w:szCs w:val="21"/>
                <w:highlight w:val="none"/>
                <w:lang w:val="en-US" w:eastAsia="zh-CN"/>
              </w:rPr>
              <w:t xml:space="preserve">  项目固体废物判定表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769"/>
              <w:gridCol w:w="1470"/>
              <w:gridCol w:w="1785"/>
              <w:gridCol w:w="1710"/>
              <w:gridCol w:w="1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4" w:hRule="atLeast"/>
                <w:jc w:val="center"/>
              </w:trPr>
              <w:tc>
                <w:tcPr>
                  <w:tcW w:w="1559"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b/>
                      <w:bCs/>
                      <w:color w:val="auto"/>
                      <w:highlight w:val="none"/>
                      <w:vertAlign w:val="baseline"/>
                      <w:lang w:val="en-US" w:eastAsia="zh-CN"/>
                    </w:rPr>
                  </w:pPr>
                  <w:r>
                    <w:rPr>
                      <w:rFonts w:hint="eastAsia" w:ascii="Times New Roman" w:hAnsi="Times New Roman"/>
                      <w:b/>
                      <w:bCs/>
                      <w:color w:val="auto"/>
                      <w:highlight w:val="none"/>
                      <w:vertAlign w:val="baseline"/>
                      <w:lang w:val="en-US" w:eastAsia="zh-CN"/>
                    </w:rPr>
                    <w:t>名称</w:t>
                  </w:r>
                </w:p>
              </w:tc>
              <w:tc>
                <w:tcPr>
                  <w:tcW w:w="1769"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b/>
                      <w:bCs/>
                      <w:color w:val="auto"/>
                      <w:highlight w:val="none"/>
                      <w:vertAlign w:val="baseline"/>
                      <w:lang w:val="en-US" w:eastAsia="zh-CN"/>
                    </w:rPr>
                  </w:pPr>
                  <w:r>
                    <w:rPr>
                      <w:rFonts w:hint="eastAsia" w:ascii="Times New Roman" w:hAnsi="Times New Roman"/>
                      <w:b/>
                      <w:bCs/>
                      <w:color w:val="auto"/>
                      <w:highlight w:val="none"/>
                      <w:vertAlign w:val="baseline"/>
                      <w:lang w:val="en-US" w:eastAsia="zh-CN"/>
                    </w:rPr>
                    <w:t>产生工序</w:t>
                  </w:r>
                </w:p>
              </w:tc>
              <w:tc>
                <w:tcPr>
                  <w:tcW w:w="1470"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b/>
                      <w:bCs/>
                      <w:color w:val="auto"/>
                      <w:highlight w:val="none"/>
                      <w:vertAlign w:val="baseline"/>
                      <w:lang w:val="en-US" w:eastAsia="zh-CN"/>
                    </w:rPr>
                  </w:pPr>
                  <w:r>
                    <w:rPr>
                      <w:rFonts w:hint="eastAsia" w:ascii="Times New Roman" w:hAnsi="Times New Roman"/>
                      <w:b/>
                      <w:bCs/>
                      <w:color w:val="auto"/>
                      <w:highlight w:val="none"/>
                      <w:vertAlign w:val="baseline"/>
                      <w:lang w:val="en-US" w:eastAsia="zh-CN"/>
                    </w:rPr>
                    <w:t>属性</w:t>
                  </w:r>
                </w:p>
              </w:tc>
              <w:tc>
                <w:tcPr>
                  <w:tcW w:w="1785" w:type="dxa"/>
                  <w:tcBorders>
                    <w:tl2br w:val="nil"/>
                    <w:tr2bl w:val="nil"/>
                  </w:tcBorders>
                  <w:noWrap w:val="0"/>
                  <w:vAlign w:val="center"/>
                </w:tcPr>
                <w:p>
                  <w:pPr>
                    <w:pStyle w:val="2"/>
                    <w:spacing w:after="0"/>
                    <w:ind w:left="0" w:leftChars="0" w:firstLine="0" w:firstLineChars="0"/>
                    <w:jc w:val="center"/>
                    <w:rPr>
                      <w:rFonts w:hint="default" w:eastAsia="宋体"/>
                      <w:color w:val="auto"/>
                      <w:highlight w:val="none"/>
                      <w:lang w:val="en-US" w:eastAsia="zh-CN"/>
                    </w:rPr>
                  </w:pPr>
                  <w:r>
                    <w:rPr>
                      <w:rFonts w:hint="eastAsia" w:ascii="Times New Roman" w:hAnsi="Times New Roman"/>
                      <w:b/>
                      <w:bCs/>
                      <w:color w:val="auto"/>
                      <w:highlight w:val="none"/>
                      <w:vertAlign w:val="baseline"/>
                      <w:lang w:val="en-US" w:eastAsia="zh-CN"/>
                    </w:rPr>
                    <w:t>数量</w:t>
                  </w:r>
                  <w:r>
                    <w:rPr>
                      <w:rFonts w:hint="eastAsia"/>
                      <w:b/>
                      <w:bCs/>
                      <w:color w:val="auto"/>
                      <w:highlight w:val="none"/>
                      <w:vertAlign w:val="baseline"/>
                      <w:lang w:val="en-US" w:eastAsia="zh-CN"/>
                    </w:rPr>
                    <w:t>（t/a）</w:t>
                  </w:r>
                </w:p>
              </w:tc>
              <w:tc>
                <w:tcPr>
                  <w:tcW w:w="1710"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b/>
                      <w:bCs/>
                      <w:color w:val="auto"/>
                      <w:highlight w:val="none"/>
                      <w:vertAlign w:val="baseline"/>
                      <w:lang w:val="en-US" w:eastAsia="zh-CN"/>
                    </w:rPr>
                  </w:pPr>
                  <w:r>
                    <w:rPr>
                      <w:rFonts w:hint="eastAsia" w:ascii="Times New Roman" w:hAnsi="Times New Roman"/>
                      <w:b/>
                      <w:bCs/>
                      <w:color w:val="auto"/>
                      <w:highlight w:val="none"/>
                      <w:vertAlign w:val="baseline"/>
                      <w:lang w:val="en-US" w:eastAsia="zh-CN"/>
                    </w:rPr>
                    <w:t>处置措施</w:t>
                  </w:r>
                </w:p>
              </w:tc>
              <w:tc>
                <w:tcPr>
                  <w:tcW w:w="1061"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b/>
                      <w:bCs/>
                      <w:color w:val="auto"/>
                      <w:highlight w:val="none"/>
                      <w:vertAlign w:val="baseline"/>
                      <w:lang w:val="en-US" w:eastAsia="zh-CN"/>
                    </w:rPr>
                  </w:pPr>
                  <w:r>
                    <w:rPr>
                      <w:rFonts w:hint="eastAsia" w:ascii="Times New Roman" w:hAnsi="Times New Roman"/>
                      <w:b/>
                      <w:bCs/>
                      <w:color w:val="auto"/>
                      <w:highlight w:val="none"/>
                      <w:vertAlign w:val="baseline"/>
                      <w:lang w:val="en-US" w:eastAsia="zh-CN"/>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氧化铁皮</w:t>
                  </w:r>
                </w:p>
              </w:tc>
              <w:tc>
                <w:tcPr>
                  <w:tcW w:w="1769"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出钢</w:t>
                  </w:r>
                </w:p>
              </w:tc>
              <w:tc>
                <w:tcPr>
                  <w:tcW w:w="1470"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一般固废</w:t>
                  </w:r>
                </w:p>
              </w:tc>
              <w:tc>
                <w:tcPr>
                  <w:tcW w:w="1785"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1.5</w:t>
                  </w:r>
                </w:p>
              </w:tc>
              <w:tc>
                <w:tcPr>
                  <w:tcW w:w="1710"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综合利用</w:t>
                  </w:r>
                </w:p>
              </w:tc>
              <w:tc>
                <w:tcPr>
                  <w:tcW w:w="1061"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color w:val="auto"/>
                      <w:highlight w:val="none"/>
                      <w:vertAlign w:val="baseline"/>
                      <w:lang w:val="en-US" w:eastAsia="zh-CN"/>
                    </w:rPr>
                  </w:pPr>
                  <w:r>
                    <w:rPr>
                      <w:rFonts w:hint="eastAsia"/>
                      <w:color w:val="auto"/>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废钢料头</w:t>
                  </w:r>
                </w:p>
              </w:tc>
              <w:tc>
                <w:tcPr>
                  <w:tcW w:w="1769"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切割</w:t>
                  </w:r>
                </w:p>
              </w:tc>
              <w:tc>
                <w:tcPr>
                  <w:tcW w:w="1470"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color w:val="auto"/>
                      <w:highlight w:val="none"/>
                      <w:vertAlign w:val="baseline"/>
                      <w:lang w:val="en-US" w:eastAsia="zh-CN"/>
                    </w:rPr>
                  </w:pPr>
                  <w:r>
                    <w:rPr>
                      <w:rFonts w:hint="eastAsia"/>
                      <w:color w:val="auto"/>
                      <w:highlight w:val="none"/>
                      <w:vertAlign w:val="baseline"/>
                      <w:lang w:val="en-US" w:eastAsia="zh-CN"/>
                    </w:rPr>
                    <w:t>一般固废</w:t>
                  </w:r>
                </w:p>
              </w:tc>
              <w:tc>
                <w:tcPr>
                  <w:tcW w:w="1785"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2.5</w:t>
                  </w:r>
                </w:p>
              </w:tc>
              <w:tc>
                <w:tcPr>
                  <w:tcW w:w="1710"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综合利用</w:t>
                  </w:r>
                </w:p>
              </w:tc>
              <w:tc>
                <w:tcPr>
                  <w:tcW w:w="1061"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color w:val="auto"/>
                      <w:highlight w:val="none"/>
                      <w:vertAlign w:val="baseline"/>
                      <w:lang w:val="en-US" w:eastAsia="zh-CN"/>
                    </w:rPr>
                  </w:pPr>
                  <w:r>
                    <w:rPr>
                      <w:rFonts w:hint="eastAsia"/>
                      <w:color w:val="auto"/>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tcBorders>
                    <w:tl2br w:val="nil"/>
                    <w:tr2bl w:val="nil"/>
                  </w:tcBorders>
                  <w:noWrap w:val="0"/>
                  <w:vAlign w:val="center"/>
                </w:tcPr>
                <w:p>
                  <w:pPr>
                    <w:pStyle w:val="2"/>
                    <w:spacing w:after="0"/>
                    <w:ind w:left="0" w:leftChars="0" w:firstLine="0" w:firstLineChars="0"/>
                    <w:jc w:val="center"/>
                    <w:rPr>
                      <w:rFonts w:hint="eastAsia"/>
                      <w:color w:val="FF0000"/>
                      <w:highlight w:val="none"/>
                      <w:vertAlign w:val="baseline"/>
                      <w:lang w:val="en-US" w:eastAsia="zh-CN"/>
                    </w:rPr>
                  </w:pPr>
                  <w:r>
                    <w:rPr>
                      <w:rFonts w:hint="eastAsia"/>
                      <w:color w:val="FF0000"/>
                      <w:highlight w:val="none"/>
                      <w:vertAlign w:val="baseline"/>
                      <w:lang w:val="en-US" w:eastAsia="zh-CN"/>
                    </w:rPr>
                    <w:t>废铁屑</w:t>
                  </w:r>
                </w:p>
              </w:tc>
              <w:tc>
                <w:tcPr>
                  <w:tcW w:w="1769" w:type="dxa"/>
                  <w:tcBorders>
                    <w:tl2br w:val="nil"/>
                    <w:tr2bl w:val="nil"/>
                  </w:tcBorders>
                  <w:noWrap w:val="0"/>
                  <w:vAlign w:val="center"/>
                </w:tcPr>
                <w:p>
                  <w:pPr>
                    <w:pStyle w:val="2"/>
                    <w:spacing w:after="0"/>
                    <w:ind w:left="0" w:leftChars="0" w:firstLine="0" w:firstLineChars="0"/>
                    <w:jc w:val="center"/>
                    <w:rPr>
                      <w:rFonts w:hint="eastAsia"/>
                      <w:color w:val="FF0000"/>
                      <w:highlight w:val="none"/>
                      <w:vertAlign w:val="baseline"/>
                      <w:lang w:val="en-US" w:eastAsia="zh-CN"/>
                    </w:rPr>
                  </w:pPr>
                  <w:r>
                    <w:rPr>
                      <w:rFonts w:hint="eastAsia"/>
                      <w:color w:val="FF0000"/>
                      <w:highlight w:val="none"/>
                      <w:vertAlign w:val="baseline"/>
                      <w:lang w:val="en-US" w:eastAsia="zh-CN"/>
                    </w:rPr>
                    <w:t>机加工</w:t>
                  </w:r>
                </w:p>
              </w:tc>
              <w:tc>
                <w:tcPr>
                  <w:tcW w:w="1470" w:type="dxa"/>
                  <w:tcBorders>
                    <w:tl2br w:val="nil"/>
                    <w:tr2bl w:val="nil"/>
                  </w:tcBorders>
                  <w:noWrap w:val="0"/>
                  <w:vAlign w:val="center"/>
                </w:tcPr>
                <w:p>
                  <w:pPr>
                    <w:pStyle w:val="2"/>
                    <w:spacing w:after="0"/>
                    <w:ind w:left="0" w:leftChars="0" w:right="0" w:rightChars="0" w:firstLine="0" w:firstLineChars="0"/>
                    <w:jc w:val="center"/>
                    <w:rPr>
                      <w:rFonts w:hint="eastAsia"/>
                      <w:color w:val="FF0000"/>
                      <w:highlight w:val="none"/>
                      <w:vertAlign w:val="baseline"/>
                      <w:lang w:val="en-US" w:eastAsia="zh-CN"/>
                    </w:rPr>
                  </w:pPr>
                  <w:r>
                    <w:rPr>
                      <w:rFonts w:hint="eastAsia"/>
                      <w:color w:val="FF0000"/>
                      <w:highlight w:val="none"/>
                      <w:vertAlign w:val="baseline"/>
                      <w:lang w:val="en-US" w:eastAsia="zh-CN"/>
                    </w:rPr>
                    <w:t>一般固废</w:t>
                  </w:r>
                </w:p>
              </w:tc>
              <w:tc>
                <w:tcPr>
                  <w:tcW w:w="1785" w:type="dxa"/>
                  <w:tcBorders>
                    <w:tl2br w:val="nil"/>
                    <w:tr2bl w:val="nil"/>
                  </w:tcBorders>
                  <w:noWrap w:val="0"/>
                  <w:vAlign w:val="center"/>
                </w:tcPr>
                <w:p>
                  <w:pPr>
                    <w:pStyle w:val="2"/>
                    <w:spacing w:after="0"/>
                    <w:ind w:left="0" w:leftChars="0" w:right="0" w:rightChars="0" w:firstLine="0" w:firstLineChars="0"/>
                    <w:jc w:val="center"/>
                    <w:rPr>
                      <w:rFonts w:hint="default"/>
                      <w:color w:val="FF0000"/>
                      <w:highlight w:val="none"/>
                      <w:vertAlign w:val="baseline"/>
                      <w:lang w:val="en-US" w:eastAsia="zh-CN"/>
                    </w:rPr>
                  </w:pPr>
                  <w:r>
                    <w:rPr>
                      <w:rFonts w:hint="eastAsia"/>
                      <w:color w:val="FF0000"/>
                      <w:highlight w:val="none"/>
                      <w:vertAlign w:val="baseline"/>
                      <w:lang w:val="en-US" w:eastAsia="zh-CN"/>
                    </w:rPr>
                    <w:t>1.5</w:t>
                  </w:r>
                </w:p>
              </w:tc>
              <w:tc>
                <w:tcPr>
                  <w:tcW w:w="1710" w:type="dxa"/>
                  <w:tcBorders>
                    <w:tl2br w:val="nil"/>
                    <w:tr2bl w:val="nil"/>
                  </w:tcBorders>
                  <w:noWrap w:val="0"/>
                  <w:vAlign w:val="center"/>
                </w:tcPr>
                <w:p>
                  <w:pPr>
                    <w:pStyle w:val="2"/>
                    <w:spacing w:after="0"/>
                    <w:ind w:left="0" w:leftChars="0" w:right="0" w:rightChars="0" w:firstLine="0" w:firstLineChars="0"/>
                    <w:jc w:val="center"/>
                    <w:rPr>
                      <w:rFonts w:hint="eastAsia"/>
                      <w:color w:val="FF0000"/>
                      <w:highlight w:val="none"/>
                      <w:vertAlign w:val="baseline"/>
                      <w:lang w:val="en-US" w:eastAsia="zh-CN"/>
                    </w:rPr>
                  </w:pPr>
                  <w:r>
                    <w:rPr>
                      <w:rFonts w:hint="eastAsia"/>
                      <w:color w:val="FF0000"/>
                      <w:highlight w:val="none"/>
                      <w:vertAlign w:val="baseline"/>
                      <w:lang w:val="en-US" w:eastAsia="zh-CN"/>
                    </w:rPr>
                    <w:t>综合利用</w:t>
                  </w:r>
                </w:p>
              </w:tc>
              <w:tc>
                <w:tcPr>
                  <w:tcW w:w="1061" w:type="dxa"/>
                  <w:tcBorders>
                    <w:tl2br w:val="nil"/>
                    <w:tr2bl w:val="nil"/>
                  </w:tcBorders>
                  <w:noWrap w:val="0"/>
                  <w:vAlign w:val="center"/>
                </w:tcPr>
                <w:p>
                  <w:pPr>
                    <w:pStyle w:val="2"/>
                    <w:spacing w:after="0"/>
                    <w:ind w:left="0" w:leftChars="0" w:right="0" w:rightChars="0" w:firstLine="0" w:firstLineChars="0"/>
                    <w:jc w:val="center"/>
                    <w:rPr>
                      <w:rFonts w:hint="eastAsia"/>
                      <w:color w:val="FF0000"/>
                      <w:highlight w:val="none"/>
                      <w:vertAlign w:val="baseline"/>
                      <w:lang w:val="en-US" w:eastAsia="zh-CN"/>
                    </w:rPr>
                  </w:pPr>
                  <w:r>
                    <w:rPr>
                      <w:rFonts w:hint="eastAsia"/>
                      <w:color w:val="FF0000"/>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废油桶</w:t>
                  </w:r>
                </w:p>
              </w:tc>
              <w:tc>
                <w:tcPr>
                  <w:tcW w:w="1769"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设备维护</w:t>
                  </w:r>
                </w:p>
              </w:tc>
              <w:tc>
                <w:tcPr>
                  <w:tcW w:w="1470"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color w:val="auto"/>
                      <w:highlight w:val="none"/>
                      <w:vertAlign w:val="baseline"/>
                      <w:lang w:val="en-US" w:eastAsia="zh-CN"/>
                    </w:rPr>
                  </w:pPr>
                  <w:r>
                    <w:rPr>
                      <w:rFonts w:hint="eastAsia"/>
                      <w:color w:val="auto"/>
                      <w:highlight w:val="none"/>
                      <w:vertAlign w:val="baseline"/>
                      <w:lang w:val="en-US" w:eastAsia="zh-CN"/>
                    </w:rPr>
                    <w:t>危险废物</w:t>
                  </w:r>
                </w:p>
              </w:tc>
              <w:tc>
                <w:tcPr>
                  <w:tcW w:w="1785"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1</w:t>
                  </w:r>
                </w:p>
              </w:tc>
              <w:tc>
                <w:tcPr>
                  <w:tcW w:w="1710"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color w:val="auto"/>
                      <w:highlight w:val="none"/>
                      <w:vertAlign w:val="baseline"/>
                      <w:lang w:val="en-US" w:eastAsia="zh-CN"/>
                    </w:rPr>
                  </w:pPr>
                  <w:r>
                    <w:rPr>
                      <w:rFonts w:hint="eastAsia"/>
                      <w:color w:val="auto"/>
                      <w:highlight w:val="none"/>
                      <w:vertAlign w:val="baseline"/>
                      <w:lang w:val="en-US" w:eastAsia="zh-CN"/>
                    </w:rPr>
                    <w:t>委托处置</w:t>
                  </w:r>
                </w:p>
              </w:tc>
              <w:tc>
                <w:tcPr>
                  <w:tcW w:w="1061"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color w:val="auto"/>
                      <w:highlight w:val="none"/>
                      <w:vertAlign w:val="baseline"/>
                      <w:lang w:val="en-US" w:eastAsia="zh-CN"/>
                    </w:rPr>
                  </w:pPr>
                  <w:r>
                    <w:rPr>
                      <w:rFonts w:hint="eastAsia"/>
                      <w:color w:val="auto"/>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脱硫石膏</w:t>
                  </w:r>
                </w:p>
              </w:tc>
              <w:tc>
                <w:tcPr>
                  <w:tcW w:w="1769"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脱硫</w:t>
                  </w:r>
                </w:p>
              </w:tc>
              <w:tc>
                <w:tcPr>
                  <w:tcW w:w="1470"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危险废物</w:t>
                  </w:r>
                </w:p>
              </w:tc>
              <w:tc>
                <w:tcPr>
                  <w:tcW w:w="1785"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32</w:t>
                  </w:r>
                </w:p>
              </w:tc>
              <w:tc>
                <w:tcPr>
                  <w:tcW w:w="1710"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委托处置</w:t>
                  </w:r>
                </w:p>
              </w:tc>
              <w:tc>
                <w:tcPr>
                  <w:tcW w:w="1061"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559"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废催化剂</w:t>
                  </w:r>
                </w:p>
              </w:tc>
              <w:tc>
                <w:tcPr>
                  <w:tcW w:w="1769" w:type="dxa"/>
                  <w:tcBorders>
                    <w:tl2br w:val="nil"/>
                    <w:tr2bl w:val="nil"/>
                  </w:tcBorders>
                  <w:noWrap w:val="0"/>
                  <w:vAlign w:val="center"/>
                </w:tcPr>
                <w:p>
                  <w:pPr>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脱硝</w:t>
                  </w:r>
                </w:p>
              </w:tc>
              <w:tc>
                <w:tcPr>
                  <w:tcW w:w="1470" w:type="dxa"/>
                  <w:tcBorders>
                    <w:tl2br w:val="nil"/>
                    <w:tr2bl w:val="nil"/>
                  </w:tcBorders>
                  <w:noWrap w:val="0"/>
                  <w:vAlign w:val="center"/>
                </w:tcPr>
                <w:p>
                  <w:pPr>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危险废物</w:t>
                  </w:r>
                </w:p>
              </w:tc>
              <w:tc>
                <w:tcPr>
                  <w:tcW w:w="1785"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3t/3a</w:t>
                  </w:r>
                </w:p>
              </w:tc>
              <w:tc>
                <w:tcPr>
                  <w:tcW w:w="1710" w:type="dxa"/>
                  <w:tcBorders>
                    <w:tl2br w:val="nil"/>
                    <w:tr2bl w:val="nil"/>
                  </w:tcBorders>
                  <w:noWrap w:val="0"/>
                  <w:vAlign w:val="center"/>
                </w:tcPr>
                <w:p>
                  <w:pPr>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委托处置</w:t>
                  </w:r>
                </w:p>
              </w:tc>
              <w:tc>
                <w:tcPr>
                  <w:tcW w:w="1061"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559" w:type="dxa"/>
                  <w:tcBorders>
                    <w:tl2br w:val="nil"/>
                    <w:tr2bl w:val="nil"/>
                  </w:tcBorders>
                  <w:noWrap w:val="0"/>
                  <w:vAlign w:val="center"/>
                </w:tcPr>
                <w:p>
                  <w:pPr>
                    <w:pStyle w:val="2"/>
                    <w:spacing w:after="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生活垃圾</w:t>
                  </w:r>
                </w:p>
              </w:tc>
              <w:tc>
                <w:tcPr>
                  <w:tcW w:w="1769" w:type="dxa"/>
                  <w:tcBorders>
                    <w:tl2br w:val="nil"/>
                    <w:tr2bl w:val="nil"/>
                  </w:tcBorders>
                  <w:noWrap w:val="0"/>
                  <w:vAlign w:val="center"/>
                </w:tcPr>
                <w:p>
                  <w:pPr>
                    <w:spacing w:after="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职工生活</w:t>
                  </w:r>
                </w:p>
              </w:tc>
              <w:tc>
                <w:tcPr>
                  <w:tcW w:w="1470" w:type="dxa"/>
                  <w:tcBorders>
                    <w:tl2br w:val="nil"/>
                    <w:tr2bl w:val="nil"/>
                  </w:tcBorders>
                  <w:noWrap w:val="0"/>
                  <w:vAlign w:val="center"/>
                </w:tcPr>
                <w:p>
                  <w:pPr>
                    <w:spacing w:after="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一般固废</w:t>
                  </w:r>
                </w:p>
              </w:tc>
              <w:tc>
                <w:tcPr>
                  <w:tcW w:w="1785" w:type="dxa"/>
                  <w:tcBorders>
                    <w:tl2br w:val="nil"/>
                    <w:tr2bl w:val="nil"/>
                  </w:tcBorders>
                  <w:noWrap w:val="0"/>
                  <w:vAlign w:val="center"/>
                </w:tcPr>
                <w:p>
                  <w:pPr>
                    <w:pStyle w:val="2"/>
                    <w:spacing w:after="0"/>
                    <w:ind w:left="0" w:leftChars="0" w:firstLine="0" w:firstLineChars="0"/>
                    <w:jc w:val="center"/>
                    <w:rPr>
                      <w:rFonts w:hint="default" w:ascii="Times New Roman" w:hAnsi="Times New Roman"/>
                      <w:color w:val="auto"/>
                      <w:highlight w:val="none"/>
                      <w:vertAlign w:val="baseline"/>
                      <w:lang w:val="en-US" w:eastAsia="zh-CN"/>
                    </w:rPr>
                  </w:pPr>
                  <w:r>
                    <w:rPr>
                      <w:rFonts w:hint="eastAsia"/>
                      <w:color w:val="auto"/>
                      <w:highlight w:val="none"/>
                      <w:vertAlign w:val="baseline"/>
                      <w:lang w:val="en-US" w:eastAsia="zh-CN"/>
                    </w:rPr>
                    <w:t>32</w:t>
                  </w:r>
                </w:p>
              </w:tc>
              <w:tc>
                <w:tcPr>
                  <w:tcW w:w="1710" w:type="dxa"/>
                  <w:tcBorders>
                    <w:tl2br w:val="nil"/>
                    <w:tr2bl w:val="nil"/>
                  </w:tcBorders>
                  <w:noWrap w:val="0"/>
                  <w:vAlign w:val="center"/>
                </w:tcPr>
                <w:p>
                  <w:pPr>
                    <w:spacing w:after="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环卫清运</w:t>
                  </w:r>
                </w:p>
              </w:tc>
              <w:tc>
                <w:tcPr>
                  <w:tcW w:w="1061" w:type="dxa"/>
                  <w:tcBorders>
                    <w:tl2br w:val="nil"/>
                    <w:tr2bl w:val="nil"/>
                  </w:tcBorders>
                  <w:noWrap w:val="0"/>
                  <w:vAlign w:val="center"/>
                </w:tcPr>
                <w:p>
                  <w:pPr>
                    <w:pStyle w:val="2"/>
                    <w:spacing w:after="0"/>
                    <w:ind w:left="0" w:leftChars="0" w:firstLine="0" w:firstLineChars="0"/>
                    <w:jc w:val="center"/>
                    <w:rPr>
                      <w:rFonts w:hint="eastAsia" w:ascii="Times New Roman" w:hAnsi="Times New Roman"/>
                      <w:color w:val="auto"/>
                      <w:highlight w:val="none"/>
                      <w:vertAlign w:val="baseline"/>
                      <w:lang w:val="en-US" w:eastAsia="zh-CN"/>
                    </w:rPr>
                  </w:pPr>
                  <w:r>
                    <w:rPr>
                      <w:rFonts w:hint="eastAsia"/>
                      <w:color w:val="auto"/>
                      <w:highlight w:val="none"/>
                      <w:vertAlign w:val="baseline"/>
                      <w:lang w:val="en-US" w:eastAsia="zh-CN"/>
                    </w:rPr>
                    <w:t>0</w:t>
                  </w:r>
                </w:p>
              </w:tc>
            </w:tr>
          </w:tbl>
          <w:p>
            <w:pPr>
              <w:pStyle w:val="49"/>
              <w:keepNext w:val="0"/>
              <w:keepLines w:val="0"/>
              <w:pageBreakBefore w:val="0"/>
              <w:widowControl w:val="0"/>
              <w:kinsoku/>
              <w:wordWrap/>
              <w:overflowPunct/>
              <w:topLinePunct w:val="0"/>
              <w:autoSpaceDE/>
              <w:autoSpaceDN/>
              <w:bidi w:val="0"/>
              <w:snapToGrid/>
              <w:spacing w:line="360" w:lineRule="auto"/>
              <w:ind w:left="0" w:leftChars="0" w:right="-55" w:firstLine="0" w:firstLineChars="0"/>
              <w:jc w:val="both"/>
              <w:outlineLvl w:val="9"/>
              <w:rPr>
                <w:rFonts w:hint="default" w:ascii="Times New Roman" w:hAnsi="Times New Roman" w:cs="Times New Roman"/>
                <w:b/>
                <w:bCs w:val="0"/>
                <w:color w:val="auto"/>
                <w:szCs w:val="24"/>
                <w:shd w:val="clear" w:color="auto" w:fill="auto"/>
              </w:rPr>
            </w:pPr>
            <w:r>
              <w:rPr>
                <w:rFonts w:hint="default" w:ascii="Times New Roman" w:hAnsi="Times New Roman" w:cs="Times New Roman"/>
                <w:b/>
                <w:bCs w:val="0"/>
                <w:color w:val="auto"/>
                <w:szCs w:val="24"/>
                <w:shd w:val="clear" w:color="auto" w:fill="auto"/>
              </w:rPr>
              <w:t>4</w:t>
            </w:r>
            <w:r>
              <w:rPr>
                <w:rFonts w:hint="eastAsia" w:ascii="Times New Roman" w:hAnsi="Times New Roman" w:cs="Times New Roman"/>
                <w:b/>
                <w:bCs w:val="0"/>
                <w:color w:val="auto"/>
                <w:szCs w:val="24"/>
                <w:shd w:val="clear" w:color="auto" w:fill="auto"/>
                <w:lang w:eastAsia="zh-CN"/>
              </w:rPr>
              <w:t>、</w:t>
            </w:r>
            <w:r>
              <w:rPr>
                <w:rFonts w:hint="default" w:ascii="Times New Roman" w:hAnsi="Times New Roman" w:cs="Times New Roman"/>
                <w:b/>
                <w:bCs w:val="0"/>
                <w:color w:val="auto"/>
                <w:szCs w:val="24"/>
                <w:shd w:val="clear" w:color="auto" w:fill="auto"/>
              </w:rPr>
              <w:t>噪声</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本项目营运期噪声主要为</w:t>
            </w:r>
            <w:r>
              <w:rPr>
                <w:rFonts w:hint="eastAsia" w:cs="Times New Roman"/>
                <w:color w:val="auto"/>
                <w:sz w:val="24"/>
                <w:lang w:val="en-US" w:eastAsia="zh-CN"/>
              </w:rPr>
              <w:t>轧机、机加工设备</w:t>
            </w:r>
            <w:r>
              <w:rPr>
                <w:rFonts w:hint="default" w:ascii="Times New Roman" w:hAnsi="Times New Roman" w:cs="Times New Roman"/>
                <w:color w:val="auto"/>
                <w:sz w:val="24"/>
              </w:rPr>
              <w:t>等运行的噪声，类比同类生产设备运行时测得数值，本项目营运期噪声值应该在 70～90dB 之间。本项目噪声设备设置于</w:t>
            </w:r>
            <w:r>
              <w:rPr>
                <w:rFonts w:hint="eastAsia" w:cs="Times New Roman"/>
                <w:color w:val="auto"/>
                <w:sz w:val="24"/>
                <w:lang w:val="en-US" w:eastAsia="zh-CN"/>
              </w:rPr>
              <w:t>生产车间</w:t>
            </w:r>
            <w:r>
              <w:rPr>
                <w:rFonts w:hint="default" w:ascii="Times New Roman" w:hAnsi="Times New Roman" w:cs="Times New Roman"/>
                <w:color w:val="auto"/>
                <w:sz w:val="24"/>
              </w:rPr>
              <w:t>内部，同时对高噪声设备采取基础减震措施，降低噪声的产生；加强对生产设备的维护及检修，避免出现非正常运转的情况</w:t>
            </w:r>
            <w:r>
              <w:rPr>
                <w:rFonts w:hint="eastAsia" w:cs="Times New Roman"/>
                <w:color w:val="auto"/>
                <w:sz w:val="24"/>
                <w:lang w:eastAsia="zh-CN"/>
              </w:rPr>
              <w:t>。</w:t>
            </w:r>
            <w:r>
              <w:rPr>
                <w:rFonts w:hint="default" w:ascii="Times New Roman" w:hAnsi="Times New Roman" w:eastAsia="宋体" w:cs="Times New Roman"/>
                <w:color w:val="auto"/>
                <w:sz w:val="24"/>
                <w:szCs w:val="24"/>
              </w:rPr>
              <w:t>在采取降噪措施后，</w:t>
            </w:r>
            <w:r>
              <w:rPr>
                <w:rFonts w:hint="eastAsia" w:cs="Times New Roman"/>
                <w:color w:val="auto"/>
                <w:sz w:val="24"/>
                <w:szCs w:val="24"/>
                <w:lang w:val="en-US" w:eastAsia="zh-CN"/>
              </w:rPr>
              <w:t>项目运行</w:t>
            </w:r>
            <w:r>
              <w:rPr>
                <w:rFonts w:hint="default" w:ascii="Times New Roman" w:hAnsi="Times New Roman" w:eastAsia="宋体" w:cs="Times New Roman"/>
                <w:color w:val="auto"/>
                <w:sz w:val="24"/>
                <w:szCs w:val="24"/>
              </w:rPr>
              <w:t>对周围环境影响较小</w:t>
            </w:r>
            <w:r>
              <w:rPr>
                <w:rFonts w:hint="default" w:ascii="Times New Roman" w:hAnsi="Times New Roman" w:cs="Times New Roman"/>
                <w:color w:val="auto"/>
                <w:sz w:val="24"/>
                <w:lang w:val="en-US" w:eastAsia="zh-CN"/>
              </w:rPr>
              <w:t>。</w:t>
            </w: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46"/>
              <w:spacing w:line="360" w:lineRule="auto"/>
              <w:ind w:firstLine="0"/>
              <w:rPr>
                <w:rFonts w:hint="default" w:ascii="Times New Roman" w:hAnsi="Times New Roman" w:cs="Times New Roman"/>
                <w:color w:val="auto"/>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六、项目主要污染物产生及预计排放情况</w:t>
      </w:r>
    </w:p>
    <w:tbl>
      <w:tblPr>
        <w:tblStyle w:val="24"/>
        <w:tblW w:w="9638"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544"/>
        <w:gridCol w:w="1412"/>
        <w:gridCol w:w="2834"/>
        <w:gridCol w:w="2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tcBorders>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w w:val="103"/>
                <w:sz w:val="21"/>
                <w:szCs w:val="21"/>
              </w:rPr>
            </w:pPr>
            <w:r>
              <w:rPr>
                <w:rFonts w:hint="default" w:ascii="Times New Roman" w:hAnsi="Times New Roman" w:eastAsia="宋体" w:cs="Times New Roman"/>
                <w:b/>
                <w:bCs/>
                <w:color w:val="auto"/>
                <w:w w:val="103"/>
                <w:sz w:val="21"/>
                <w:szCs w:val="21"/>
              </w:rPr>
              <w:t>内容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w w:val="103"/>
                <w:sz w:val="21"/>
                <w:szCs w:val="21"/>
              </w:rPr>
            </w:pPr>
            <w:r>
              <w:rPr>
                <w:rFonts w:hint="default" w:ascii="Times New Roman" w:hAnsi="Times New Roman" w:eastAsia="宋体" w:cs="Times New Roman"/>
                <w:b/>
                <w:bCs/>
                <w:color w:val="auto"/>
                <w:w w:val="103"/>
                <w:sz w:val="21"/>
                <w:szCs w:val="21"/>
              </w:rPr>
              <w:t>类型</w:t>
            </w:r>
          </w:p>
        </w:tc>
        <w:tc>
          <w:tcPr>
            <w:tcW w:w="15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w w:val="103"/>
                <w:sz w:val="21"/>
                <w:szCs w:val="21"/>
              </w:rPr>
            </w:pPr>
            <w:r>
              <w:rPr>
                <w:rFonts w:hint="default" w:ascii="Times New Roman" w:hAnsi="Times New Roman" w:eastAsia="宋体" w:cs="Times New Roman"/>
                <w:b/>
                <w:bCs/>
                <w:color w:val="auto"/>
                <w:w w:val="103"/>
                <w:sz w:val="21"/>
                <w:szCs w:val="21"/>
              </w:rPr>
              <w:t>排放源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w w:val="103"/>
                <w:sz w:val="21"/>
                <w:szCs w:val="21"/>
              </w:rPr>
            </w:pPr>
            <w:r>
              <w:rPr>
                <w:rFonts w:hint="default" w:ascii="Times New Roman" w:hAnsi="Times New Roman" w:eastAsia="宋体" w:cs="Times New Roman"/>
                <w:b/>
                <w:bCs/>
                <w:color w:val="auto"/>
                <w:w w:val="103"/>
                <w:sz w:val="21"/>
                <w:szCs w:val="21"/>
              </w:rPr>
              <w:t>（编号）</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w w:val="103"/>
                <w:sz w:val="21"/>
                <w:szCs w:val="21"/>
              </w:rPr>
            </w:pPr>
            <w:r>
              <w:rPr>
                <w:rFonts w:hint="default" w:ascii="Times New Roman" w:hAnsi="Times New Roman" w:eastAsia="宋体" w:cs="Times New Roman"/>
                <w:b/>
                <w:bCs/>
                <w:color w:val="auto"/>
                <w:w w:val="103"/>
                <w:sz w:val="21"/>
                <w:szCs w:val="21"/>
              </w:rPr>
              <w:t>污染物名称</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w w:val="103"/>
                <w:sz w:val="21"/>
                <w:szCs w:val="21"/>
              </w:rPr>
            </w:pPr>
            <w:r>
              <w:rPr>
                <w:rFonts w:hint="default" w:ascii="Times New Roman" w:hAnsi="Times New Roman" w:eastAsia="宋体" w:cs="Times New Roman"/>
                <w:b/>
                <w:bCs/>
                <w:color w:val="auto"/>
                <w:w w:val="103"/>
                <w:sz w:val="21"/>
                <w:szCs w:val="21"/>
              </w:rPr>
              <w:t>处理前产生浓度及产生量</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w w:val="103"/>
                <w:sz w:val="21"/>
                <w:szCs w:val="21"/>
              </w:rPr>
            </w:pPr>
            <w:r>
              <w:rPr>
                <w:rFonts w:hint="default" w:ascii="Times New Roman" w:hAnsi="Times New Roman" w:eastAsia="宋体" w:cs="Times New Roman"/>
                <w:b/>
                <w:bCs/>
                <w:color w:val="auto"/>
                <w:w w:val="103"/>
                <w:sz w:val="2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rPr>
            </w:pPr>
            <w:r>
              <w:rPr>
                <w:rFonts w:hint="default" w:ascii="Times New Roman" w:hAnsi="Times New Roman" w:eastAsia="宋体" w:cs="Times New Roman"/>
                <w:color w:val="auto"/>
                <w:sz w:val="21"/>
                <w:szCs w:val="21"/>
              </w:rPr>
              <w:t>大气污染物</w:t>
            </w:r>
          </w:p>
        </w:tc>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P1排气筒</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shd w:val="clear" w:color="auto" w:fill="auto"/>
                <w:vertAlign w:val="baseline"/>
                <w:lang w:val="en-US" w:eastAsia="zh-CN"/>
              </w:rPr>
              <w:t>44</w:t>
            </w:r>
            <w:r>
              <w:rPr>
                <w:rFonts w:hint="default" w:ascii="Times New Roman" w:hAnsi="Times New Roman" w:eastAsia="宋体" w:cs="Times New Roman"/>
                <w:color w:val="auto"/>
                <w:sz w:val="21"/>
                <w:szCs w:val="21"/>
                <w:highlight w:val="none"/>
                <w:shd w:val="clear" w:color="auto" w:fill="auto"/>
                <w:vertAlign w:val="baseline"/>
                <w:lang w:val="en-US" w:eastAsia="zh-CN"/>
              </w:rPr>
              <w:t>mg/m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5.4</w:t>
            </w:r>
            <w:r>
              <w:rPr>
                <w:rFonts w:hint="default" w:ascii="Times New Roman" w:hAnsi="Times New Roman" w:eastAsia="宋体" w:cs="Times New Roman"/>
                <w:color w:val="auto"/>
                <w:sz w:val="21"/>
                <w:szCs w:val="21"/>
                <w:highlight w:val="none"/>
                <w:shd w:val="clear" w:color="auto" w:fill="auto"/>
                <w:vertAlign w:val="baseline"/>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shd w:val="clear" w:color="auto" w:fill="auto"/>
                <w:vertAlign w:val="baseline"/>
                <w:lang w:val="en-US" w:eastAsia="zh-CN"/>
              </w:rPr>
              <w:t>4.4</w:t>
            </w:r>
            <w:r>
              <w:rPr>
                <w:rFonts w:hint="default" w:ascii="Times New Roman" w:hAnsi="Times New Roman" w:eastAsia="宋体" w:cs="Times New Roman"/>
                <w:color w:val="auto"/>
                <w:sz w:val="21"/>
                <w:szCs w:val="21"/>
                <w:highlight w:val="none"/>
                <w:shd w:val="clear" w:color="auto" w:fill="auto"/>
                <w:vertAlign w:val="baseline"/>
                <w:lang w:val="en-US" w:eastAsia="zh-CN"/>
              </w:rPr>
              <w:t>mg/m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0.61</w:t>
            </w:r>
            <w:r>
              <w:rPr>
                <w:rFonts w:hint="default" w:ascii="Times New Roman" w:hAnsi="Times New Roman" w:eastAsia="宋体" w:cs="Times New Roman"/>
                <w:color w:val="auto"/>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shd w:val="clear" w:color="auto" w:fill="auto"/>
                <w:vertAlign w:val="baseline"/>
                <w:lang w:val="en-US" w:eastAsia="zh-CN"/>
              </w:rPr>
              <w:t>167</w:t>
            </w:r>
            <w:r>
              <w:rPr>
                <w:rFonts w:hint="default" w:ascii="Times New Roman" w:hAnsi="Times New Roman" w:eastAsia="宋体" w:cs="Times New Roman"/>
                <w:color w:val="auto"/>
                <w:sz w:val="21"/>
                <w:szCs w:val="21"/>
                <w:highlight w:val="none"/>
                <w:shd w:val="clear" w:color="auto" w:fill="auto"/>
                <w:vertAlign w:val="baseline"/>
                <w:lang w:val="en-US" w:eastAsia="zh-CN"/>
              </w:rPr>
              <w:t>mg/m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18.4</w:t>
            </w:r>
            <w:r>
              <w:rPr>
                <w:rFonts w:hint="default" w:ascii="Times New Roman" w:hAnsi="Times New Roman" w:eastAsia="宋体" w:cs="Times New Roman"/>
                <w:color w:val="auto"/>
                <w:sz w:val="21"/>
                <w:szCs w:val="21"/>
                <w:highlight w:val="none"/>
                <w:shd w:val="clear" w:color="auto" w:fill="auto"/>
                <w:vertAlign w:val="baseline"/>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shd w:val="clear" w:color="auto" w:fill="auto"/>
                <w:vertAlign w:val="baseline"/>
                <w:lang w:val="en-US" w:eastAsia="zh-CN"/>
              </w:rPr>
              <w:t>16.7</w:t>
            </w:r>
            <w:r>
              <w:rPr>
                <w:rFonts w:hint="default" w:ascii="Times New Roman" w:hAnsi="Times New Roman" w:eastAsia="宋体" w:cs="Times New Roman"/>
                <w:color w:val="auto"/>
                <w:sz w:val="21"/>
                <w:szCs w:val="21"/>
                <w:highlight w:val="none"/>
                <w:shd w:val="clear" w:color="auto" w:fill="auto"/>
                <w:vertAlign w:val="baseline"/>
                <w:lang w:val="en-US" w:eastAsia="zh-CN"/>
              </w:rPr>
              <w:t>mg/m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2.07t</w:t>
            </w:r>
            <w:r>
              <w:rPr>
                <w:rFonts w:hint="default" w:ascii="Times New Roman" w:hAnsi="Times New Roman" w:eastAsia="宋体" w:cs="Times New Roman"/>
                <w:color w:val="auto"/>
                <w:sz w:val="21"/>
                <w:szCs w:val="21"/>
                <w:highlight w:val="none"/>
                <w:shd w:val="clear" w:color="auto" w:fill="auto"/>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shd w:val="clear" w:color="auto" w:fill="auto"/>
                <w:vertAlign w:val="baseline"/>
                <w:lang w:val="en-US" w:eastAsia="zh-CN"/>
              </w:rPr>
              <w:t>37</w:t>
            </w:r>
            <w:r>
              <w:rPr>
                <w:rFonts w:hint="default" w:ascii="Times New Roman" w:hAnsi="Times New Roman" w:eastAsia="宋体" w:cs="Times New Roman"/>
                <w:color w:val="auto"/>
                <w:sz w:val="21"/>
                <w:szCs w:val="21"/>
                <w:highlight w:val="none"/>
                <w:shd w:val="clear" w:color="auto" w:fill="auto"/>
                <w:vertAlign w:val="baseline"/>
                <w:lang w:val="en-US" w:eastAsia="zh-CN"/>
              </w:rPr>
              <w:t>mg/m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4.1</w:t>
            </w:r>
            <w:r>
              <w:rPr>
                <w:rFonts w:hint="default" w:ascii="Times New Roman" w:hAnsi="Times New Roman" w:eastAsia="宋体" w:cs="Times New Roman"/>
                <w:color w:val="auto"/>
                <w:sz w:val="21"/>
                <w:szCs w:val="21"/>
                <w:highlight w:val="none"/>
                <w:shd w:val="clear" w:color="auto" w:fill="auto"/>
                <w:vertAlign w:val="baseline"/>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shd w:val="clear" w:color="auto" w:fill="auto"/>
                <w:vertAlign w:val="baseline"/>
                <w:lang w:val="en-US" w:eastAsia="zh-CN"/>
              </w:rPr>
              <w:t>3.7</w:t>
            </w:r>
            <w:r>
              <w:rPr>
                <w:rFonts w:hint="default" w:ascii="Times New Roman" w:hAnsi="Times New Roman" w:eastAsia="宋体" w:cs="Times New Roman"/>
                <w:color w:val="auto"/>
                <w:sz w:val="21"/>
                <w:szCs w:val="21"/>
                <w:highlight w:val="none"/>
                <w:shd w:val="clear" w:color="auto" w:fill="auto"/>
                <w:vertAlign w:val="baseline"/>
                <w:lang w:val="en-US" w:eastAsia="zh-CN"/>
              </w:rPr>
              <w:t>mg/m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0.46</w:t>
            </w:r>
            <w:r>
              <w:rPr>
                <w:rFonts w:hint="default" w:ascii="Times New Roman" w:hAnsi="Times New Roman" w:eastAsia="宋体" w:cs="Times New Roman"/>
                <w:color w:val="auto"/>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rPr>
            </w:pPr>
          </w:p>
          <w:p>
            <w:pPr>
              <w:pStyle w:val="2"/>
              <w:rPr>
                <w:rFonts w:hint="default"/>
                <w:color w:val="auto"/>
              </w:rPr>
            </w:pPr>
          </w:p>
        </w:tc>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1mg/m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vertAlign w:val="baseline"/>
                <w:lang w:val="en-US" w:eastAsia="zh-CN"/>
              </w:rPr>
              <w:t>，0.1152t/a，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olor w:val="auto"/>
              </w:rPr>
            </w:pPr>
          </w:p>
        </w:tc>
        <w:tc>
          <w:tcPr>
            <w:tcW w:w="15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lang w:val="en-US" w:eastAsia="zh-CN"/>
              </w:rPr>
            </w:pPr>
            <w:r>
              <w:rPr>
                <w:rFonts w:hint="eastAsia"/>
                <w:color w:val="auto"/>
                <w:lang w:val="en-US" w:eastAsia="zh-CN"/>
              </w:rPr>
              <w:t>机加工车间</w:t>
            </w:r>
            <w:r>
              <w:rPr>
                <w:rFonts w:hint="eastAsia" w:ascii="Times New Roman" w:hAnsi="Times New Roman" w:eastAsia="宋体"/>
                <w:color w:val="auto"/>
                <w:lang w:val="en-US" w:eastAsia="zh-CN"/>
              </w:rPr>
              <w:t>无组织面源</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r>
              <w:rPr>
                <w:rFonts w:hint="eastAsia" w:cs="Times New Roman"/>
                <w:b w:val="0"/>
                <w:bCs/>
                <w:color w:val="auto"/>
                <w:sz w:val="21"/>
                <w:szCs w:val="21"/>
                <w:highlight w:val="none"/>
                <w:vertAlign w:val="baseline"/>
                <w:lang w:val="en-US" w:eastAsia="zh-CN"/>
              </w:rPr>
              <w:t>0.042</w:t>
            </w:r>
            <w:r>
              <w:rPr>
                <w:rFonts w:hint="eastAsia" w:ascii="Times New Roman" w:hAnsi="Times New Roman" w:eastAsia="宋体" w:cs="Times New Roman"/>
                <w:b w:val="0"/>
                <w:bCs/>
                <w:color w:val="auto"/>
                <w:sz w:val="21"/>
                <w:szCs w:val="21"/>
                <w:highlight w:val="none"/>
                <w:vertAlign w:val="baseline"/>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color w:val="auto"/>
                <w:sz w:val="21"/>
                <w:szCs w:val="21"/>
                <w:highlight w:val="none"/>
                <w:shd w:val="clear" w:color="auto" w:fill="auto"/>
                <w:vertAlign w:val="baseline"/>
                <w:lang w:val="en-US" w:eastAsia="zh-CN"/>
              </w:rPr>
              <w:t>0.004017</w:t>
            </w:r>
            <w:r>
              <w:rPr>
                <w:rFonts w:hint="default" w:ascii="Times New Roman" w:hAnsi="Times New Roman" w:eastAsia="宋体" w:cs="Times New Roman"/>
                <w:color w:val="auto"/>
                <w:sz w:val="21"/>
                <w:szCs w:val="21"/>
                <w:highlight w:val="none"/>
                <w:shd w:val="clear" w:color="auto" w:fill="auto"/>
                <w:vertAlign w:val="baseline"/>
                <w:lang w:val="en-US" w:eastAsia="zh-CN"/>
              </w:rPr>
              <w:t>mg/m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0.0042</w:t>
            </w:r>
            <w:r>
              <w:rPr>
                <w:rFonts w:hint="default" w:ascii="Times New Roman" w:hAnsi="Times New Roman" w:eastAsia="宋体" w:cs="Times New Roman"/>
                <w:color w:val="auto"/>
                <w:sz w:val="21"/>
                <w:szCs w:val="21"/>
                <w:highlight w:val="none"/>
                <w:shd w:val="clear" w:color="auto" w:fill="auto"/>
                <w:vertAlign w:val="baseline"/>
                <w:lang w:val="en-US" w:eastAsia="zh-CN"/>
              </w:rPr>
              <w:t>t/a</w:t>
            </w:r>
            <w:r>
              <w:rPr>
                <w:rFonts w:hint="eastAsia" w:ascii="Times New Roman" w:hAnsi="Times New Roman" w:eastAsia="宋体" w:cs="Times New Roman"/>
                <w:b w:val="0"/>
                <w:bCs/>
                <w:color w:val="auto"/>
                <w:sz w:val="21"/>
                <w:szCs w:val="21"/>
                <w:highlight w:val="non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3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rPr>
            </w:pPr>
            <w:r>
              <w:rPr>
                <w:rFonts w:hint="default" w:ascii="Times New Roman" w:hAnsi="Times New Roman" w:eastAsia="宋体" w:cs="Times New Roman"/>
                <w:color w:val="auto"/>
                <w:w w:val="103"/>
                <w:sz w:val="21"/>
                <w:szCs w:val="21"/>
              </w:rPr>
              <w:t>水污染物</w:t>
            </w:r>
          </w:p>
        </w:tc>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sz w:val="21"/>
                <w:szCs w:val="21"/>
                <w:vertAlign w:val="baseline"/>
                <w:lang w:val="en-US" w:eastAsia="zh-CN"/>
              </w:rPr>
              <w:t>350</w:t>
            </w:r>
            <w:r>
              <w:rPr>
                <w:rFonts w:hint="default" w:ascii="Times New Roman" w:hAnsi="Times New Roman" w:eastAsia="宋体" w:cs="Times New Roman"/>
                <w:color w:val="auto"/>
                <w:sz w:val="21"/>
                <w:szCs w:val="21"/>
                <w:vertAlign w:val="baseline"/>
                <w:lang w:val="en-US" w:eastAsia="zh-CN"/>
              </w:rPr>
              <w:t xml:space="preserve"> mg/L，</w:t>
            </w:r>
            <w:r>
              <w:rPr>
                <w:rFonts w:hint="eastAsia" w:cs="Times New Roman"/>
                <w:color w:val="auto"/>
                <w:sz w:val="21"/>
                <w:szCs w:val="21"/>
                <w:vertAlign w:val="baseline"/>
                <w:lang w:val="en-US" w:eastAsia="zh-CN"/>
              </w:rPr>
              <w:t>0.896</w:t>
            </w:r>
            <w:r>
              <w:rPr>
                <w:rFonts w:hint="default" w:ascii="Times New Roman" w:hAnsi="Times New Roman" w:eastAsia="宋体" w:cs="Times New Roman"/>
                <w:color w:val="auto"/>
                <w:sz w:val="21"/>
                <w:szCs w:val="21"/>
                <w:vertAlign w:val="baseline"/>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w w:val="103"/>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rPr>
            </w:pPr>
          </w:p>
        </w:tc>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氨氮</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35</w:t>
            </w:r>
            <w:r>
              <w:rPr>
                <w:rFonts w:hint="default" w:ascii="Times New Roman" w:hAnsi="Times New Roman" w:eastAsia="宋体" w:cs="Times New Roman"/>
                <w:color w:val="auto"/>
                <w:sz w:val="21"/>
                <w:szCs w:val="21"/>
                <w:vertAlign w:val="baseline"/>
                <w:lang w:val="en-US" w:eastAsia="zh-CN"/>
              </w:rPr>
              <w:t xml:space="preserve"> mg/L，</w:t>
            </w:r>
            <w:r>
              <w:rPr>
                <w:rFonts w:hint="eastAsia" w:cs="Times New Roman"/>
                <w:color w:val="auto"/>
                <w:sz w:val="21"/>
                <w:szCs w:val="21"/>
                <w:vertAlign w:val="baseline"/>
                <w:lang w:val="en-US" w:eastAsia="zh-CN"/>
              </w:rPr>
              <w:t>0.0896</w:t>
            </w:r>
            <w:r>
              <w:rPr>
                <w:rFonts w:hint="default" w:ascii="Times New Roman" w:hAnsi="Times New Roman" w:eastAsia="宋体" w:cs="Times New Roman"/>
                <w:color w:val="auto"/>
                <w:sz w:val="21"/>
                <w:szCs w:val="21"/>
                <w:vertAlign w:val="baseline"/>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w w:val="103"/>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rPr>
            </w:pPr>
          </w:p>
        </w:tc>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200</w:t>
            </w:r>
            <w:r>
              <w:rPr>
                <w:rFonts w:hint="default" w:ascii="Times New Roman" w:hAnsi="Times New Roman" w:eastAsia="宋体" w:cs="Times New Roman"/>
                <w:color w:val="auto"/>
                <w:sz w:val="21"/>
                <w:szCs w:val="21"/>
                <w:vertAlign w:val="baseline"/>
                <w:lang w:val="en-US" w:eastAsia="zh-CN"/>
              </w:rPr>
              <w:t xml:space="preserve"> mg/L，</w:t>
            </w:r>
            <w:r>
              <w:rPr>
                <w:rFonts w:hint="eastAsia" w:cs="Times New Roman"/>
                <w:color w:val="auto"/>
                <w:sz w:val="21"/>
                <w:szCs w:val="21"/>
                <w:vertAlign w:val="baseline"/>
                <w:lang w:val="en-US" w:eastAsia="zh-CN"/>
              </w:rPr>
              <w:t>0.512</w:t>
            </w:r>
            <w:r>
              <w:rPr>
                <w:rFonts w:hint="default" w:ascii="Times New Roman" w:hAnsi="Times New Roman" w:eastAsia="宋体" w:cs="Times New Roman"/>
                <w:color w:val="auto"/>
                <w:sz w:val="21"/>
                <w:szCs w:val="21"/>
                <w:vertAlign w:val="baseline"/>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w w:val="103"/>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rPr>
            </w:pPr>
            <w:r>
              <w:rPr>
                <w:rFonts w:hint="default" w:ascii="Times New Roman" w:hAnsi="Times New Roman" w:eastAsia="宋体" w:cs="Times New Roman"/>
                <w:color w:val="auto"/>
                <w:sz w:val="21"/>
                <w:szCs w:val="21"/>
              </w:rPr>
              <w:t>固体废物</w:t>
            </w:r>
          </w:p>
        </w:tc>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生产过程</w:t>
            </w:r>
          </w:p>
        </w:tc>
        <w:tc>
          <w:tcPr>
            <w:tcW w:w="1412" w:type="dxa"/>
            <w:noWrap w:val="0"/>
            <w:vAlign w:val="center"/>
          </w:tcPr>
          <w:p>
            <w:pPr>
              <w:pStyle w:val="2"/>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olor w:val="auto"/>
                <w:highlight w:val="none"/>
                <w:vertAlign w:val="baseline"/>
                <w:lang w:val="en-US" w:eastAsia="zh-CN"/>
              </w:rPr>
              <w:t>氧化铁皮</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lang w:val="en-US" w:eastAsia="zh-CN"/>
              </w:rPr>
            </w:pPr>
            <w:r>
              <w:rPr>
                <w:rFonts w:hint="eastAsia" w:cs="Times New Roman"/>
                <w:color w:val="auto"/>
                <w:w w:val="103"/>
                <w:sz w:val="21"/>
                <w:szCs w:val="21"/>
                <w:lang w:val="en-US" w:eastAsia="zh-CN"/>
              </w:rPr>
              <w:t>1.5</w:t>
            </w:r>
            <w:r>
              <w:rPr>
                <w:rFonts w:hint="eastAsia" w:ascii="Times New Roman" w:hAnsi="Times New Roman" w:eastAsia="宋体" w:cs="Times New Roman"/>
                <w:color w:val="auto"/>
                <w:w w:val="103"/>
                <w:sz w:val="21"/>
                <w:szCs w:val="21"/>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w w:val="103"/>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1412" w:type="dxa"/>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color w:val="auto"/>
                <w:highlight w:val="none"/>
                <w:vertAlign w:val="baseline"/>
                <w:lang w:val="en-US" w:eastAsia="zh-CN"/>
              </w:rPr>
              <w:t>废钢料头</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w w:val="103"/>
                <w:sz w:val="21"/>
                <w:szCs w:val="21"/>
                <w:lang w:val="en-US" w:eastAsia="zh-CN"/>
              </w:rPr>
              <w:t>2</w:t>
            </w:r>
            <w:r>
              <w:rPr>
                <w:rFonts w:hint="eastAsia" w:cs="Times New Roman"/>
                <w:color w:val="auto"/>
                <w:w w:val="103"/>
                <w:sz w:val="21"/>
                <w:szCs w:val="21"/>
                <w:lang w:val="en-US" w:eastAsia="zh-CN"/>
              </w:rPr>
              <w:t>.</w:t>
            </w:r>
            <w:r>
              <w:rPr>
                <w:rFonts w:hint="eastAsia" w:ascii="Times New Roman" w:hAnsi="Times New Roman" w:eastAsia="宋体" w:cs="Times New Roman"/>
                <w:color w:val="auto"/>
                <w:w w:val="103"/>
                <w:sz w:val="21"/>
                <w:szCs w:val="21"/>
                <w:lang w:val="en-US" w:eastAsia="zh-CN"/>
              </w:rPr>
              <w:t>5t/a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w w:val="103"/>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1412" w:type="dxa"/>
            <w:noWrap w:val="0"/>
            <w:vAlign w:val="center"/>
          </w:tcPr>
          <w:p>
            <w:pPr>
              <w:pStyle w:val="2"/>
              <w:spacing w:after="0"/>
              <w:ind w:left="0" w:leftChars="0" w:right="0" w:rightChars="0" w:firstLine="0" w:firstLineChars="0"/>
              <w:jc w:val="center"/>
              <w:rPr>
                <w:rFonts w:hint="eastAsia"/>
                <w:color w:val="FF0000"/>
                <w:highlight w:val="none"/>
                <w:vertAlign w:val="baseline"/>
                <w:lang w:val="en-US" w:eastAsia="zh-CN"/>
              </w:rPr>
            </w:pPr>
            <w:r>
              <w:rPr>
                <w:rFonts w:hint="eastAsia"/>
                <w:color w:val="FF0000"/>
                <w:highlight w:val="none"/>
                <w:vertAlign w:val="baseline"/>
                <w:lang w:val="en-US" w:eastAsia="zh-CN"/>
              </w:rPr>
              <w:t>废铁屑</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w w:val="103"/>
                <w:sz w:val="21"/>
                <w:szCs w:val="21"/>
                <w:lang w:val="en-US" w:eastAsia="zh-CN"/>
              </w:rPr>
            </w:pPr>
            <w:r>
              <w:rPr>
                <w:rFonts w:hint="eastAsia" w:cs="Times New Roman"/>
                <w:color w:val="FF0000"/>
                <w:w w:val="103"/>
                <w:sz w:val="21"/>
                <w:szCs w:val="21"/>
                <w:lang w:val="en-US" w:eastAsia="zh-CN"/>
              </w:rPr>
              <w:t>1.5t/a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w w:val="103"/>
                <w:sz w:val="21"/>
                <w:szCs w:val="21"/>
                <w:lang w:val="en-US" w:eastAsia="zh-CN"/>
              </w:rPr>
            </w:pPr>
            <w:r>
              <w:rPr>
                <w:rFonts w:hint="eastAsia" w:cs="Times New Roman"/>
                <w:color w:val="FF0000"/>
                <w:w w:val="103"/>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1412" w:type="dxa"/>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color w:val="auto"/>
                <w:highlight w:val="none"/>
                <w:vertAlign w:val="baseline"/>
                <w:lang w:val="en-US" w:eastAsia="zh-CN"/>
              </w:rPr>
              <w:t>废油桶</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lang w:val="en-US" w:eastAsia="zh-CN"/>
              </w:rPr>
            </w:pPr>
            <w:r>
              <w:rPr>
                <w:rFonts w:hint="eastAsia" w:cs="Times New Roman"/>
                <w:color w:val="auto"/>
                <w:w w:val="103"/>
                <w:sz w:val="21"/>
                <w:szCs w:val="21"/>
                <w:lang w:val="en-US" w:eastAsia="zh-CN"/>
              </w:rPr>
              <w:t>1</w:t>
            </w:r>
            <w:r>
              <w:rPr>
                <w:rFonts w:hint="eastAsia" w:ascii="Times New Roman" w:hAnsi="Times New Roman" w:eastAsia="宋体" w:cs="Times New Roman"/>
                <w:color w:val="auto"/>
                <w:w w:val="103"/>
                <w:sz w:val="21"/>
                <w:szCs w:val="21"/>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w w:val="103"/>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废气治理</w:t>
            </w:r>
          </w:p>
        </w:tc>
        <w:tc>
          <w:tcPr>
            <w:tcW w:w="1412" w:type="dxa"/>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color w:val="auto"/>
                <w:highlight w:val="none"/>
                <w:vertAlign w:val="baseline"/>
                <w:lang w:val="en-US" w:eastAsia="zh-CN"/>
              </w:rPr>
              <w:t>脱硫石膏</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lang w:val="en-US" w:eastAsia="zh-CN"/>
              </w:rPr>
            </w:pPr>
            <w:r>
              <w:rPr>
                <w:rFonts w:hint="eastAsia" w:cs="Times New Roman"/>
                <w:color w:val="auto"/>
                <w:w w:val="103"/>
                <w:sz w:val="21"/>
                <w:szCs w:val="21"/>
                <w:lang w:val="en-US" w:eastAsia="zh-CN"/>
              </w:rPr>
              <w:t>32</w:t>
            </w:r>
            <w:r>
              <w:rPr>
                <w:rFonts w:hint="eastAsia" w:ascii="Times New Roman" w:hAnsi="Times New Roman" w:eastAsia="宋体" w:cs="Times New Roman"/>
                <w:color w:val="auto"/>
                <w:w w:val="103"/>
                <w:sz w:val="21"/>
                <w:szCs w:val="21"/>
                <w:lang w:val="en-US" w:eastAsia="zh-CN"/>
              </w:rPr>
              <w:t>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w w:val="103"/>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1412" w:type="dxa"/>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color w:val="auto"/>
                <w:highlight w:val="none"/>
                <w:vertAlign w:val="baseline"/>
                <w:lang w:val="en-US" w:eastAsia="zh-CN"/>
              </w:rPr>
              <w:t>废催化剂</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lang w:val="en-US" w:eastAsia="zh-CN"/>
              </w:rPr>
            </w:pPr>
            <w:r>
              <w:rPr>
                <w:rFonts w:hint="eastAsia" w:cs="Times New Roman"/>
                <w:color w:val="auto"/>
                <w:w w:val="103"/>
                <w:sz w:val="21"/>
                <w:szCs w:val="21"/>
                <w:lang w:val="en-US" w:eastAsia="zh-CN"/>
              </w:rPr>
              <w:t>3</w:t>
            </w:r>
            <w:r>
              <w:rPr>
                <w:rFonts w:hint="eastAsia" w:ascii="Times New Roman" w:hAnsi="Times New Roman" w:eastAsia="宋体" w:cs="Times New Roman"/>
                <w:color w:val="auto"/>
                <w:w w:val="103"/>
                <w:sz w:val="21"/>
                <w:szCs w:val="21"/>
                <w:lang w:val="en-US" w:eastAsia="zh-CN"/>
              </w:rPr>
              <w:t>t/</w:t>
            </w:r>
            <w:r>
              <w:rPr>
                <w:rFonts w:hint="eastAsia" w:cs="Times New Roman"/>
                <w:color w:val="auto"/>
                <w:w w:val="103"/>
                <w:sz w:val="21"/>
                <w:szCs w:val="21"/>
                <w:lang w:val="en-US" w:eastAsia="zh-CN"/>
              </w:rPr>
              <w:t>3</w:t>
            </w:r>
            <w:r>
              <w:rPr>
                <w:rFonts w:hint="eastAsia" w:ascii="Times New Roman" w:hAnsi="Times New Roman" w:eastAsia="宋体" w:cs="Times New Roman"/>
                <w:color w:val="auto"/>
                <w:w w:val="103"/>
                <w:sz w:val="21"/>
                <w:szCs w:val="21"/>
                <w:lang w:val="en-US" w:eastAsia="zh-CN"/>
              </w:rPr>
              <w:t>a</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w w:val="103"/>
                <w:sz w:val="21"/>
                <w:szCs w:val="21"/>
                <w:lang w:val="en-US" w:eastAsia="zh-CN"/>
              </w:rPr>
            </w:pPr>
            <w:r>
              <w:rPr>
                <w:rFonts w:hint="eastAsia" w:ascii="Times New Roman" w:hAnsi="Times New Roman" w:eastAsia="宋体" w:cs="Times New Roman"/>
                <w:color w:val="auto"/>
                <w:w w:val="103"/>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5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职工生活</w:t>
            </w:r>
          </w:p>
        </w:tc>
        <w:tc>
          <w:tcPr>
            <w:tcW w:w="1412" w:type="dxa"/>
            <w:noWrap w:val="0"/>
            <w:vAlign w:val="center"/>
          </w:tcPr>
          <w:p>
            <w:pPr>
              <w:pStyle w:val="2"/>
              <w:spacing w:after="0"/>
              <w:ind w:left="0" w:leftChars="0" w:right="0" w:righ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生活垃圾</w:t>
            </w:r>
          </w:p>
        </w:tc>
        <w:tc>
          <w:tcPr>
            <w:tcW w:w="2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sz w:val="21"/>
                <w:szCs w:val="21"/>
                <w:lang w:val="en-US" w:eastAsia="zh-CN"/>
              </w:rPr>
            </w:pPr>
            <w:r>
              <w:rPr>
                <w:rFonts w:hint="eastAsia" w:cs="Times New Roman"/>
                <w:color w:val="auto"/>
                <w:w w:val="103"/>
                <w:sz w:val="21"/>
                <w:szCs w:val="21"/>
                <w:lang w:val="en-US" w:eastAsia="zh-CN"/>
              </w:rPr>
              <w:t xml:space="preserve">32t/a </w:t>
            </w:r>
          </w:p>
        </w:tc>
        <w:tc>
          <w:tcPr>
            <w:tcW w:w="2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w w:val="103"/>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3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828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拟建项目生产过程中主要噪声源为</w:t>
            </w:r>
            <w:r>
              <w:rPr>
                <w:rFonts w:hint="eastAsia" w:cs="Times New Roman"/>
                <w:color w:val="auto"/>
                <w:sz w:val="21"/>
                <w:szCs w:val="21"/>
                <w:lang w:val="en-US" w:eastAsia="zh-CN"/>
              </w:rPr>
              <w:t>轧机、机加工设备</w:t>
            </w:r>
            <w:r>
              <w:rPr>
                <w:rFonts w:hint="eastAsia" w:ascii="Times New Roman" w:hAnsi="Times New Roman" w:cs="Times New Roman"/>
                <w:color w:val="auto"/>
                <w:sz w:val="21"/>
                <w:szCs w:val="21"/>
                <w:lang w:val="en-US" w:eastAsia="zh-CN"/>
              </w:rPr>
              <w:t>等</w:t>
            </w:r>
            <w:r>
              <w:rPr>
                <w:rFonts w:hint="default" w:ascii="Times New Roman" w:hAnsi="Times New Roman" w:eastAsia="宋体" w:cs="Times New Roman"/>
                <w:color w:val="auto"/>
                <w:sz w:val="21"/>
                <w:szCs w:val="21"/>
                <w:lang w:val="en-US" w:eastAsia="zh-CN"/>
              </w:rPr>
              <w:t>运行产生的噪声，其声源级值在70-</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0 dB(A)之间。噪声在采取合理的噪声防治措施后，经车间屏蔽和车间距厂界距离的衰减，能够满足《工业企业厂界环境噪声排放标准》（GB12348-2008）2类标准。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w:t>
            </w:r>
          </w:p>
        </w:tc>
        <w:tc>
          <w:tcPr>
            <w:tcW w:w="828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38" w:type="dxa"/>
            <w:gridSpan w:val="5"/>
            <w:noWrap w:val="0"/>
            <w:vAlign w:val="top"/>
          </w:tcPr>
          <w:p>
            <w:pPr>
              <w:spacing w:line="240" w:lineRule="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主要生态影响：</w:t>
            </w:r>
          </w:p>
          <w:p>
            <w:pPr>
              <w:spacing w:line="240" w:lineRule="auto"/>
              <w:ind w:firstLine="420" w:firstLineChars="20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拟建项目投产后，</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三废</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均能达标排放，不进行施工建设，因此该项目对周围生态环境影响基本无影响。项目的建设将按照规定的要求进行绿化，确保植被增加，种类组成优化，生态环境将得到一定程度的改善。</w:t>
            </w:r>
          </w:p>
          <w:p>
            <w:pPr>
              <w:pStyle w:val="33"/>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pStyle w:val="32"/>
              <w:rPr>
                <w:rFonts w:hint="default" w:ascii="Times New Roman" w:hAnsi="Times New Roman" w:eastAsia="宋体" w:cs="Times New Roman"/>
                <w:color w:val="auto"/>
                <w:sz w:val="21"/>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w w:val="103"/>
                <w:sz w:val="21"/>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七、环境影响分析</w:t>
      </w:r>
    </w:p>
    <w:tbl>
      <w:tblPr>
        <w:tblStyle w:val="24"/>
        <w:tblW w:w="963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3299" w:hRule="atLeast"/>
          <w:jc w:val="center"/>
        </w:trPr>
        <w:tc>
          <w:tcPr>
            <w:tcW w:w="9638" w:type="dxa"/>
            <w:tcBorders>
              <w:tl2br w:val="nil"/>
              <w:tr2bl w:val="nil"/>
            </w:tcBorders>
            <w:noWrap w:val="0"/>
            <w:vAlign w:val="top"/>
          </w:tcPr>
          <w:p>
            <w:pPr>
              <w:spacing w:line="360" w:lineRule="auto"/>
              <w:rPr>
                <w:rFonts w:hint="default" w:ascii="Times New Roman" w:hAnsi="Times New Roman" w:cs="Times New Roman"/>
                <w:b/>
                <w:bCs/>
                <w:color w:val="auto"/>
                <w:sz w:val="28"/>
              </w:rPr>
            </w:pPr>
            <w:r>
              <w:rPr>
                <w:rFonts w:hint="default" w:ascii="Times New Roman" w:hAnsi="Times New Roman" w:cs="Times New Roman"/>
                <w:b/>
                <w:bCs/>
                <w:color w:val="auto"/>
                <w:sz w:val="28"/>
              </w:rPr>
              <w:t>一、施工期环境影响简要分析：</w:t>
            </w:r>
          </w:p>
          <w:p>
            <w:pPr>
              <w:spacing w:line="360" w:lineRule="auto"/>
              <w:ind w:firstLine="360" w:firstLineChars="150"/>
              <w:jc w:val="left"/>
              <w:rPr>
                <w:rFonts w:ascii="Times New Roman" w:hAnsi="Times New Roman" w:eastAsia="宋体"/>
                <w:color w:val="auto"/>
                <w:sz w:val="24"/>
              </w:rPr>
            </w:pPr>
            <w:r>
              <w:rPr>
                <w:rFonts w:hint="eastAsia"/>
                <w:color w:val="auto"/>
                <w:sz w:val="24"/>
                <w:lang w:eastAsia="zh-CN"/>
              </w:rPr>
              <w:t>项目施工期已结束，不再对施工期进行评价</w:t>
            </w:r>
            <w:r>
              <w:rPr>
                <w:rFonts w:ascii="Times New Roman" w:hAnsi="Times New Roman" w:eastAsia="宋体"/>
                <w:color w:val="auto"/>
                <w:sz w:val="24"/>
              </w:rPr>
              <w:t>。</w:t>
            </w:r>
          </w:p>
          <w:p>
            <w:pPr>
              <w:snapToGrid w:val="0"/>
              <w:spacing w:line="360" w:lineRule="auto"/>
              <w:rPr>
                <w:rFonts w:hint="default" w:ascii="Times New Roman" w:hAnsi="Times New Roman" w:cs="Times New Roman"/>
                <w:color w:val="auto"/>
                <w:sz w:val="24"/>
                <w:lang w:eastAsia="zh-CN"/>
              </w:rPr>
            </w:pPr>
            <w:r>
              <w:rPr>
                <w:rFonts w:hint="default" w:ascii="Times New Roman" w:hAnsi="Times New Roman" w:cs="Times New Roman"/>
                <w:b/>
                <w:bCs/>
                <w:color w:val="auto"/>
                <w:sz w:val="28"/>
              </w:rPr>
              <w:t>二、营运期环境影响分析：</w:t>
            </w:r>
          </w:p>
          <w:p>
            <w:pPr>
              <w:spacing w:line="360" w:lineRule="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环境空气影响分析</w:t>
            </w:r>
          </w:p>
          <w:p>
            <w:pPr>
              <w:spacing w:line="360" w:lineRule="auto"/>
              <w:ind w:firstLine="482" w:firstLineChars="200"/>
              <w:outlineLvl w:val="9"/>
              <w:rPr>
                <w:rFonts w:hint="default" w:ascii="Times New Roman" w:hAnsi="Times New Roman" w:cs="Times New Roman"/>
                <w:b/>
                <w:bCs/>
                <w:color w:val="auto"/>
                <w:sz w:val="24"/>
              </w:rPr>
            </w:pPr>
            <w:r>
              <w:rPr>
                <w:rFonts w:hint="eastAsia" w:ascii="Times New Roman" w:hAnsi="Times New Roman" w:eastAsia="宋体"/>
                <w:b/>
                <w:bCs/>
                <w:color w:val="auto"/>
                <w:sz w:val="24"/>
                <w:szCs w:val="24"/>
                <w:highlight w:val="none"/>
                <w:vertAlign w:val="baseline"/>
                <w:lang w:val="en-US" w:eastAsia="zh-CN"/>
              </w:rPr>
              <w:t>1.1污染物排放达标情况分析</w:t>
            </w:r>
          </w:p>
          <w:p>
            <w:pPr>
              <w:pStyle w:val="62"/>
              <w:keepLines/>
              <w:widowControl/>
              <w:autoSpaceDE/>
              <w:autoSpaceDN/>
              <w:adjustRightInd/>
              <w:spacing w:line="360" w:lineRule="auto"/>
              <w:ind w:firstLine="460" w:firstLineChars="200"/>
              <w:outlineLvl w:val="9"/>
              <w:rPr>
                <w:rFonts w:hint="default" w:ascii="Times New Roman" w:hAnsi="Times New Roman" w:cs="Times New Roman"/>
                <w:color w:val="auto"/>
                <w:spacing w:val="-5"/>
                <w:kern w:val="0"/>
                <w:sz w:val="24"/>
                <w:szCs w:val="20"/>
                <w:vertAlign w:val="baseline"/>
                <w:lang w:val="en-US" w:eastAsia="zh-CN" w:bidi="ar-SA"/>
              </w:rPr>
            </w:pPr>
            <w:r>
              <w:rPr>
                <w:rFonts w:hint="eastAsia" w:ascii="Times New Roman" w:hAnsi="Times New Roman" w:cs="Times New Roman"/>
                <w:color w:val="auto"/>
                <w:spacing w:val="-5"/>
                <w:kern w:val="0"/>
                <w:sz w:val="24"/>
                <w:szCs w:val="20"/>
                <w:vertAlign w:val="baseline"/>
                <w:lang w:val="en-US" w:eastAsia="zh-CN" w:bidi="ar-SA"/>
              </w:rPr>
              <w:t>1.1.1有组织废气排放情况：</w:t>
            </w:r>
          </w:p>
          <w:p>
            <w:pPr>
              <w:pStyle w:val="62"/>
              <w:keepLines/>
              <w:widowControl/>
              <w:autoSpaceDE/>
              <w:autoSpaceDN/>
              <w:adjustRightInd/>
              <w:spacing w:line="360" w:lineRule="auto"/>
              <w:ind w:firstLine="460" w:firstLineChars="200"/>
              <w:outlineLvl w:val="9"/>
              <w:rPr>
                <w:rFonts w:hint="default" w:ascii="Times New Roman" w:hAnsi="Times New Roman" w:cs="Times New Roman"/>
                <w:color w:val="auto"/>
                <w:spacing w:val="-5"/>
                <w:kern w:val="0"/>
                <w:sz w:val="24"/>
                <w:szCs w:val="20"/>
                <w:vertAlign w:val="baseline"/>
                <w:lang w:val="en-US" w:eastAsia="zh-CN" w:bidi="ar-SA"/>
              </w:rPr>
            </w:pPr>
            <w:r>
              <w:rPr>
                <w:rFonts w:hint="eastAsia" w:ascii="Times New Roman" w:hAnsi="Times New Roman" w:cs="Times New Roman"/>
                <w:color w:val="auto"/>
                <w:spacing w:val="-5"/>
                <w:kern w:val="0"/>
                <w:sz w:val="24"/>
                <w:szCs w:val="20"/>
                <w:vertAlign w:val="baseline"/>
                <w:lang w:val="en-US" w:eastAsia="zh-CN" w:bidi="ar-SA"/>
              </w:rPr>
              <w:t>项目有组织废气主要为加热炉焦炉煤气燃烧废气。</w:t>
            </w:r>
          </w:p>
          <w:p>
            <w:pPr>
              <w:pStyle w:val="62"/>
              <w:keepLines/>
              <w:widowControl/>
              <w:autoSpaceDE/>
              <w:autoSpaceDN/>
              <w:adjustRightInd/>
              <w:spacing w:line="360" w:lineRule="auto"/>
              <w:ind w:firstLine="460" w:firstLineChars="200"/>
              <w:outlineLvl w:val="9"/>
              <w:rPr>
                <w:rFonts w:hint="eastAsia" w:ascii="Times New Roman" w:hAnsi="Times New Roman" w:cs="Times New Roman"/>
                <w:color w:val="auto"/>
                <w:spacing w:val="-5"/>
                <w:sz w:val="24"/>
                <w:lang w:val="en-US" w:eastAsia="zh-CN"/>
              </w:rPr>
            </w:pPr>
            <w:r>
              <w:rPr>
                <w:rFonts w:hint="default" w:ascii="Times New Roman" w:hAnsi="Times New Roman" w:cs="Times New Roman"/>
                <w:color w:val="auto"/>
                <w:spacing w:val="-5"/>
                <w:kern w:val="0"/>
                <w:sz w:val="24"/>
                <w:szCs w:val="20"/>
                <w:vertAlign w:val="baseline"/>
                <w:lang w:val="en-US" w:eastAsia="zh-CN" w:bidi="ar-SA"/>
              </w:rPr>
              <w:t>项目</w:t>
            </w:r>
            <w:r>
              <w:rPr>
                <w:rFonts w:hint="eastAsia" w:ascii="Times New Roman" w:hAnsi="Times New Roman" w:cs="Times New Roman"/>
                <w:color w:val="auto"/>
                <w:spacing w:val="-5"/>
                <w:kern w:val="0"/>
                <w:sz w:val="24"/>
                <w:szCs w:val="20"/>
                <w:vertAlign w:val="baseline"/>
                <w:lang w:val="en-US" w:eastAsia="zh-CN" w:bidi="ar-SA"/>
              </w:rPr>
              <w:t>加热炉废气经SCR脱硝+双碱法脱硫+湿式静电除尘设施处理后经22米排气筒排放，个污染物排放量为</w:t>
            </w:r>
            <w:r>
              <w:rPr>
                <w:rFonts w:hint="eastAsia" w:ascii="Times New Roman" w:hAnsi="Times New Roman" w:cs="Times New Roman"/>
                <w:bCs/>
                <w:color w:val="auto"/>
                <w:kern w:val="10"/>
                <w:sz w:val="24"/>
                <w:szCs w:val="21"/>
                <w:lang w:val="en-US" w:eastAsia="zh-CN" w:bidi="ar-SA"/>
              </w:rPr>
              <w:t>颗粒物0.46t/a，SO</w:t>
            </w:r>
            <w:r>
              <w:rPr>
                <w:rFonts w:hint="eastAsia" w:ascii="Times New Roman" w:hAnsi="Times New Roman" w:cs="Times New Roman"/>
                <w:bCs/>
                <w:color w:val="auto"/>
                <w:kern w:val="10"/>
                <w:sz w:val="24"/>
                <w:szCs w:val="21"/>
                <w:vertAlign w:val="subscript"/>
                <w:lang w:val="en-US" w:eastAsia="zh-CN" w:bidi="ar-SA"/>
              </w:rPr>
              <w:t>2</w:t>
            </w:r>
            <w:r>
              <w:rPr>
                <w:rFonts w:hint="eastAsia" w:ascii="Times New Roman" w:hAnsi="Times New Roman" w:cs="Times New Roman"/>
                <w:bCs/>
                <w:color w:val="auto"/>
                <w:kern w:val="10"/>
                <w:sz w:val="24"/>
                <w:szCs w:val="21"/>
                <w:lang w:val="en-US" w:eastAsia="zh-CN" w:bidi="ar-SA"/>
              </w:rPr>
              <w:t>0.61t/a，NOx2.07t/a，NH</w:t>
            </w:r>
            <w:r>
              <w:rPr>
                <w:rFonts w:hint="eastAsia" w:ascii="Times New Roman" w:hAnsi="Times New Roman" w:cs="Times New Roman"/>
                <w:bCs/>
                <w:color w:val="auto"/>
                <w:kern w:val="10"/>
                <w:sz w:val="24"/>
                <w:szCs w:val="21"/>
                <w:vertAlign w:val="subscript"/>
                <w:lang w:val="en-US" w:eastAsia="zh-CN" w:bidi="ar-SA"/>
              </w:rPr>
              <w:t>3</w:t>
            </w:r>
            <w:r>
              <w:rPr>
                <w:rFonts w:hint="eastAsia" w:ascii="Times New Roman" w:hAnsi="Times New Roman" w:cs="Times New Roman"/>
                <w:bCs/>
                <w:color w:val="auto"/>
                <w:kern w:val="10"/>
                <w:sz w:val="24"/>
                <w:szCs w:val="21"/>
                <w:lang w:val="en-US" w:eastAsia="zh-CN" w:bidi="ar-SA"/>
              </w:rPr>
              <w:t>0.1152t/a；排放浓度为颗粒物3.7mg/m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lang w:val="en-US" w:eastAsia="zh-CN" w:bidi="ar-SA"/>
              </w:rPr>
              <w:t>，SO</w:t>
            </w:r>
            <w:r>
              <w:rPr>
                <w:rFonts w:hint="eastAsia" w:ascii="Times New Roman" w:hAnsi="Times New Roman" w:cs="Times New Roman"/>
                <w:bCs/>
                <w:color w:val="auto"/>
                <w:kern w:val="10"/>
                <w:sz w:val="24"/>
                <w:szCs w:val="21"/>
                <w:vertAlign w:val="subscript"/>
                <w:lang w:val="en-US" w:eastAsia="zh-CN" w:bidi="ar-SA"/>
              </w:rPr>
              <w:t>2</w:t>
            </w:r>
            <w:r>
              <w:rPr>
                <w:rFonts w:hint="eastAsia" w:ascii="Times New Roman" w:hAnsi="Times New Roman" w:cs="Times New Roman"/>
                <w:bCs/>
                <w:color w:val="auto"/>
                <w:kern w:val="10"/>
                <w:sz w:val="24"/>
                <w:szCs w:val="21"/>
                <w:lang w:val="en-US" w:eastAsia="zh-CN" w:bidi="ar-SA"/>
              </w:rPr>
              <w:t>4.4mg/m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lang w:val="en-US" w:eastAsia="zh-CN" w:bidi="ar-SA"/>
              </w:rPr>
              <w:t>，NOx16.7mg/m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vertAlign w:val="baseline"/>
                <w:lang w:val="en-US" w:eastAsia="zh-CN" w:bidi="ar-SA"/>
              </w:rPr>
              <w:t>，NH</w:t>
            </w:r>
            <w:r>
              <w:rPr>
                <w:rFonts w:hint="eastAsia" w:ascii="Times New Roman" w:hAnsi="Times New Roman" w:cs="Times New Roman"/>
                <w:bCs/>
                <w:color w:val="auto"/>
                <w:kern w:val="10"/>
                <w:sz w:val="24"/>
                <w:szCs w:val="21"/>
                <w:vertAlign w:val="subscript"/>
                <w:lang w:val="en-US" w:eastAsia="zh-CN" w:bidi="ar-SA"/>
              </w:rPr>
              <w:t>3</w:t>
            </w:r>
            <w:r>
              <w:rPr>
                <w:rFonts w:hint="eastAsia" w:ascii="Times New Roman" w:hAnsi="Times New Roman" w:cs="Times New Roman"/>
                <w:bCs/>
                <w:color w:val="auto"/>
                <w:kern w:val="10"/>
                <w:sz w:val="24"/>
                <w:szCs w:val="21"/>
                <w:vertAlign w:val="baseline"/>
                <w:lang w:val="en-US" w:eastAsia="zh-CN" w:bidi="ar-SA"/>
              </w:rPr>
              <w:t>排放速率为0.015kg/h</w:t>
            </w:r>
            <w:r>
              <w:rPr>
                <w:rFonts w:hint="eastAsia" w:ascii="Times New Roman" w:hAnsi="Times New Roman" w:cs="Times New Roman"/>
                <w:color w:val="auto"/>
                <w:spacing w:val="-6"/>
                <w:sz w:val="24"/>
                <w:highlight w:val="none"/>
                <w:lang w:val="en-US" w:eastAsia="zh-CN"/>
              </w:rPr>
              <w:t>。项目加热炉废气排放符合</w:t>
            </w:r>
            <w:r>
              <w:rPr>
                <w:rFonts w:hint="eastAsia" w:ascii="Times New Roman" w:hAnsi="Times New Roman" w:cs="Times New Roman"/>
                <w:color w:val="auto"/>
                <w:sz w:val="24"/>
                <w:lang w:val="en-US" w:eastAsia="zh-CN"/>
              </w:rPr>
              <w:t>《钢铁工业大气污染物排放标准》（DB37/990-2019）表1标准（</w:t>
            </w:r>
            <w:r>
              <w:rPr>
                <w:rFonts w:hint="eastAsia" w:ascii="Times New Roman" w:hAnsi="Times New Roman" w:cs="Times New Roman"/>
                <w:bCs/>
                <w:color w:val="auto"/>
                <w:kern w:val="10"/>
                <w:sz w:val="24"/>
                <w:szCs w:val="21"/>
                <w:lang w:val="en-US" w:eastAsia="zh-CN" w:bidi="ar-SA"/>
              </w:rPr>
              <w:t>颗粒物10mg/m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lang w:val="en-US" w:eastAsia="zh-CN" w:bidi="ar-SA"/>
              </w:rPr>
              <w:t>，SO</w:t>
            </w:r>
            <w:r>
              <w:rPr>
                <w:rFonts w:hint="eastAsia" w:ascii="Times New Roman" w:hAnsi="Times New Roman" w:cs="Times New Roman"/>
                <w:bCs/>
                <w:color w:val="auto"/>
                <w:kern w:val="10"/>
                <w:sz w:val="24"/>
                <w:szCs w:val="21"/>
                <w:vertAlign w:val="subscript"/>
                <w:lang w:val="en-US" w:eastAsia="zh-CN" w:bidi="ar-SA"/>
              </w:rPr>
              <w:t>2</w:t>
            </w:r>
            <w:r>
              <w:rPr>
                <w:rFonts w:hint="eastAsia" w:ascii="Times New Roman" w:hAnsi="Times New Roman" w:cs="Times New Roman"/>
                <w:bCs/>
                <w:color w:val="auto"/>
                <w:kern w:val="10"/>
                <w:sz w:val="24"/>
                <w:szCs w:val="21"/>
                <w:lang w:val="en-US" w:eastAsia="zh-CN" w:bidi="ar-SA"/>
              </w:rPr>
              <w:t>50mg/m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lang w:val="en-US" w:eastAsia="zh-CN" w:bidi="ar-SA"/>
              </w:rPr>
              <w:t>，NOx150mg/m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color w:val="auto"/>
                <w:sz w:val="24"/>
                <w:lang w:val="en-US" w:eastAsia="zh-CN"/>
              </w:rPr>
              <w:t>），NH</w:t>
            </w:r>
            <w:r>
              <w:rPr>
                <w:rFonts w:hint="eastAsia" w:ascii="Times New Roman" w:hAnsi="Times New Roman" w:cs="Times New Roman"/>
                <w:color w:val="auto"/>
                <w:sz w:val="24"/>
                <w:vertAlign w:val="subscript"/>
                <w:lang w:val="en-US" w:eastAsia="zh-CN"/>
              </w:rPr>
              <w:t>3</w:t>
            </w:r>
            <w:r>
              <w:rPr>
                <w:rFonts w:hint="eastAsia" w:ascii="Times New Roman" w:hAnsi="Times New Roman" w:cs="Times New Roman"/>
                <w:color w:val="auto"/>
                <w:sz w:val="24"/>
                <w:vertAlign w:val="baseline"/>
                <w:lang w:val="en-US" w:eastAsia="zh-CN"/>
              </w:rPr>
              <w:t>排放符合《恶臭污染物排放标准》表2标准（NH</w:t>
            </w:r>
            <w:r>
              <w:rPr>
                <w:rFonts w:hint="eastAsia" w:ascii="Times New Roman" w:hAnsi="Times New Roman" w:cs="Times New Roman"/>
                <w:color w:val="auto"/>
                <w:sz w:val="24"/>
                <w:vertAlign w:val="subscript"/>
                <w:lang w:val="en-US" w:eastAsia="zh-CN"/>
              </w:rPr>
              <w:t>3</w:t>
            </w:r>
            <w:r>
              <w:rPr>
                <w:rFonts w:hint="eastAsia" w:ascii="Times New Roman" w:hAnsi="Times New Roman" w:cs="Times New Roman"/>
                <w:color w:val="auto"/>
                <w:sz w:val="24"/>
                <w:vertAlign w:val="baseline"/>
                <w:lang w:val="en-US" w:eastAsia="zh-CN"/>
              </w:rPr>
              <w:t>8.7kg/h）</w:t>
            </w:r>
            <w:r>
              <w:rPr>
                <w:rFonts w:hint="eastAsia" w:ascii="Times New Roman" w:hAnsi="Times New Roman" w:cs="Times New Roman"/>
                <w:color w:val="auto"/>
                <w:sz w:val="24"/>
                <w:lang w:val="en-US" w:eastAsia="zh-CN"/>
              </w:rPr>
              <w:t>。</w:t>
            </w:r>
          </w:p>
          <w:p>
            <w:pPr>
              <w:pStyle w:val="62"/>
              <w:keepLines/>
              <w:widowControl/>
              <w:autoSpaceDE/>
              <w:autoSpaceDN/>
              <w:adjustRightInd/>
              <w:spacing w:line="360" w:lineRule="auto"/>
              <w:ind w:firstLine="456" w:firstLineChars="200"/>
              <w:outlineLvl w:val="9"/>
              <w:rPr>
                <w:rFonts w:hint="eastAsia" w:ascii="Times New Roman" w:hAnsi="Times New Roman" w:cs="Times New Roman"/>
                <w:color w:val="auto"/>
                <w:spacing w:val="-6"/>
                <w:sz w:val="24"/>
                <w:highlight w:val="none"/>
                <w:lang w:val="en-US" w:eastAsia="zh-CN"/>
              </w:rPr>
            </w:pPr>
            <w:r>
              <w:rPr>
                <w:rFonts w:hint="eastAsia" w:ascii="Times New Roman" w:hAnsi="Times New Roman" w:cs="Times New Roman"/>
                <w:color w:val="auto"/>
                <w:spacing w:val="-6"/>
                <w:sz w:val="24"/>
                <w:highlight w:val="none"/>
                <w:lang w:val="en-US" w:eastAsia="zh-CN"/>
              </w:rPr>
              <w:t>1.1.2无组织废气排放情况：</w:t>
            </w:r>
          </w:p>
          <w:p>
            <w:pPr>
              <w:spacing w:line="360" w:lineRule="auto"/>
              <w:ind w:firstLine="480" w:firstLineChars="200"/>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项目</w:t>
            </w:r>
            <w:r>
              <w:rPr>
                <w:rFonts w:hint="eastAsia"/>
                <w:color w:val="auto"/>
                <w:sz w:val="24"/>
                <w:highlight w:val="none"/>
                <w:lang w:val="en-US" w:eastAsia="zh-CN"/>
              </w:rPr>
              <w:t>无组织</w:t>
            </w:r>
            <w:r>
              <w:rPr>
                <w:rFonts w:hint="eastAsia" w:ascii="Times New Roman" w:hAnsi="Times New Roman" w:eastAsia="宋体"/>
                <w:color w:val="auto"/>
                <w:sz w:val="24"/>
                <w:highlight w:val="none"/>
                <w:lang w:val="en-US" w:eastAsia="zh-CN"/>
              </w:rPr>
              <w:t>排放废气主要是</w:t>
            </w:r>
            <w:r>
              <w:rPr>
                <w:rFonts w:hint="eastAsia"/>
                <w:color w:val="auto"/>
                <w:sz w:val="24"/>
                <w:highlight w:val="none"/>
                <w:lang w:val="en-US" w:eastAsia="zh-CN"/>
              </w:rPr>
              <w:t>焊接烟尘排放</w:t>
            </w:r>
            <w:r>
              <w:rPr>
                <w:rFonts w:hint="eastAsia" w:ascii="Times New Roman" w:hAnsi="Times New Roman" w:eastAsia="宋体"/>
                <w:color w:val="auto"/>
                <w:sz w:val="24"/>
                <w:highlight w:val="none"/>
                <w:lang w:val="en-US" w:eastAsia="zh-CN"/>
              </w:rPr>
              <w:t>。</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cs="Times New Roman"/>
                <w:b w:val="0"/>
                <w:bCs w:val="0"/>
                <w:color w:val="auto"/>
                <w:sz w:val="24"/>
                <w:szCs w:val="24"/>
                <w:lang w:val="en-US" w:eastAsia="zh-CN"/>
              </w:rPr>
              <w:t>项目焊接烟尘经过移动式烟尘净化器处理后无组织排放，颗粒物排放量为0.0042t/a</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olor w:val="auto"/>
                <w:sz w:val="24"/>
                <w:highlight w:val="none"/>
                <w:lang w:val="en-US" w:eastAsia="zh-CN"/>
              </w:rPr>
              <w:t>本项目无组织排放废气排放浓度</w:t>
            </w:r>
            <w:r>
              <w:rPr>
                <w:rFonts w:hint="default" w:ascii="Times New Roman" w:hAnsi="Times New Roman" w:eastAsia="宋体" w:cs="Times New Roman"/>
                <w:color w:val="auto"/>
                <w:sz w:val="24"/>
                <w:szCs w:val="24"/>
                <w:highlight w:val="none"/>
              </w:rPr>
              <w:t>采用</w:t>
            </w:r>
            <w:r>
              <w:rPr>
                <w:rFonts w:hint="default" w:ascii="Times New Roman" w:hAnsi="Times New Roman" w:cs="Times New Roman"/>
                <w:color w:val="auto"/>
                <w:kern w:val="0"/>
                <w:sz w:val="24"/>
                <w:highlight w:val="none"/>
              </w:rPr>
              <w:t>AERSCREEN</w:t>
            </w:r>
            <w:r>
              <w:rPr>
                <w:rFonts w:hint="default" w:ascii="Times New Roman" w:hAnsi="Times New Roman" w:eastAsia="宋体" w:cs="Times New Roman"/>
                <w:color w:val="auto"/>
                <w:sz w:val="24"/>
                <w:szCs w:val="24"/>
                <w:highlight w:val="none"/>
              </w:rPr>
              <w:t>模式预测</w:t>
            </w:r>
            <w:r>
              <w:rPr>
                <w:rFonts w:hint="eastAsia" w:ascii="Times New Roman" w:hAnsi="Times New Roman" w:eastAsia="宋体" w:cs="Times New Roman"/>
                <w:color w:val="auto"/>
                <w:sz w:val="24"/>
                <w:szCs w:val="24"/>
                <w:highlight w:val="none"/>
                <w:lang w:val="en-US" w:eastAsia="zh-CN"/>
              </w:rPr>
              <w:t>，具体计算结果如下：</w:t>
            </w:r>
          </w:p>
          <w:p>
            <w:pPr>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rightChars="0"/>
              <w:jc w:val="center"/>
              <w:textAlignment w:val="auto"/>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表7-</w:t>
            </w:r>
            <w:r>
              <w:rPr>
                <w:rFonts w:hint="eastAsia" w:cs="Times New Roman"/>
                <w:b/>
                <w:bCs w:val="0"/>
                <w:color w:val="auto"/>
                <w:sz w:val="21"/>
                <w:szCs w:val="21"/>
                <w:highlight w:val="none"/>
                <w:lang w:val="en-US" w:eastAsia="zh-CN"/>
              </w:rPr>
              <w:t>1</w:t>
            </w:r>
            <w:r>
              <w:rPr>
                <w:rFonts w:hint="default" w:ascii="Times New Roman" w:hAnsi="Times New Roman" w:eastAsia="宋体"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kern w:val="2"/>
                <w:sz w:val="21"/>
                <w:szCs w:val="21"/>
                <w:highlight w:val="none"/>
                <w:lang w:val="en-US" w:eastAsia="zh-CN" w:bidi="ar-SA"/>
              </w:rPr>
              <w:t>项目无组织排放浓度预测表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887"/>
              <w:gridCol w:w="907"/>
              <w:gridCol w:w="1120"/>
              <w:gridCol w:w="935"/>
              <w:gridCol w:w="773"/>
              <w:gridCol w:w="816"/>
              <w:gridCol w:w="1195"/>
              <w:gridCol w:w="14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lang w:val="en-US" w:eastAsia="zh-CN"/>
                    </w:rPr>
                    <w:t>排</w:t>
                  </w:r>
                  <w:r>
                    <w:rPr>
                      <w:rFonts w:hint="default" w:ascii="Times New Roman" w:hAnsi="Times New Roman" w:eastAsia="宋体" w:cs="Times New Roman"/>
                      <w:b w:val="0"/>
                      <w:bCs/>
                      <w:color w:val="auto"/>
                      <w:sz w:val="21"/>
                      <w:szCs w:val="21"/>
                      <w:highlight w:val="none"/>
                      <w:lang w:val="en-US" w:eastAsia="zh-CN"/>
                    </w:rPr>
                    <w:t>放源</w:t>
                  </w:r>
                </w:p>
              </w:tc>
              <w:tc>
                <w:tcPr>
                  <w:tcW w:w="88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污染物</w:t>
                  </w:r>
                </w:p>
              </w:tc>
              <w:tc>
                <w:tcPr>
                  <w:tcW w:w="90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释放速率(g/s)</w:t>
                  </w:r>
                </w:p>
              </w:tc>
              <w:tc>
                <w:tcPr>
                  <w:tcW w:w="1120"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评价标准</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mg/m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524" w:type="dxa"/>
                  <w:gridSpan w:val="3"/>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面源</w:t>
                  </w:r>
                </w:p>
              </w:tc>
              <w:tc>
                <w:tcPr>
                  <w:tcW w:w="119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最大浓度</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mg/m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eastAsia" w:ascii="Times New Roman" w:hAnsi="Times New Roman" w:eastAsia="宋体" w:cs="Times New Roman"/>
                      <w:b w:val="0"/>
                      <w:bCs/>
                      <w:color w:val="auto"/>
                      <w:sz w:val="21"/>
                      <w:szCs w:val="21"/>
                      <w:highlight w:val="none"/>
                      <w:vertAlign w:val="baseline"/>
                      <w:lang w:val="en-US" w:eastAsia="zh-CN"/>
                    </w:rPr>
                    <w:t>)</w:t>
                  </w:r>
                </w:p>
              </w:tc>
              <w:tc>
                <w:tcPr>
                  <w:tcW w:w="143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最大浓度占标率（%）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88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90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120"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93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有效高度（m）</w:t>
                  </w:r>
                </w:p>
              </w:tc>
              <w:tc>
                <w:tcPr>
                  <w:tcW w:w="7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宽度（m）</w:t>
                  </w:r>
                </w:p>
              </w:tc>
              <w:tc>
                <w:tcPr>
                  <w:tcW w:w="81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长度（m）</w:t>
                  </w:r>
                </w:p>
              </w:tc>
              <w:tc>
                <w:tcPr>
                  <w:tcW w:w="119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43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机</w:t>
                  </w:r>
                  <w:r>
                    <w:rPr>
                      <w:rFonts w:hint="eastAsia" w:ascii="Times New Roman" w:hAnsi="Times New Roman" w:cs="Times New Roman"/>
                      <w:b w:val="0"/>
                      <w:bCs/>
                      <w:color w:val="auto"/>
                      <w:sz w:val="21"/>
                      <w:szCs w:val="21"/>
                      <w:highlight w:val="none"/>
                      <w:vertAlign w:val="baseline"/>
                      <w:lang w:val="en-US" w:eastAsia="zh-CN"/>
                    </w:rPr>
                    <w:t>加工车间</w:t>
                  </w:r>
                </w:p>
              </w:tc>
              <w:tc>
                <w:tcPr>
                  <w:tcW w:w="88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颗粒物</w:t>
                  </w:r>
                </w:p>
              </w:tc>
              <w:tc>
                <w:tcPr>
                  <w:tcW w:w="90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0.0015</w:t>
                  </w:r>
                </w:p>
              </w:tc>
              <w:tc>
                <w:tcPr>
                  <w:tcW w:w="112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0.9</w:t>
                  </w:r>
                </w:p>
              </w:tc>
              <w:tc>
                <w:tcPr>
                  <w:tcW w:w="93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w:t>
                  </w:r>
                </w:p>
              </w:tc>
              <w:tc>
                <w:tcPr>
                  <w:tcW w:w="7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30</w:t>
                  </w:r>
                </w:p>
              </w:tc>
              <w:tc>
                <w:tcPr>
                  <w:tcW w:w="81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50</w:t>
                  </w:r>
                </w:p>
              </w:tc>
              <w:tc>
                <w:tcPr>
                  <w:tcW w:w="119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0.004017</w:t>
                  </w:r>
                </w:p>
              </w:tc>
              <w:tc>
                <w:tcPr>
                  <w:tcW w:w="143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0.45</w:t>
                  </w:r>
                </w:p>
              </w:tc>
            </w:tr>
          </w:tbl>
          <w:p>
            <w:pPr>
              <w:spacing w:line="360" w:lineRule="auto"/>
              <w:ind w:firstLine="480" w:firstLineChars="200"/>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由上表可知，</w:t>
            </w:r>
            <w:r>
              <w:rPr>
                <w:rFonts w:hint="eastAsia"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运营期</w:t>
            </w:r>
            <w:r>
              <w:rPr>
                <w:rFonts w:hint="eastAsia" w:cs="Times New Roman"/>
                <w:color w:val="auto"/>
                <w:sz w:val="24"/>
                <w:highlight w:val="none"/>
                <w:lang w:val="en-US" w:eastAsia="zh-CN"/>
              </w:rPr>
              <w:t>机</w:t>
            </w:r>
            <w:r>
              <w:rPr>
                <w:rFonts w:hint="eastAsia" w:ascii="Times New Roman" w:hAnsi="Times New Roman" w:cs="Times New Roman"/>
                <w:color w:val="auto"/>
                <w:sz w:val="24"/>
                <w:highlight w:val="none"/>
                <w:lang w:val="en-US" w:eastAsia="zh-CN"/>
              </w:rPr>
              <w:t>加工车间</w:t>
            </w:r>
            <w:r>
              <w:rPr>
                <w:rFonts w:hint="eastAsia" w:ascii="Times New Roman" w:hAnsi="Times New Roman" w:eastAsia="宋体" w:cs="Times New Roman"/>
                <w:color w:val="auto"/>
                <w:sz w:val="24"/>
                <w:highlight w:val="none"/>
                <w:lang w:val="en-US" w:eastAsia="zh-CN"/>
              </w:rPr>
              <w:t>无组织颗粒物最大落地浓度为</w:t>
            </w:r>
            <w:r>
              <w:rPr>
                <w:rFonts w:hint="eastAsia" w:cs="Times New Roman"/>
                <w:color w:val="auto"/>
                <w:sz w:val="24"/>
                <w:highlight w:val="none"/>
                <w:lang w:val="en-US" w:eastAsia="zh-CN"/>
              </w:rPr>
              <w:t>0.004017</w:t>
            </w:r>
            <w:r>
              <w:rPr>
                <w:rFonts w:hint="eastAsia" w:ascii="Times New Roman" w:hAnsi="Times New Roman" w:eastAsia="宋体" w:cs="Times New Roman"/>
                <w:color w:val="auto"/>
                <w:sz w:val="24"/>
                <w:highlight w:val="none"/>
                <w:lang w:val="en-US" w:eastAsia="zh-CN"/>
              </w:rPr>
              <w:t>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，最大落地浓度</w:t>
            </w:r>
            <w:r>
              <w:rPr>
                <w:rFonts w:hint="eastAsia" w:ascii="Times New Roman" w:hAnsi="Times New Roman" w:cs="Times New Roman"/>
                <w:color w:val="auto"/>
                <w:sz w:val="24"/>
                <w:highlight w:val="none"/>
                <w:lang w:val="en-US" w:eastAsia="zh-CN"/>
              </w:rPr>
              <w:t>均</w:t>
            </w:r>
            <w:r>
              <w:rPr>
                <w:rFonts w:hint="eastAsia" w:ascii="Times New Roman" w:hAnsi="Times New Roman" w:eastAsia="宋体" w:cs="Times New Roman"/>
                <w:color w:val="auto"/>
                <w:sz w:val="24"/>
                <w:highlight w:val="none"/>
                <w:lang w:val="en-US" w:eastAsia="zh-CN"/>
              </w:rPr>
              <w:t>出现在距生产车间外侧</w:t>
            </w:r>
            <w:r>
              <w:rPr>
                <w:rFonts w:hint="eastAsia" w:cs="Times New Roman"/>
                <w:color w:val="auto"/>
                <w:sz w:val="24"/>
                <w:highlight w:val="none"/>
                <w:lang w:val="en-US" w:eastAsia="zh-CN"/>
              </w:rPr>
              <w:t>50</w:t>
            </w:r>
            <w:r>
              <w:rPr>
                <w:rFonts w:hint="eastAsia" w:ascii="Times New Roman" w:hAnsi="Times New Roman" w:eastAsia="宋体" w:cs="Times New Roman"/>
                <w:color w:val="auto"/>
                <w:sz w:val="24"/>
                <w:highlight w:val="none"/>
                <w:lang w:val="en-US" w:eastAsia="zh-CN"/>
              </w:rPr>
              <w:t>m处</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项目检测数据显示，项目厂界颗粒物最大排放浓度为0.337mg/m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颗粒物无组织排放满足</w:t>
            </w:r>
            <w:r>
              <w:rPr>
                <w:rFonts w:hint="eastAsia" w:ascii="Times New Roman" w:hAnsi="Times New Roman" w:cs="Times New Roman"/>
                <w:color w:val="auto"/>
                <w:sz w:val="24"/>
                <w:lang w:val="en-US" w:eastAsia="zh-CN"/>
              </w:rPr>
              <w:t>《钢铁工业大气污染物排放标准》（DB</w:t>
            </w:r>
            <w:r>
              <w:rPr>
                <w:rFonts w:hint="eastAsia" w:cs="Times New Roman"/>
                <w:color w:val="auto"/>
                <w:sz w:val="24"/>
                <w:lang w:val="en-US" w:eastAsia="zh-CN"/>
              </w:rPr>
              <w:t>37/990</w:t>
            </w:r>
            <w:r>
              <w:rPr>
                <w:rFonts w:hint="eastAsia" w:ascii="Times New Roman" w:hAnsi="Times New Roman" w:cs="Times New Roman"/>
                <w:color w:val="auto"/>
                <w:sz w:val="24"/>
                <w:lang w:val="en-US" w:eastAsia="zh-CN"/>
              </w:rPr>
              <w:t>-2019）</w:t>
            </w:r>
            <w:r>
              <w:rPr>
                <w:rFonts w:hint="eastAsia" w:cs="Times New Roman"/>
                <w:color w:val="auto"/>
                <w:sz w:val="24"/>
                <w:highlight w:val="none"/>
                <w:lang w:val="en-US" w:eastAsia="zh-CN"/>
              </w:rPr>
              <w:t>表2标准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颗粒物1.0mg/m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eastAsia="zh-CN"/>
              </w:rPr>
              <w:t>）。</w:t>
            </w:r>
          </w:p>
          <w:p>
            <w:pPr>
              <w:adjustRightInd w:val="0"/>
              <w:snapToGrid w:val="0"/>
              <w:spacing w:line="360" w:lineRule="auto"/>
              <w:ind w:firstLine="482" w:firstLineChars="200"/>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1.2大气污染扩散影响分析</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采用《环境影响评价技术导则 大气环境》（HJ2.2-2018）规定的AERSCEEN 计算模式进行大气污染物扩散计算</w:t>
            </w:r>
            <w:r>
              <w:rPr>
                <w:rFonts w:hint="eastAsia" w:ascii="Times New Roman" w:hAnsi="Times New Roman" w:cs="Times New Roman"/>
                <w:color w:val="auto"/>
                <w:kern w:val="2"/>
                <w:sz w:val="24"/>
                <w:szCs w:val="24"/>
                <w:lang w:val="en-US" w:eastAsia="zh-CN" w:bidi="ar-SA"/>
              </w:rPr>
              <w:t>，估算模型参数表见表7-</w:t>
            </w:r>
            <w:r>
              <w:rPr>
                <w:rFonts w:hint="eastAsia" w:cs="Times New Roman"/>
                <w:color w:val="auto"/>
                <w:kern w:val="2"/>
                <w:sz w:val="24"/>
                <w:szCs w:val="24"/>
                <w:lang w:val="en-US" w:eastAsia="zh-CN" w:bidi="ar-SA"/>
              </w:rPr>
              <w:t>2</w:t>
            </w:r>
            <w:r>
              <w:rPr>
                <w:rFonts w:hint="eastAsia" w:ascii="Times New Roman" w:hAnsi="Times New Roman" w:cs="Times New Roman"/>
                <w:color w:val="auto"/>
                <w:kern w:val="2"/>
                <w:sz w:val="24"/>
                <w:szCs w:val="24"/>
                <w:lang w:val="en-US" w:eastAsia="zh-CN" w:bidi="ar-SA"/>
              </w:rPr>
              <w:t>，点源预测质量浓度及占标率见表表7-</w:t>
            </w:r>
            <w:r>
              <w:rPr>
                <w:rFonts w:hint="eastAsia" w:cs="Times New Roman"/>
                <w:color w:val="auto"/>
                <w:kern w:val="2"/>
                <w:sz w:val="24"/>
                <w:szCs w:val="24"/>
                <w:lang w:val="en-US" w:eastAsia="zh-CN" w:bidi="ar-SA"/>
              </w:rPr>
              <w:t>3，无组织面源预测质量浓度及占标率见表7-4</w:t>
            </w:r>
            <w:r>
              <w:rPr>
                <w:rFonts w:hint="default" w:ascii="Times New Roman" w:hAnsi="Times New Roman" w:eastAsia="宋体" w:cs="Times New Roman"/>
                <w:color w:val="auto"/>
                <w:kern w:val="2"/>
                <w:sz w:val="24"/>
                <w:szCs w:val="24"/>
                <w:lang w:val="en-US" w:eastAsia="zh-CN" w:bidi="ar-SA"/>
              </w:rPr>
              <w:t>。</w:t>
            </w:r>
          </w:p>
          <w:p>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①模型预测参数</w:t>
            </w:r>
          </w:p>
          <w:p>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估算</w:t>
            </w:r>
            <w:r>
              <w:rPr>
                <w:rFonts w:hint="default" w:ascii="Times New Roman" w:hAnsi="Times New Roman" w:cs="Times New Roman"/>
                <w:color w:val="auto"/>
                <w:kern w:val="0"/>
                <w:sz w:val="24"/>
                <w:highlight w:val="none"/>
              </w:rPr>
              <w:t>模型预测参数见下表</w:t>
            </w:r>
            <w:r>
              <w:rPr>
                <w:rFonts w:hint="eastAsia" w:ascii="Times New Roman" w:hAnsi="Times New Roman" w:cs="Times New Roman"/>
                <w:color w:val="auto"/>
                <w:kern w:val="0"/>
                <w:sz w:val="24"/>
                <w:highlight w:val="none"/>
                <w:lang w:val="en-US" w:eastAsia="zh-CN"/>
              </w:rPr>
              <w:t>7-</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w:t>
            </w:r>
          </w:p>
          <w:p>
            <w:pPr>
              <w:pStyle w:val="33"/>
              <w:ind w:firstLine="0" w:firstLineChars="0"/>
              <w:jc w:val="center"/>
              <w:rPr>
                <w:rFonts w:hint="default" w:ascii="Times New Roman" w:hAnsi="Times New Roman" w:eastAsia="宋体" w:cs="Times New Roman"/>
                <w:b/>
                <w:bCs w:val="0"/>
                <w:color w:val="auto"/>
                <w:sz w:val="21"/>
                <w:szCs w:val="21"/>
                <w:lang w:val="en-GB" w:eastAsia="zh-CN"/>
              </w:rPr>
            </w:pPr>
            <w:r>
              <w:rPr>
                <w:rFonts w:hint="default" w:ascii="Times New Roman" w:hAnsi="Times New Roman" w:eastAsia="宋体" w:cs="Times New Roman"/>
                <w:b/>
                <w:bCs w:val="0"/>
                <w:color w:val="auto"/>
                <w:sz w:val="21"/>
                <w:szCs w:val="21"/>
                <w:lang w:val="en-GB" w:eastAsia="zh-CN"/>
              </w:rPr>
              <w:t>表7-</w:t>
            </w:r>
            <w:r>
              <w:rPr>
                <w:rFonts w:hint="eastAsia" w:cs="Times New Roman"/>
                <w:b/>
                <w:bCs w:val="0"/>
                <w:color w:val="auto"/>
                <w:sz w:val="21"/>
                <w:szCs w:val="21"/>
                <w:lang w:val="en-US" w:eastAsia="zh-CN"/>
              </w:rPr>
              <w:t>2</w:t>
            </w:r>
            <w:r>
              <w:rPr>
                <w:rFonts w:hint="default" w:ascii="Times New Roman" w:hAnsi="Times New Roman" w:eastAsia="宋体" w:cs="Times New Roman"/>
                <w:b/>
                <w:bCs w:val="0"/>
                <w:color w:val="auto"/>
                <w:sz w:val="21"/>
                <w:szCs w:val="21"/>
                <w:lang w:val="en-GB" w:eastAsia="zh-CN"/>
              </w:rPr>
              <w:t xml:space="preserve">  估算模型参数表</w:t>
            </w:r>
          </w:p>
          <w:tbl>
            <w:tblPr>
              <w:tblStyle w:val="25"/>
              <w:tblW w:w="941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974"/>
              <w:gridCol w:w="3275"/>
              <w:gridCol w:w="316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2" w:hRule="atLeast"/>
                <w:jc w:val="center"/>
              </w:trPr>
              <w:tc>
                <w:tcPr>
                  <w:tcW w:w="6249"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参数</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取值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974"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城市/农村选项</w:t>
                  </w:r>
                </w:p>
              </w:tc>
              <w:tc>
                <w:tcPr>
                  <w:tcW w:w="32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城市/农村</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农村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97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p>
              </w:tc>
              <w:tc>
                <w:tcPr>
                  <w:tcW w:w="32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人口数（城市选项时）</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249"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最高环境温度/</w:t>
                  </w:r>
                  <w:r>
                    <w:rPr>
                      <w:rFonts w:hint="eastAsia" w:ascii="宋体" w:hAnsi="宋体" w:eastAsia="宋体" w:cs="宋体"/>
                      <w:b w:val="0"/>
                      <w:bCs w:val="0"/>
                      <w:color w:val="auto"/>
                      <w:kern w:val="10"/>
                      <w:sz w:val="21"/>
                      <w:szCs w:val="21"/>
                      <w:highlight w:val="none"/>
                      <w:lang w:val="en-US" w:eastAsia="zh-CN" w:bidi="ar-SA"/>
                    </w:rPr>
                    <w:t>℃</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39.9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249"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最低环境温度/</w:t>
                  </w:r>
                  <w:r>
                    <w:rPr>
                      <w:rFonts w:hint="eastAsia" w:ascii="宋体" w:hAnsi="宋体" w:eastAsia="宋体" w:cs="宋体"/>
                      <w:b w:val="0"/>
                      <w:bCs w:val="0"/>
                      <w:color w:val="auto"/>
                      <w:kern w:val="10"/>
                      <w:sz w:val="21"/>
                      <w:szCs w:val="21"/>
                      <w:highlight w:val="none"/>
                      <w:lang w:val="en-US" w:eastAsia="zh-CN" w:bidi="ar-SA"/>
                    </w:rPr>
                    <w:t>℃</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-15.6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249"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土地利用类型</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农田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249"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区域湿度条件</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中等湿度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974"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是否考虑地形</w:t>
                  </w:r>
                </w:p>
              </w:tc>
              <w:tc>
                <w:tcPr>
                  <w:tcW w:w="32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考虑地形</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97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p>
              </w:tc>
              <w:tc>
                <w:tcPr>
                  <w:tcW w:w="32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地形数据分辨率/m</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974"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是否考虑岸线熏烟</w:t>
                  </w:r>
                </w:p>
              </w:tc>
              <w:tc>
                <w:tcPr>
                  <w:tcW w:w="32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考虑岸线熏烟</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97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p>
              </w:tc>
              <w:tc>
                <w:tcPr>
                  <w:tcW w:w="32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岸线距离/km</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97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p>
              </w:tc>
              <w:tc>
                <w:tcPr>
                  <w:tcW w:w="32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岸线方向/</w:t>
                  </w:r>
                  <w:r>
                    <w:rPr>
                      <w:rFonts w:hint="default" w:ascii="Times New Roman" w:hAnsi="Times New Roman" w:cs="Times New Roman"/>
                      <w:b w:val="0"/>
                      <w:bCs w:val="0"/>
                      <w:color w:val="auto"/>
                      <w:kern w:val="10"/>
                      <w:sz w:val="21"/>
                      <w:szCs w:val="21"/>
                      <w:highlight w:val="none"/>
                      <w:lang w:val="en-US" w:eastAsia="zh-CN" w:bidi="ar-SA"/>
                    </w:rPr>
                    <w:t>°</w:t>
                  </w:r>
                </w:p>
              </w:tc>
              <w:tc>
                <w:tcPr>
                  <w:tcW w:w="31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r>
          </w:tbl>
          <w:p>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②预测结果</w:t>
            </w:r>
          </w:p>
          <w:p>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估算结果见表</w:t>
            </w:r>
            <w:r>
              <w:rPr>
                <w:rFonts w:hint="eastAsia" w:ascii="Times New Roman" w:hAnsi="Times New Roman" w:cs="Times New Roman"/>
                <w:color w:val="auto"/>
                <w:kern w:val="0"/>
                <w:sz w:val="24"/>
                <w:highlight w:val="none"/>
                <w:lang w:val="en-US" w:eastAsia="zh-CN"/>
              </w:rPr>
              <w:t>7-</w:t>
            </w:r>
            <w:r>
              <w:rPr>
                <w:rFonts w:hint="eastAsia" w:cs="Times New Roman"/>
                <w:color w:val="auto"/>
                <w:kern w:val="0"/>
                <w:sz w:val="24"/>
                <w:highlight w:val="none"/>
                <w:lang w:val="en-US" w:eastAsia="zh-CN"/>
              </w:rPr>
              <w:t>3、表7-4</w:t>
            </w:r>
            <w:r>
              <w:rPr>
                <w:rFonts w:hint="default" w:ascii="Times New Roman" w:hAnsi="Times New Roman" w:cs="Times New Roman"/>
                <w:color w:val="auto"/>
                <w:kern w:val="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b/>
                <w:bCs w:val="0"/>
                <w:color w:val="auto"/>
                <w:sz w:val="21"/>
                <w:szCs w:val="21"/>
                <w:highlight w:val="none"/>
                <w:lang w:val="en-US" w:eastAsia="zh-CN"/>
              </w:rPr>
            </w:pPr>
            <w:r>
              <w:rPr>
                <w:rFonts w:hint="default" w:ascii="Times New Roman" w:hAnsi="Times New Roman" w:eastAsia="宋体"/>
                <w:b/>
                <w:bCs w:val="0"/>
                <w:color w:val="auto"/>
                <w:sz w:val="21"/>
                <w:szCs w:val="21"/>
                <w:highlight w:val="none"/>
                <w:lang w:val="en-US" w:eastAsia="zh-CN"/>
              </w:rPr>
              <w:t>表7-</w:t>
            </w:r>
            <w:r>
              <w:rPr>
                <w:rFonts w:hint="eastAsia"/>
                <w:b/>
                <w:bCs w:val="0"/>
                <w:color w:val="auto"/>
                <w:sz w:val="21"/>
                <w:szCs w:val="21"/>
                <w:highlight w:val="none"/>
                <w:lang w:val="en-US" w:eastAsia="zh-CN"/>
              </w:rPr>
              <w:t>3</w:t>
            </w:r>
            <w:r>
              <w:rPr>
                <w:rFonts w:hint="default" w:ascii="Times New Roman" w:hAnsi="Times New Roman" w:eastAsia="宋体"/>
                <w:b/>
                <w:bCs w:val="0"/>
                <w:color w:val="auto"/>
                <w:sz w:val="21"/>
                <w:szCs w:val="21"/>
                <w:highlight w:val="none"/>
                <w:lang w:val="en-US" w:eastAsia="zh-CN"/>
              </w:rPr>
              <w:t xml:space="preserve">  </w:t>
            </w:r>
            <w:r>
              <w:rPr>
                <w:rFonts w:hint="eastAsia" w:ascii="Times New Roman" w:hAnsi="Times New Roman" w:eastAsia="宋体"/>
                <w:b/>
                <w:bCs w:val="0"/>
                <w:color w:val="auto"/>
                <w:sz w:val="21"/>
                <w:szCs w:val="21"/>
                <w:highlight w:val="none"/>
                <w:lang w:val="en-US" w:eastAsia="zh-CN"/>
              </w:rPr>
              <w:t>排气筒估算模型计算结果</w:t>
            </w:r>
            <w:r>
              <w:rPr>
                <w:rFonts w:hint="default" w:ascii="Times New Roman" w:hAnsi="Times New Roman" w:eastAsia="宋体"/>
                <w:b/>
                <w:bCs w:val="0"/>
                <w:color w:val="auto"/>
                <w:sz w:val="21"/>
                <w:szCs w:val="21"/>
                <w:highlight w:val="none"/>
                <w:lang w:val="en-US" w:eastAsia="zh-CN"/>
              </w:rPr>
              <w:t>表</w:t>
            </w:r>
          </w:p>
          <w:tbl>
            <w:tblPr>
              <w:tblStyle w:val="25"/>
              <w:tblW w:w="941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29"/>
              <w:gridCol w:w="1085"/>
              <w:gridCol w:w="1085"/>
              <w:gridCol w:w="1085"/>
              <w:gridCol w:w="1085"/>
              <w:gridCol w:w="1085"/>
              <w:gridCol w:w="1085"/>
              <w:gridCol w:w="1085"/>
              <w:gridCol w:w="108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9" w:hRule="atLeast"/>
                <w:jc w:val="center"/>
              </w:trPr>
              <w:tc>
                <w:tcPr>
                  <w:tcW w:w="729"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下风向距离/m</w:t>
                  </w:r>
                </w:p>
              </w:tc>
              <w:tc>
                <w:tcPr>
                  <w:tcW w:w="217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SO</w:t>
                  </w:r>
                  <w:r>
                    <w:rPr>
                      <w:rFonts w:hint="eastAsia" w:ascii="Times New Roman" w:hAnsi="Times New Roman" w:eastAsia="宋体" w:cs="Times New Roman"/>
                      <w:b/>
                      <w:bCs w:val="0"/>
                      <w:color w:val="auto"/>
                      <w:sz w:val="21"/>
                      <w:szCs w:val="21"/>
                      <w:highlight w:val="none"/>
                      <w:vertAlign w:val="subscript"/>
                      <w:lang w:val="en-US" w:eastAsia="zh-CN"/>
                    </w:rPr>
                    <w:t>2</w:t>
                  </w:r>
                </w:p>
              </w:tc>
              <w:tc>
                <w:tcPr>
                  <w:tcW w:w="217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NO</w:t>
                  </w:r>
                  <w:r>
                    <w:rPr>
                      <w:rFonts w:hint="eastAsia" w:ascii="Times New Roman" w:hAnsi="Times New Roman" w:eastAsia="宋体" w:cs="Times New Roman"/>
                      <w:b/>
                      <w:bCs w:val="0"/>
                      <w:color w:val="auto"/>
                      <w:sz w:val="21"/>
                      <w:szCs w:val="21"/>
                      <w:highlight w:val="none"/>
                      <w:vertAlign w:val="subscript"/>
                      <w:lang w:val="en-US" w:eastAsia="zh-CN"/>
                    </w:rPr>
                    <w:t>X</w:t>
                  </w:r>
                </w:p>
              </w:tc>
              <w:tc>
                <w:tcPr>
                  <w:tcW w:w="217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颗粒物</w:t>
                  </w:r>
                </w:p>
              </w:tc>
              <w:tc>
                <w:tcPr>
                  <w:tcW w:w="2172"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NH</w:t>
                  </w:r>
                  <w:r>
                    <w:rPr>
                      <w:rFonts w:hint="eastAsia" w:cs="Times New Roman"/>
                      <w:b/>
                      <w:bCs w:val="0"/>
                      <w:color w:val="auto"/>
                      <w:sz w:val="21"/>
                      <w:szCs w:val="21"/>
                      <w:highlight w:val="none"/>
                      <w:vertAlign w:val="sub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729"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ascii="Times New Roman" w:hAnsi="Times New Roman" w:eastAsia="宋体" w:cs="Times New Roman"/>
                      <w:b w:val="0"/>
                      <w:bCs w:val="0"/>
                      <w:color w:val="auto"/>
                      <w:kern w:val="10"/>
                      <w:sz w:val="21"/>
                      <w:szCs w:val="21"/>
                      <w:highlight w:val="none"/>
                      <w:lang w:val="en-US" w:eastAsia="zh-CN" w:bidi="ar-SA"/>
                    </w:rPr>
                    <w:t>预测质量浓度（</w:t>
                  </w:r>
                  <w:r>
                    <w:rPr>
                      <w:rFonts w:hint="default" w:ascii="Times New Roman" w:hAnsi="Times New Roman" w:eastAsia="宋体" w:cs="Times New Roman"/>
                      <w:b w:val="0"/>
                      <w:bCs w:val="0"/>
                      <w:color w:val="auto"/>
                      <w:kern w:val="10"/>
                      <w:sz w:val="21"/>
                      <w:szCs w:val="21"/>
                      <w:highlight w:val="none"/>
                      <w:lang w:val="en-US" w:eastAsia="zh-CN" w:bidi="ar-SA"/>
                    </w:rPr>
                    <w:t>μ</w:t>
                  </w:r>
                  <w:r>
                    <w:rPr>
                      <w:rFonts w:hint="eastAsia" w:ascii="Times New Roman" w:hAnsi="Times New Roman" w:eastAsia="宋体" w:cs="Times New Roman"/>
                      <w:b w:val="0"/>
                      <w:bCs w:val="0"/>
                      <w:color w:val="auto"/>
                      <w:kern w:val="10"/>
                      <w:sz w:val="21"/>
                      <w:szCs w:val="21"/>
                      <w:highlight w:val="none"/>
                      <w:lang w:val="en-US" w:eastAsia="zh-CN" w:bidi="ar-SA"/>
                    </w:rPr>
                    <w:t>g/m</w:t>
                  </w:r>
                  <w:r>
                    <w:rPr>
                      <w:rFonts w:hint="eastAsia" w:ascii="Times New Roman" w:hAnsi="Times New Roman" w:eastAsia="宋体" w:cs="Times New Roman"/>
                      <w:b w:val="0"/>
                      <w:bCs w:val="0"/>
                      <w:color w:val="auto"/>
                      <w:kern w:val="10"/>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10"/>
                      <w:sz w:val="21"/>
                      <w:szCs w:val="21"/>
                      <w:highlight w:val="none"/>
                      <w:lang w:val="en-US" w:eastAsia="zh-CN" w:bidi="ar-SA"/>
                    </w:rPr>
                    <w:t>）</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占标率/%</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val="0"/>
                      <w:color w:val="auto"/>
                      <w:kern w:val="10"/>
                      <w:sz w:val="21"/>
                      <w:szCs w:val="21"/>
                      <w:highlight w:val="none"/>
                      <w:lang w:val="en-US" w:eastAsia="zh-CN" w:bidi="ar-SA"/>
                    </w:rPr>
                    <w:t>预测质量浓度（</w:t>
                  </w:r>
                  <w:r>
                    <w:rPr>
                      <w:rFonts w:hint="default" w:ascii="Times New Roman" w:hAnsi="Times New Roman" w:eastAsia="宋体" w:cs="Times New Roman"/>
                      <w:b w:val="0"/>
                      <w:bCs w:val="0"/>
                      <w:color w:val="auto"/>
                      <w:kern w:val="10"/>
                      <w:sz w:val="21"/>
                      <w:szCs w:val="21"/>
                      <w:highlight w:val="none"/>
                      <w:lang w:val="en-US" w:eastAsia="zh-CN" w:bidi="ar-SA"/>
                    </w:rPr>
                    <w:t>μ</w:t>
                  </w:r>
                  <w:r>
                    <w:rPr>
                      <w:rFonts w:hint="eastAsia" w:ascii="Times New Roman" w:hAnsi="Times New Roman" w:eastAsia="宋体" w:cs="Times New Roman"/>
                      <w:b w:val="0"/>
                      <w:bCs w:val="0"/>
                      <w:color w:val="auto"/>
                      <w:kern w:val="10"/>
                      <w:sz w:val="21"/>
                      <w:szCs w:val="21"/>
                      <w:highlight w:val="none"/>
                      <w:lang w:val="en-US" w:eastAsia="zh-CN" w:bidi="ar-SA"/>
                    </w:rPr>
                    <w:t>g/m</w:t>
                  </w:r>
                  <w:r>
                    <w:rPr>
                      <w:rFonts w:hint="eastAsia" w:ascii="Times New Roman" w:hAnsi="Times New Roman" w:eastAsia="宋体" w:cs="Times New Roman"/>
                      <w:b w:val="0"/>
                      <w:bCs w:val="0"/>
                      <w:color w:val="auto"/>
                      <w:kern w:val="10"/>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10"/>
                      <w:sz w:val="21"/>
                      <w:szCs w:val="21"/>
                      <w:highlight w:val="none"/>
                      <w:lang w:val="en-US" w:eastAsia="zh-CN" w:bidi="ar-SA"/>
                    </w:rPr>
                    <w:t>）</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占标率/%</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val="0"/>
                      <w:color w:val="auto"/>
                      <w:kern w:val="10"/>
                      <w:sz w:val="21"/>
                      <w:szCs w:val="21"/>
                      <w:highlight w:val="none"/>
                      <w:lang w:val="en-US" w:eastAsia="zh-CN" w:bidi="ar-SA"/>
                    </w:rPr>
                    <w:t>预测质量浓度（</w:t>
                  </w:r>
                  <w:r>
                    <w:rPr>
                      <w:rFonts w:hint="default" w:ascii="Times New Roman" w:hAnsi="Times New Roman" w:eastAsia="宋体" w:cs="Times New Roman"/>
                      <w:b w:val="0"/>
                      <w:bCs w:val="0"/>
                      <w:color w:val="auto"/>
                      <w:kern w:val="10"/>
                      <w:sz w:val="21"/>
                      <w:szCs w:val="21"/>
                      <w:highlight w:val="none"/>
                      <w:lang w:val="en-US" w:eastAsia="zh-CN" w:bidi="ar-SA"/>
                    </w:rPr>
                    <w:t>μ</w:t>
                  </w:r>
                  <w:r>
                    <w:rPr>
                      <w:rFonts w:hint="eastAsia" w:ascii="Times New Roman" w:hAnsi="Times New Roman" w:eastAsia="宋体" w:cs="Times New Roman"/>
                      <w:b w:val="0"/>
                      <w:bCs w:val="0"/>
                      <w:color w:val="auto"/>
                      <w:kern w:val="10"/>
                      <w:sz w:val="21"/>
                      <w:szCs w:val="21"/>
                      <w:highlight w:val="none"/>
                      <w:lang w:val="en-US" w:eastAsia="zh-CN" w:bidi="ar-SA"/>
                    </w:rPr>
                    <w:t>g/m</w:t>
                  </w:r>
                  <w:r>
                    <w:rPr>
                      <w:rFonts w:hint="eastAsia" w:ascii="Times New Roman" w:hAnsi="Times New Roman" w:eastAsia="宋体" w:cs="Times New Roman"/>
                      <w:b w:val="0"/>
                      <w:bCs w:val="0"/>
                      <w:color w:val="auto"/>
                      <w:kern w:val="10"/>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10"/>
                      <w:sz w:val="21"/>
                      <w:szCs w:val="21"/>
                      <w:highlight w:val="none"/>
                      <w:lang w:val="en-US" w:eastAsia="zh-CN" w:bidi="ar-SA"/>
                    </w:rPr>
                    <w:t>）</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占标率/%</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val="0"/>
                      <w:color w:val="auto"/>
                      <w:kern w:val="10"/>
                      <w:sz w:val="21"/>
                      <w:szCs w:val="21"/>
                      <w:highlight w:val="none"/>
                      <w:lang w:val="en-US" w:eastAsia="zh-CN" w:bidi="ar-SA"/>
                    </w:rPr>
                    <w:t>预测质量浓度（</w:t>
                  </w:r>
                  <w:r>
                    <w:rPr>
                      <w:rFonts w:hint="default" w:ascii="Times New Roman" w:hAnsi="Times New Roman" w:eastAsia="宋体" w:cs="Times New Roman"/>
                      <w:b w:val="0"/>
                      <w:bCs w:val="0"/>
                      <w:color w:val="auto"/>
                      <w:kern w:val="10"/>
                      <w:sz w:val="21"/>
                      <w:szCs w:val="21"/>
                      <w:highlight w:val="none"/>
                      <w:lang w:val="en-US" w:eastAsia="zh-CN" w:bidi="ar-SA"/>
                    </w:rPr>
                    <w:t>μ</w:t>
                  </w:r>
                  <w:r>
                    <w:rPr>
                      <w:rFonts w:hint="eastAsia" w:ascii="Times New Roman" w:hAnsi="Times New Roman" w:eastAsia="宋体" w:cs="Times New Roman"/>
                      <w:b w:val="0"/>
                      <w:bCs w:val="0"/>
                      <w:color w:val="auto"/>
                      <w:kern w:val="10"/>
                      <w:sz w:val="21"/>
                      <w:szCs w:val="21"/>
                      <w:highlight w:val="none"/>
                      <w:lang w:val="en-US" w:eastAsia="zh-CN" w:bidi="ar-SA"/>
                    </w:rPr>
                    <w:t>g/m</w:t>
                  </w:r>
                  <w:r>
                    <w:rPr>
                      <w:rFonts w:hint="eastAsia" w:ascii="Times New Roman" w:hAnsi="Times New Roman" w:eastAsia="宋体" w:cs="Times New Roman"/>
                      <w:b w:val="0"/>
                      <w:bCs w:val="0"/>
                      <w:color w:val="auto"/>
                      <w:kern w:val="10"/>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10"/>
                      <w:sz w:val="21"/>
                      <w:szCs w:val="21"/>
                      <w:highlight w:val="none"/>
                      <w:lang w:val="en-US" w:eastAsia="zh-CN" w:bidi="ar-SA"/>
                    </w:rPr>
                    <w:t>）</w:t>
                  </w:r>
                </w:p>
              </w:tc>
              <w:tc>
                <w:tcPr>
                  <w:tcW w:w="108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占标率/%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0.0002844</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0.00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0.0009721</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0.00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0.0002176</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0.00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0.0006094</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0.00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0.7243</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0.14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2.476</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1.24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0.5543</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0.06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0.1552</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0.08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1.102</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0.22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3.766</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1.88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0.8432</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0.09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0.2361</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0.12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75</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1.076</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0.22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3.679</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1.8</w:t>
                  </w:r>
                  <w:r>
                    <w:rPr>
                      <w:rFonts w:hint="eastAsia" w:cs="Times New Roman"/>
                      <w:bCs/>
                      <w:i w:val="0"/>
                      <w:color w:val="auto"/>
                      <w:kern w:val="10"/>
                      <w:sz w:val="21"/>
                      <w:szCs w:val="21"/>
                      <w:highlight w:val="none"/>
                      <w:u w:val="none"/>
                      <w:lang w:val="en-US" w:eastAsia="zh-CN" w:bidi="ar-SA"/>
                    </w:rPr>
                    <w:t>4</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0.8236</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0.09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0.2306</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0.12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1.177</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0.24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4.023</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2.01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0.9008</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0.10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0.2522</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125</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1.258</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0.25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4.299</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2.15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0.9625</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0.11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0.2695</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0.13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150</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1.472</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0.29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5.031</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2.52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1.126</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0.13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0.3154</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175</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1.573</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0.31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5.375</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2.69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1.203</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val="0"/>
                      <w:bCs/>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0.13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0.3370</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200</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kern w:val="10"/>
                      <w:sz w:val="21"/>
                      <w:szCs w:val="21"/>
                      <w:highlight w:val="none"/>
                      <w:lang w:val="en-US" w:eastAsia="zh-CN" w:bidi="ar-SA"/>
                    </w:rPr>
                  </w:pPr>
                  <w:r>
                    <w:rPr>
                      <w:rFonts w:hint="eastAsia" w:cs="Times New Roman"/>
                      <w:b/>
                      <w:bCs w:val="0"/>
                      <w:color w:val="auto"/>
                      <w:kern w:val="10"/>
                      <w:sz w:val="21"/>
                      <w:szCs w:val="21"/>
                      <w:highlight w:val="none"/>
                      <w:lang w:val="en-US" w:eastAsia="zh-CN" w:bidi="ar-SA"/>
                    </w:rPr>
                    <w:t>1.594</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bCs w:val="0"/>
                      <w:color w:val="auto"/>
                      <w:kern w:val="10"/>
                      <w:sz w:val="21"/>
                      <w:szCs w:val="21"/>
                      <w:highlight w:val="none"/>
                      <w:lang w:val="en-US" w:eastAsia="zh-CN" w:bidi="ar-SA"/>
                    </w:rPr>
                  </w:pPr>
                  <w:r>
                    <w:rPr>
                      <w:rFonts w:hint="eastAsia" w:ascii="Times New Roman" w:hAnsi="Times New Roman" w:eastAsia="宋体" w:cs="Times New Roman"/>
                      <w:b/>
                      <w:bCs w:val="0"/>
                      <w:i w:val="0"/>
                      <w:color w:val="auto"/>
                      <w:kern w:val="10"/>
                      <w:sz w:val="21"/>
                      <w:szCs w:val="21"/>
                      <w:highlight w:val="none"/>
                      <w:u w:val="none"/>
                      <w:lang w:val="en-US" w:eastAsia="zh-CN" w:bidi="ar-SA"/>
                    </w:rPr>
                    <w:t xml:space="preserve">0.32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bCs w:val="0"/>
                      <w:color w:val="auto"/>
                      <w:kern w:val="10"/>
                      <w:sz w:val="21"/>
                      <w:szCs w:val="21"/>
                      <w:highlight w:val="none"/>
                      <w:lang w:val="en-US" w:eastAsia="zh-CN" w:bidi="ar-SA"/>
                    </w:rPr>
                  </w:pPr>
                  <w:r>
                    <w:rPr>
                      <w:rFonts w:hint="eastAsia" w:cs="Times New Roman"/>
                      <w:b/>
                      <w:bCs w:val="0"/>
                      <w:color w:val="auto"/>
                      <w:kern w:val="10"/>
                      <w:sz w:val="21"/>
                      <w:szCs w:val="21"/>
                      <w:highlight w:val="none"/>
                      <w:lang w:val="en-US" w:eastAsia="zh-CN" w:bidi="ar-SA"/>
                    </w:rPr>
                    <w:t>5.451</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bCs w:val="0"/>
                      <w:color w:val="auto"/>
                      <w:kern w:val="10"/>
                      <w:sz w:val="21"/>
                      <w:szCs w:val="21"/>
                      <w:highlight w:val="none"/>
                      <w:u w:val="none"/>
                      <w:lang w:val="en-US" w:eastAsia="zh-CN" w:bidi="ar-SA"/>
                    </w:rPr>
                  </w:pPr>
                  <w:r>
                    <w:rPr>
                      <w:rFonts w:hint="eastAsia" w:ascii="Times New Roman" w:hAnsi="Times New Roman" w:eastAsia="宋体" w:cs="Times New Roman"/>
                      <w:b/>
                      <w:bCs w:val="0"/>
                      <w:i w:val="0"/>
                      <w:color w:val="auto"/>
                      <w:kern w:val="10"/>
                      <w:sz w:val="21"/>
                      <w:szCs w:val="21"/>
                      <w:highlight w:val="none"/>
                      <w:u w:val="none"/>
                      <w:lang w:val="en-US" w:eastAsia="zh-CN" w:bidi="ar-SA"/>
                    </w:rPr>
                    <w:t xml:space="preserve">2.73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bCs w:val="0"/>
                      <w:color w:val="auto"/>
                      <w:kern w:val="10"/>
                      <w:sz w:val="21"/>
                      <w:szCs w:val="21"/>
                      <w:highlight w:val="none"/>
                      <w:lang w:val="en-US" w:eastAsia="zh-CN" w:bidi="ar-SA"/>
                    </w:rPr>
                  </w:pPr>
                  <w:r>
                    <w:rPr>
                      <w:rFonts w:hint="eastAsia" w:cs="Times New Roman"/>
                      <w:b/>
                      <w:bCs w:val="0"/>
                      <w:color w:val="auto"/>
                      <w:kern w:val="10"/>
                      <w:sz w:val="21"/>
                      <w:szCs w:val="21"/>
                      <w:highlight w:val="none"/>
                      <w:lang w:val="en-US" w:eastAsia="zh-CN" w:bidi="ar-SA"/>
                    </w:rPr>
                    <w:t>1.220</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
                      <w:bCs w:val="0"/>
                      <w:color w:val="auto"/>
                      <w:kern w:val="10"/>
                      <w:sz w:val="21"/>
                      <w:szCs w:val="21"/>
                      <w:highlight w:val="none"/>
                      <w:u w:val="none"/>
                      <w:lang w:val="en-US" w:eastAsia="zh-CN" w:bidi="ar-SA"/>
                    </w:rPr>
                  </w:pPr>
                  <w:r>
                    <w:rPr>
                      <w:rFonts w:hint="eastAsia" w:ascii="Times New Roman" w:hAnsi="Times New Roman" w:eastAsia="宋体" w:cs="Times New Roman"/>
                      <w:b/>
                      <w:bCs w:val="0"/>
                      <w:i w:val="0"/>
                      <w:color w:val="auto"/>
                      <w:kern w:val="10"/>
                      <w:sz w:val="21"/>
                      <w:szCs w:val="21"/>
                      <w:highlight w:val="none"/>
                      <w:u w:val="none"/>
                      <w:lang w:val="en-US" w:eastAsia="zh-CN" w:bidi="ar-SA"/>
                    </w:rPr>
                    <w:t xml:space="preserve">0.14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b/>
                      <w:bCs w:val="0"/>
                      <w:i w:val="0"/>
                      <w:color w:val="auto"/>
                      <w:kern w:val="0"/>
                      <w:sz w:val="21"/>
                      <w:szCs w:val="21"/>
                      <w:u w:val="none"/>
                      <w:lang w:val="en-US" w:eastAsia="zh-CN" w:bidi="ar"/>
                    </w:rPr>
                  </w:pPr>
                  <w:r>
                    <w:rPr>
                      <w:rFonts w:hint="eastAsia" w:cs="宋体"/>
                      <w:b/>
                      <w:bCs w:val="0"/>
                      <w:i w:val="0"/>
                      <w:color w:val="auto"/>
                      <w:kern w:val="0"/>
                      <w:sz w:val="21"/>
                      <w:szCs w:val="21"/>
                      <w:u w:val="none"/>
                      <w:lang w:val="en-US" w:eastAsia="zh-CN" w:bidi="ar"/>
                    </w:rPr>
                    <w:t>0.3417</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b/>
                      <w:bCs w:val="0"/>
                      <w:i w:val="0"/>
                      <w:color w:val="auto"/>
                      <w:kern w:val="0"/>
                      <w:sz w:val="21"/>
                      <w:szCs w:val="21"/>
                      <w:u w:val="none"/>
                      <w:lang w:val="en-US" w:eastAsia="zh-CN" w:bidi="ar"/>
                    </w:rPr>
                  </w:pPr>
                  <w:r>
                    <w:rPr>
                      <w:rFonts w:hint="eastAsia" w:ascii="Times New Roman" w:hAnsi="Times New Roman" w:eastAsia="宋体" w:cs="宋体"/>
                      <w:b/>
                      <w:bCs w:val="0"/>
                      <w:i w:val="0"/>
                      <w:color w:val="auto"/>
                      <w:kern w:val="0"/>
                      <w:sz w:val="21"/>
                      <w:szCs w:val="21"/>
                      <w:u w:val="none"/>
                      <w:lang w:val="en-US" w:eastAsia="zh-CN" w:bidi="ar"/>
                    </w:rPr>
                    <w:t xml:space="preserve">0.17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225</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1.584</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0.32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5.414</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2.71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1.212</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0.13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0.3394</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250</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1.552</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0.31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5.307</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2.65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1.188</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0.13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0.3327</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0.17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275</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1.510</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0.30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5.161</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2.58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1.155</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0.13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0.3235</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0.16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7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300</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1.461</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0.29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4.996</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2.50 </w:t>
                  </w:r>
                </w:p>
              </w:tc>
              <w:tc>
                <w:tcPr>
                  <w:tcW w:w="108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1.118</w:t>
                  </w:r>
                </w:p>
              </w:tc>
              <w:tc>
                <w:tcPr>
                  <w:tcW w:w="1085"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eastAsia="宋体" w:cs="Times New Roman"/>
                      <w:bCs/>
                      <w:i w:val="0"/>
                      <w:color w:val="auto"/>
                      <w:kern w:val="10"/>
                      <w:sz w:val="21"/>
                      <w:szCs w:val="21"/>
                      <w:highlight w:val="none"/>
                      <w:u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0.12 </w:t>
                  </w:r>
                </w:p>
              </w:tc>
              <w:tc>
                <w:tcPr>
                  <w:tcW w:w="10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color w:val="auto"/>
                      <w:kern w:val="0"/>
                      <w:sz w:val="21"/>
                      <w:szCs w:val="21"/>
                      <w:u w:val="none"/>
                      <w:lang w:val="en-US" w:eastAsia="zh-CN" w:bidi="ar"/>
                    </w:rPr>
                  </w:pPr>
                  <w:r>
                    <w:rPr>
                      <w:rFonts w:hint="eastAsia" w:cs="宋体"/>
                      <w:i w:val="0"/>
                      <w:color w:val="auto"/>
                      <w:kern w:val="0"/>
                      <w:sz w:val="21"/>
                      <w:szCs w:val="21"/>
                      <w:u w:val="none"/>
                      <w:lang w:val="en-US" w:eastAsia="zh-CN" w:bidi="ar"/>
                    </w:rPr>
                    <w:t>0.3135</w:t>
                  </w:r>
                </w:p>
              </w:tc>
              <w:tc>
                <w:tcPr>
                  <w:tcW w:w="108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 xml:space="preserve">0.16 </w:t>
                  </w:r>
                </w:p>
              </w:tc>
            </w:tr>
          </w:tbl>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b/>
                <w:bCs w:val="0"/>
                <w:color w:val="auto"/>
                <w:sz w:val="21"/>
                <w:szCs w:val="21"/>
                <w:highlight w:val="none"/>
                <w:lang w:val="en-US" w:eastAsia="zh-CN"/>
              </w:rPr>
            </w:pPr>
            <w:r>
              <w:rPr>
                <w:rFonts w:hint="default" w:ascii="Times New Roman" w:hAnsi="Times New Roman" w:eastAsia="宋体"/>
                <w:b/>
                <w:bCs w:val="0"/>
                <w:color w:val="auto"/>
                <w:sz w:val="21"/>
                <w:szCs w:val="21"/>
                <w:highlight w:val="none"/>
                <w:lang w:val="en-US" w:eastAsia="zh-CN"/>
              </w:rPr>
              <w:t>表7-</w:t>
            </w:r>
            <w:r>
              <w:rPr>
                <w:rFonts w:hint="eastAsia"/>
                <w:b/>
                <w:bCs w:val="0"/>
                <w:color w:val="auto"/>
                <w:sz w:val="21"/>
                <w:szCs w:val="21"/>
                <w:highlight w:val="none"/>
                <w:lang w:val="en-US" w:eastAsia="zh-CN"/>
              </w:rPr>
              <w:t>4</w:t>
            </w:r>
            <w:r>
              <w:rPr>
                <w:rFonts w:hint="default" w:ascii="Times New Roman" w:hAnsi="Times New Roman" w:eastAsia="宋体"/>
                <w:b/>
                <w:bCs w:val="0"/>
                <w:color w:val="auto"/>
                <w:sz w:val="21"/>
                <w:szCs w:val="21"/>
                <w:highlight w:val="none"/>
                <w:lang w:val="en-US" w:eastAsia="zh-CN"/>
              </w:rPr>
              <w:t xml:space="preserve">  </w:t>
            </w:r>
            <w:r>
              <w:rPr>
                <w:rFonts w:hint="eastAsia" w:ascii="Times New Roman" w:hAnsi="Times New Roman"/>
                <w:b/>
                <w:bCs w:val="0"/>
                <w:color w:val="auto"/>
                <w:sz w:val="21"/>
                <w:szCs w:val="21"/>
                <w:highlight w:val="none"/>
                <w:lang w:val="en-US" w:eastAsia="zh-CN"/>
              </w:rPr>
              <w:t>无组织面源</w:t>
            </w:r>
            <w:r>
              <w:rPr>
                <w:rFonts w:hint="eastAsia" w:ascii="Times New Roman" w:hAnsi="Times New Roman" w:eastAsia="宋体"/>
                <w:b/>
                <w:bCs w:val="0"/>
                <w:color w:val="auto"/>
                <w:sz w:val="21"/>
                <w:szCs w:val="21"/>
                <w:highlight w:val="none"/>
                <w:lang w:val="en-US" w:eastAsia="zh-CN"/>
              </w:rPr>
              <w:t>估算模型计算结果</w:t>
            </w:r>
            <w:r>
              <w:rPr>
                <w:rFonts w:hint="default" w:ascii="Times New Roman" w:hAnsi="Times New Roman" w:eastAsia="宋体"/>
                <w:b/>
                <w:bCs w:val="0"/>
                <w:color w:val="auto"/>
                <w:sz w:val="21"/>
                <w:szCs w:val="21"/>
                <w:highlight w:val="none"/>
                <w:lang w:val="en-US" w:eastAsia="zh-CN"/>
              </w:rPr>
              <w:t>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676"/>
              <w:gridCol w:w="3339"/>
              <w:gridCol w:w="33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9" w:hRule="atLeast"/>
                <w:jc w:val="center"/>
              </w:trPr>
              <w:tc>
                <w:tcPr>
                  <w:tcW w:w="1561"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下风向距离/m</w:t>
                  </w:r>
                </w:p>
              </w:tc>
              <w:tc>
                <w:tcPr>
                  <w:tcW w:w="3896"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机</w:t>
                  </w:r>
                  <w:r>
                    <w:rPr>
                      <w:rFonts w:hint="eastAsia" w:ascii="Times New Roman" w:hAnsi="Times New Roman" w:cs="Times New Roman"/>
                      <w:b/>
                      <w:bCs w:val="0"/>
                      <w:color w:val="auto"/>
                      <w:sz w:val="21"/>
                      <w:szCs w:val="21"/>
                      <w:highlight w:val="none"/>
                      <w:vertAlign w:val="baseline"/>
                      <w:lang w:val="en-US" w:eastAsia="zh-CN"/>
                    </w:rPr>
                    <w:t>加工车间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9" w:hRule="atLeast"/>
                <w:jc w:val="center"/>
              </w:trPr>
              <w:tc>
                <w:tcPr>
                  <w:tcW w:w="156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bCs w:val="0"/>
                      <w:color w:val="auto"/>
                      <w:sz w:val="21"/>
                      <w:szCs w:val="21"/>
                      <w:highlight w:val="none"/>
                      <w:vertAlign w:val="baseline"/>
                      <w:lang w:val="en-US" w:eastAsia="zh-CN"/>
                    </w:rPr>
                  </w:pPr>
                </w:p>
              </w:tc>
              <w:tc>
                <w:tcPr>
                  <w:tcW w:w="3896"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156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r>
                    <w:rPr>
                      <w:rFonts w:hint="eastAsia" w:ascii="Times New Roman" w:hAnsi="Times New Roman" w:cs="Times New Roman"/>
                      <w:b w:val="0"/>
                      <w:bCs w:val="0"/>
                      <w:color w:val="auto"/>
                      <w:kern w:val="10"/>
                      <w:sz w:val="21"/>
                      <w:szCs w:val="21"/>
                      <w:highlight w:val="none"/>
                      <w:lang w:val="en-US" w:eastAsia="zh-CN" w:bidi="ar-SA"/>
                    </w:rPr>
                    <w:t>预测质量浓度（</w:t>
                  </w:r>
                  <w:r>
                    <w:rPr>
                      <w:rFonts w:hint="default" w:ascii="Times New Roman" w:hAnsi="Times New Roman" w:cs="Times New Roman"/>
                      <w:b w:val="0"/>
                      <w:bCs w:val="0"/>
                      <w:color w:val="auto"/>
                      <w:kern w:val="10"/>
                      <w:sz w:val="21"/>
                      <w:szCs w:val="21"/>
                      <w:highlight w:val="none"/>
                      <w:lang w:val="en-US" w:eastAsia="zh-CN" w:bidi="ar-SA"/>
                    </w:rPr>
                    <w:t>μ</w:t>
                  </w:r>
                  <w:r>
                    <w:rPr>
                      <w:rFonts w:hint="eastAsia" w:ascii="Times New Roman" w:hAnsi="Times New Roman" w:cs="Times New Roman"/>
                      <w:b w:val="0"/>
                      <w:bCs w:val="0"/>
                      <w:color w:val="auto"/>
                      <w:kern w:val="10"/>
                      <w:sz w:val="21"/>
                      <w:szCs w:val="21"/>
                      <w:highlight w:val="none"/>
                      <w:lang w:val="en-US" w:eastAsia="zh-CN" w:bidi="ar-SA"/>
                    </w:rPr>
                    <w:t>g/m</w:t>
                  </w:r>
                  <w:r>
                    <w:rPr>
                      <w:rFonts w:hint="eastAsia" w:ascii="Times New Roman" w:hAnsi="Times New Roman" w:cs="Times New Roman"/>
                      <w:b w:val="0"/>
                      <w:bCs w:val="0"/>
                      <w:color w:val="auto"/>
                      <w:kern w:val="10"/>
                      <w:sz w:val="21"/>
                      <w:szCs w:val="21"/>
                      <w:highlight w:val="none"/>
                      <w:vertAlign w:val="superscript"/>
                      <w:lang w:val="en-US" w:eastAsia="zh-CN" w:bidi="ar-SA"/>
                    </w:rPr>
                    <w:t>3</w:t>
                  </w:r>
                  <w:r>
                    <w:rPr>
                      <w:rFonts w:hint="eastAsia" w:ascii="Times New Roman" w:hAnsi="Times New Roman" w:cs="Times New Roman"/>
                      <w:b w:val="0"/>
                      <w:bCs w:val="0"/>
                      <w:color w:val="auto"/>
                      <w:kern w:val="10"/>
                      <w:sz w:val="21"/>
                      <w:szCs w:val="21"/>
                      <w:highlight w:val="none"/>
                      <w:lang w:val="en-US" w:eastAsia="zh-CN" w:bidi="ar-SA"/>
                    </w:rPr>
                    <w:t>）</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占标率/%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2.235</w:t>
                  </w:r>
                </w:p>
              </w:tc>
              <w:tc>
                <w:tcPr>
                  <w:tcW w:w="1948"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25</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3.996</w:t>
                  </w:r>
                </w:p>
              </w:tc>
              <w:tc>
                <w:tcPr>
                  <w:tcW w:w="1948"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0.44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50</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auto"/>
                      <w:kern w:val="10"/>
                      <w:sz w:val="21"/>
                      <w:szCs w:val="21"/>
                      <w:highlight w:val="none"/>
                      <w:lang w:val="en-US" w:eastAsia="zh-CN" w:bidi="ar-SA"/>
                    </w:rPr>
                  </w:pPr>
                  <w:r>
                    <w:rPr>
                      <w:rFonts w:hint="eastAsia" w:cs="Times New Roman"/>
                      <w:b/>
                      <w:bCs w:val="0"/>
                      <w:color w:val="auto"/>
                      <w:kern w:val="10"/>
                      <w:sz w:val="21"/>
                      <w:szCs w:val="21"/>
                      <w:highlight w:val="none"/>
                      <w:lang w:val="en-US" w:eastAsia="zh-CN" w:bidi="ar-SA"/>
                    </w:rPr>
                    <w:t>4.017</w:t>
                  </w:r>
                </w:p>
              </w:tc>
              <w:tc>
                <w:tcPr>
                  <w:tcW w:w="1948"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cs="Times New Roman"/>
                      <w:b/>
                      <w:bCs w:val="0"/>
                      <w:color w:val="auto"/>
                      <w:kern w:val="10"/>
                      <w:sz w:val="21"/>
                      <w:szCs w:val="21"/>
                      <w:highlight w:val="none"/>
                      <w:lang w:val="en-US" w:eastAsia="zh-CN" w:bidi="ar-SA"/>
                    </w:rPr>
                  </w:pPr>
                  <w:r>
                    <w:rPr>
                      <w:rFonts w:hint="eastAsia" w:ascii="Times New Roman" w:hAnsi="Times New Roman" w:eastAsia="宋体" w:cs="Times New Roman"/>
                      <w:b/>
                      <w:bCs w:val="0"/>
                      <w:i w:val="0"/>
                      <w:color w:val="auto"/>
                      <w:kern w:val="10"/>
                      <w:sz w:val="21"/>
                      <w:szCs w:val="21"/>
                      <w:highlight w:val="none"/>
                      <w:u w:val="none"/>
                      <w:lang w:val="en-US" w:eastAsia="zh-CN" w:bidi="ar-SA"/>
                    </w:rPr>
                    <w:t xml:space="preserve">0.45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75</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3.687</w:t>
                  </w:r>
                </w:p>
              </w:tc>
              <w:tc>
                <w:tcPr>
                  <w:tcW w:w="1948"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0.41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100</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3.078</w:t>
                  </w:r>
                </w:p>
              </w:tc>
              <w:tc>
                <w:tcPr>
                  <w:tcW w:w="1948"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0.34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125</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2.573</w:t>
                  </w:r>
                </w:p>
              </w:tc>
              <w:tc>
                <w:tcPr>
                  <w:tcW w:w="1948"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0.29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150</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2.225</w:t>
                  </w:r>
                </w:p>
              </w:tc>
              <w:tc>
                <w:tcPr>
                  <w:tcW w:w="1948"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0.25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175</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1.988</w:t>
                  </w:r>
                </w:p>
              </w:tc>
              <w:tc>
                <w:tcPr>
                  <w:tcW w:w="1948"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0.22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200</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kern w:val="10"/>
                      <w:sz w:val="21"/>
                      <w:szCs w:val="21"/>
                      <w:highlight w:val="none"/>
                      <w:lang w:val="en-US" w:eastAsia="zh-CN" w:bidi="ar-SA"/>
                    </w:rPr>
                  </w:pPr>
                  <w:r>
                    <w:rPr>
                      <w:rFonts w:hint="eastAsia" w:cs="Times New Roman"/>
                      <w:b w:val="0"/>
                      <w:bCs/>
                      <w:color w:val="auto"/>
                      <w:kern w:val="10"/>
                      <w:sz w:val="21"/>
                      <w:szCs w:val="21"/>
                      <w:highlight w:val="none"/>
                      <w:lang w:val="en-US" w:eastAsia="zh-CN" w:bidi="ar-SA"/>
                    </w:rPr>
                    <w:t>1.856</w:t>
                  </w:r>
                </w:p>
              </w:tc>
              <w:tc>
                <w:tcPr>
                  <w:tcW w:w="1948" w:type="dxa"/>
                  <w:tcBorders>
                    <w:tl2br w:val="nil"/>
                    <w:tr2bl w:val="nil"/>
                  </w:tcBorders>
                  <w:noWrap w:val="0"/>
                  <w:vAlign w:val="center"/>
                </w:tcPr>
                <w:p>
                  <w:pPr>
                    <w:keepNext w:val="0"/>
                    <w:keepLines w:val="0"/>
                    <w:widowControl/>
                    <w:suppressLineNumbers w:val="0"/>
                    <w:adjustRightInd w:val="0"/>
                    <w:snapToGrid w:val="0"/>
                    <w:jc w:val="center"/>
                    <w:textAlignment w:val="auto"/>
                    <w:outlineLvl w:val="9"/>
                    <w:rPr>
                      <w:rFonts w:hint="eastAsia" w:ascii="Times New Roman" w:hAnsi="Times New Roman" w:cs="Times New Roman"/>
                      <w:b w:val="0"/>
                      <w:bCs/>
                      <w:color w:val="auto"/>
                      <w:kern w:val="10"/>
                      <w:sz w:val="21"/>
                      <w:szCs w:val="21"/>
                      <w:highlight w:val="none"/>
                      <w:lang w:val="en-US" w:eastAsia="zh-CN" w:bidi="ar-SA"/>
                    </w:rPr>
                  </w:pPr>
                  <w:r>
                    <w:rPr>
                      <w:rFonts w:hint="eastAsia" w:ascii="Times New Roman" w:hAnsi="Times New Roman" w:eastAsia="宋体" w:cs="Times New Roman"/>
                      <w:bCs/>
                      <w:i w:val="0"/>
                      <w:color w:val="auto"/>
                      <w:kern w:val="10"/>
                      <w:sz w:val="21"/>
                      <w:szCs w:val="21"/>
                      <w:highlight w:val="none"/>
                      <w:u w:val="none"/>
                      <w:lang w:val="en-US" w:eastAsia="zh-CN" w:bidi="ar-SA"/>
                    </w:rPr>
                    <w:t xml:space="preserve">0.21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56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下风向最大质量浓度及占标率/%</w:t>
                  </w: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cs="Times New Roman"/>
                      <w:b w:val="0"/>
                      <w:bCs w:val="0"/>
                      <w:color w:val="auto"/>
                      <w:kern w:val="10"/>
                      <w:sz w:val="21"/>
                      <w:szCs w:val="21"/>
                      <w:highlight w:val="none"/>
                      <w:lang w:val="en-US" w:eastAsia="zh-CN" w:bidi="ar-SA"/>
                    </w:rPr>
                  </w:pPr>
                </w:p>
              </w:tc>
              <w:tc>
                <w:tcPr>
                  <w:tcW w:w="19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0.45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③</w:t>
            </w:r>
            <w:r>
              <w:rPr>
                <w:rFonts w:hint="eastAsia" w:ascii="Times New Roman" w:hAnsi="Times New Roman" w:eastAsia="宋体"/>
                <w:b w:val="0"/>
                <w:bCs w:val="0"/>
                <w:color w:val="auto"/>
                <w:sz w:val="24"/>
                <w:szCs w:val="24"/>
                <w:vertAlign w:val="baseline"/>
                <w:lang w:val="en-US" w:eastAsia="zh-CN"/>
              </w:rPr>
              <w:t>大气评价等级确定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b w:val="0"/>
                <w:bCs w:val="0"/>
                <w:color w:val="auto"/>
                <w:sz w:val="24"/>
                <w:szCs w:val="24"/>
                <w:vertAlign w:val="baseline"/>
                <w:lang w:val="en-US" w:eastAsia="zh-CN"/>
              </w:rPr>
            </w:pPr>
            <w:r>
              <w:rPr>
                <w:rFonts w:hint="eastAsia" w:ascii="Times New Roman" w:hAnsi="Times New Roman" w:eastAsia="宋体"/>
                <w:b w:val="0"/>
                <w:bCs w:val="0"/>
                <w:color w:val="auto"/>
                <w:sz w:val="24"/>
                <w:szCs w:val="24"/>
                <w:vertAlign w:val="baseline"/>
                <w:lang w:val="en-US" w:eastAsia="zh-CN"/>
              </w:rPr>
              <w:t>根据有组织</w:t>
            </w:r>
            <w:r>
              <w:rPr>
                <w:rFonts w:hint="eastAsia"/>
                <w:b w:val="0"/>
                <w:bCs w:val="0"/>
                <w:color w:val="auto"/>
                <w:sz w:val="24"/>
                <w:szCs w:val="24"/>
                <w:vertAlign w:val="baseline"/>
                <w:lang w:val="en-US" w:eastAsia="zh-CN"/>
              </w:rPr>
              <w:t>及无组织废气排放</w:t>
            </w:r>
            <w:r>
              <w:rPr>
                <w:rFonts w:hint="eastAsia" w:ascii="Times New Roman" w:hAnsi="Times New Roman" w:eastAsia="宋体"/>
                <w:b w:val="0"/>
                <w:bCs w:val="0"/>
                <w:color w:val="auto"/>
                <w:sz w:val="24"/>
                <w:szCs w:val="24"/>
                <w:vertAlign w:val="baseline"/>
                <w:lang w:val="en-US" w:eastAsia="zh-CN"/>
              </w:rPr>
              <w:t>的估算结果，</w:t>
            </w:r>
            <w:r>
              <w:rPr>
                <w:rFonts w:hint="eastAsia"/>
                <w:b w:val="0"/>
                <w:bCs w:val="0"/>
                <w:color w:val="auto"/>
                <w:sz w:val="24"/>
                <w:szCs w:val="24"/>
                <w:vertAlign w:val="baseline"/>
                <w:lang w:val="en-US" w:eastAsia="zh-CN"/>
              </w:rPr>
              <w:t>有组织</w:t>
            </w:r>
            <w:r>
              <w:rPr>
                <w:rFonts w:hint="eastAsia" w:ascii="Times New Roman" w:hAnsi="Times New Roman" w:eastAsia="宋体"/>
                <w:b w:val="0"/>
                <w:bCs w:val="0"/>
                <w:color w:val="auto"/>
                <w:sz w:val="24"/>
                <w:szCs w:val="24"/>
                <w:vertAlign w:val="baseline"/>
                <w:lang w:val="en-US" w:eastAsia="zh-CN"/>
              </w:rPr>
              <w:t>NO</w:t>
            </w:r>
            <w:r>
              <w:rPr>
                <w:rFonts w:hint="eastAsia" w:ascii="Times New Roman" w:hAnsi="Times New Roman" w:eastAsia="宋体"/>
                <w:b w:val="0"/>
                <w:bCs w:val="0"/>
                <w:color w:val="auto"/>
                <w:sz w:val="24"/>
                <w:szCs w:val="24"/>
                <w:vertAlign w:val="subscript"/>
                <w:lang w:val="en-US" w:eastAsia="zh-CN"/>
              </w:rPr>
              <w:t>X</w:t>
            </w:r>
            <w:r>
              <w:rPr>
                <w:rFonts w:hint="eastAsia" w:ascii="Times New Roman" w:hAnsi="Times New Roman" w:eastAsia="宋体"/>
                <w:b w:val="0"/>
                <w:bCs w:val="0"/>
                <w:color w:val="auto"/>
                <w:sz w:val="24"/>
                <w:szCs w:val="24"/>
                <w:vertAlign w:val="baseline"/>
                <w:lang w:val="en-US" w:eastAsia="zh-CN"/>
              </w:rPr>
              <w:t>占标率最大，</w:t>
            </w:r>
            <w:r>
              <w:rPr>
                <w:rFonts w:hint="eastAsia" w:ascii="Times New Roman" w:hAnsi="Times New Roman" w:eastAsia="宋体"/>
                <w:color w:val="auto"/>
                <w:sz w:val="24"/>
                <w:szCs w:val="24"/>
                <w:vertAlign w:val="baseline"/>
                <w:lang w:val="en-US" w:eastAsia="zh-CN"/>
              </w:rPr>
              <w:t>最大占标率为</w:t>
            </w:r>
            <w:r>
              <w:rPr>
                <w:rFonts w:hint="eastAsia"/>
                <w:color w:val="auto"/>
                <w:sz w:val="24"/>
                <w:szCs w:val="24"/>
                <w:vertAlign w:val="baseline"/>
                <w:lang w:val="en-US" w:eastAsia="zh-CN"/>
              </w:rPr>
              <w:t>2.73</w:t>
            </w:r>
            <w:r>
              <w:rPr>
                <w:rFonts w:hint="eastAsia" w:ascii="Times New Roman" w:hAnsi="Times New Roman" w:eastAsia="宋体"/>
                <w:color w:val="auto"/>
                <w:sz w:val="24"/>
                <w:szCs w:val="24"/>
                <w:vertAlign w:val="baseline"/>
                <w:lang w:val="en-US" w:eastAsia="zh-CN"/>
              </w:rPr>
              <w:t>%，</w:t>
            </w:r>
            <w:r>
              <w:rPr>
                <w:rFonts w:hint="eastAsia" w:ascii="Times New Roman" w:hAnsi="Times New Roman" w:cs="Times New Roman"/>
                <w:color w:val="auto"/>
                <w:sz w:val="24"/>
                <w:highlight w:val="none"/>
                <w:lang w:val="en-US" w:eastAsia="zh-CN"/>
              </w:rPr>
              <w:t>Pmax</w:t>
            </w:r>
            <w:r>
              <w:rPr>
                <w:rFonts w:hint="default" w:ascii="Times New Roman" w:hAnsi="Times New Roman" w:cs="Times New Roman"/>
                <w:color w:val="auto"/>
                <w:sz w:val="24"/>
                <w:highlight w:val="none"/>
                <w:lang w:val="en-US" w:eastAsia="zh-CN"/>
              </w:rPr>
              <w:t>&lt;</w:t>
            </w:r>
            <w:r>
              <w:rPr>
                <w:rFonts w:hint="eastAsia" w:ascii="Times New Roman" w:hAnsi="Times New Roman" w:eastAsia="宋体"/>
                <w:color w:val="auto"/>
                <w:sz w:val="24"/>
                <w:szCs w:val="24"/>
                <w:vertAlign w:val="baseline"/>
                <w:lang w:val="en-US" w:eastAsia="zh-CN"/>
              </w:rPr>
              <w:t>1</w:t>
            </w:r>
            <w:r>
              <w:rPr>
                <w:rFonts w:hint="eastAsia"/>
                <w:color w:val="auto"/>
                <w:sz w:val="24"/>
                <w:szCs w:val="24"/>
                <w:vertAlign w:val="baseline"/>
                <w:lang w:val="en-US" w:eastAsia="zh-CN"/>
              </w:rPr>
              <w:t>0</w:t>
            </w:r>
            <w:r>
              <w:rPr>
                <w:rFonts w:hint="eastAsia" w:ascii="Times New Roman" w:hAnsi="Times New Roman" w:eastAsia="宋体"/>
                <w:color w:val="auto"/>
                <w:sz w:val="24"/>
                <w:szCs w:val="24"/>
                <w:vertAlign w:val="baseline"/>
                <w:lang w:val="en-US" w:eastAsia="zh-CN"/>
              </w:rPr>
              <w:t>%</w:t>
            </w:r>
            <w:r>
              <w:rPr>
                <w:rFonts w:hint="eastAsia" w:ascii="Times New Roman" w:hAnsi="Times New Roman" w:cs="Times New Roman"/>
                <w:color w:val="auto"/>
                <w:sz w:val="24"/>
                <w:highlight w:val="none"/>
                <w:lang w:val="en-US" w:eastAsia="zh-CN"/>
              </w:rPr>
              <w:t>，大气</w:t>
            </w:r>
            <w:r>
              <w:rPr>
                <w:rFonts w:hint="eastAsia" w:ascii="Times New Roman" w:hAnsi="Times New Roman" w:eastAsia="宋体"/>
                <w:color w:val="auto"/>
                <w:sz w:val="24"/>
                <w:szCs w:val="24"/>
                <w:vertAlign w:val="baseline"/>
                <w:lang w:val="en-US" w:eastAsia="zh-CN"/>
              </w:rPr>
              <w:t>评价等级为</w:t>
            </w:r>
            <w:r>
              <w:rPr>
                <w:rFonts w:hint="eastAsia"/>
                <w:color w:val="auto"/>
                <w:sz w:val="24"/>
                <w:szCs w:val="24"/>
                <w:vertAlign w:val="baseline"/>
                <w:lang w:val="en-US" w:eastAsia="zh-CN"/>
              </w:rPr>
              <w:t>二</w:t>
            </w:r>
            <w:r>
              <w:rPr>
                <w:rFonts w:hint="eastAsia" w:ascii="Times New Roman" w:hAnsi="Times New Roman" w:eastAsia="宋体"/>
                <w:color w:val="auto"/>
                <w:sz w:val="24"/>
                <w:szCs w:val="24"/>
                <w:vertAlign w:val="baseline"/>
                <w:lang w:val="en-US" w:eastAsia="zh-CN"/>
              </w:rPr>
              <w:t>级。</w:t>
            </w:r>
            <w:r>
              <w:rPr>
                <w:rFonts w:hint="eastAsia" w:ascii="Times New Roman" w:hAnsi="Times New Roman" w:eastAsia="宋体"/>
                <w:b w:val="0"/>
                <w:bCs w:val="0"/>
                <w:color w:val="auto"/>
                <w:sz w:val="24"/>
                <w:szCs w:val="24"/>
                <w:vertAlign w:val="baseline"/>
                <w:lang w:val="en-US" w:eastAsia="zh-CN"/>
              </w:rPr>
              <w:t>因此，</w:t>
            </w:r>
            <w:r>
              <w:rPr>
                <w:rFonts w:hint="eastAsia" w:ascii="Times New Roman" w:hAnsi="Times New Roman" w:eastAsia="宋体"/>
                <w:b/>
                <w:bCs/>
                <w:color w:val="auto"/>
                <w:sz w:val="24"/>
                <w:szCs w:val="24"/>
                <w:vertAlign w:val="baseline"/>
                <w:lang w:val="en-US" w:eastAsia="zh-CN"/>
              </w:rPr>
              <w:t>本项目大气评价等级确定为</w:t>
            </w:r>
            <w:r>
              <w:rPr>
                <w:rFonts w:hint="eastAsia"/>
                <w:b/>
                <w:bCs/>
                <w:color w:val="auto"/>
                <w:sz w:val="24"/>
                <w:szCs w:val="24"/>
                <w:vertAlign w:val="baseline"/>
                <w:lang w:val="en-US" w:eastAsia="zh-CN"/>
              </w:rPr>
              <w:t>二</w:t>
            </w:r>
            <w:r>
              <w:rPr>
                <w:rFonts w:hint="eastAsia" w:ascii="Times New Roman" w:hAnsi="Times New Roman" w:eastAsia="宋体"/>
                <w:b/>
                <w:bCs/>
                <w:color w:val="auto"/>
                <w:sz w:val="24"/>
                <w:szCs w:val="24"/>
                <w:vertAlign w:val="baseline"/>
                <w:lang w:val="en-US" w:eastAsia="zh-CN"/>
              </w:rPr>
              <w:t>级，不需要进行进一步预测与评价</w:t>
            </w:r>
            <w:r>
              <w:rPr>
                <w:rFonts w:hint="eastAsia" w:ascii="Times New Roman" w:hAnsi="Times New Roman" w:eastAsia="宋体"/>
                <w:b w:val="0"/>
                <w:bCs w:val="0"/>
                <w:color w:val="auto"/>
                <w:sz w:val="24"/>
                <w:szCs w:val="24"/>
                <w:vertAlign w:val="baseline"/>
                <w:lang w:val="en-US" w:eastAsia="zh-CN"/>
              </w:rPr>
              <w:t>。</w:t>
            </w:r>
          </w:p>
          <w:p>
            <w:p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eastAsia" w:ascii="宋体" w:hAnsi="宋体" w:eastAsia="宋体" w:cs="宋体"/>
                <w:b w:val="0"/>
                <w:bCs w:val="0"/>
                <w:color w:val="auto"/>
                <w:kern w:val="0"/>
                <w:sz w:val="24"/>
                <w:highlight w:val="none"/>
                <w:lang w:val="en-US" w:eastAsia="zh-CN"/>
              </w:rPr>
              <w:t>④</w:t>
            </w:r>
            <w:r>
              <w:rPr>
                <w:rFonts w:hint="default" w:ascii="Times New Roman" w:hAnsi="Times New Roman" w:cs="Times New Roman"/>
                <w:b w:val="0"/>
                <w:bCs w:val="0"/>
                <w:color w:val="auto"/>
                <w:kern w:val="0"/>
                <w:sz w:val="24"/>
                <w:highlight w:val="none"/>
              </w:rPr>
              <w:t>排放量核算</w:t>
            </w:r>
          </w:p>
          <w:p>
            <w:p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rPr>
              <w:t>有组织排放量核算</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cs="Times New Roman"/>
                <w:b/>
                <w:bCs w:val="0"/>
                <w:color w:val="auto"/>
                <w:sz w:val="21"/>
                <w:szCs w:val="21"/>
                <w:highlight w:val="none"/>
                <w:lang w:val="en-GB" w:eastAsia="zh-CN"/>
              </w:rPr>
            </w:pPr>
            <w:r>
              <w:rPr>
                <w:rFonts w:hint="default" w:ascii="Times New Roman" w:hAnsi="Times New Roman" w:eastAsia="宋体" w:cs="Times New Roman"/>
                <w:b/>
                <w:bCs w:val="0"/>
                <w:color w:val="auto"/>
                <w:sz w:val="21"/>
                <w:szCs w:val="21"/>
                <w:highlight w:val="none"/>
                <w:lang w:val="en-US" w:eastAsia="zh-CN"/>
              </w:rPr>
              <w:t>表7-</w:t>
            </w:r>
            <w:r>
              <w:rPr>
                <w:rFonts w:hint="eastAsia" w:cs="Times New Roman"/>
                <w:b/>
                <w:bCs w:val="0"/>
                <w:color w:val="auto"/>
                <w:sz w:val="21"/>
                <w:szCs w:val="21"/>
                <w:highlight w:val="none"/>
                <w:lang w:val="en-US" w:eastAsia="zh-CN"/>
              </w:rPr>
              <w:t>5</w:t>
            </w:r>
            <w:r>
              <w:rPr>
                <w:rFonts w:hint="default" w:ascii="Times New Roman" w:hAnsi="Times New Roman" w:eastAsia="宋体" w:cs="Times New Roman"/>
                <w:b/>
                <w:bCs w:val="0"/>
                <w:color w:val="auto"/>
                <w:sz w:val="21"/>
                <w:szCs w:val="21"/>
                <w:highlight w:val="none"/>
                <w:lang w:val="en-US" w:eastAsia="zh-CN"/>
              </w:rPr>
              <w:t xml:space="preserve">  厂区大气污染物有组织排放量核算表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35"/>
              <w:gridCol w:w="1283"/>
              <w:gridCol w:w="1412"/>
              <w:gridCol w:w="1902"/>
              <w:gridCol w:w="2061"/>
              <w:gridCol w:w="206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1283"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排放口</w:t>
                  </w:r>
                </w:p>
                <w:p>
                  <w:pPr>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编号</w:t>
                  </w:r>
                </w:p>
              </w:tc>
              <w:tc>
                <w:tcPr>
                  <w:tcW w:w="1412"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污染物</w:t>
                  </w:r>
                </w:p>
              </w:tc>
              <w:tc>
                <w:tcPr>
                  <w:tcW w:w="1902"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核算排放浓度/（μg/m</w:t>
                  </w:r>
                  <w:r>
                    <w:rPr>
                      <w:rFonts w:hint="default" w:ascii="Times New Roman" w:hAnsi="Times New Roman" w:cs="Times New Roman"/>
                      <w:b/>
                      <w:bCs/>
                      <w:color w:val="auto"/>
                      <w:kern w:val="0"/>
                      <w:sz w:val="21"/>
                      <w:szCs w:val="21"/>
                      <w:highlight w:val="none"/>
                      <w:vertAlign w:val="superscript"/>
                    </w:rPr>
                    <w:t>3</w:t>
                  </w:r>
                  <w:r>
                    <w:rPr>
                      <w:rFonts w:hint="default" w:ascii="Times New Roman" w:hAnsi="Times New Roman" w:cs="Times New Roman"/>
                      <w:b/>
                      <w:bCs/>
                      <w:color w:val="auto"/>
                      <w:kern w:val="0"/>
                      <w:sz w:val="21"/>
                      <w:szCs w:val="21"/>
                      <w:highlight w:val="none"/>
                    </w:rPr>
                    <w:t>）</w:t>
                  </w:r>
                </w:p>
              </w:tc>
              <w:tc>
                <w:tcPr>
                  <w:tcW w:w="2061"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核算排放速率/（kg/h）</w:t>
                  </w:r>
                </w:p>
              </w:tc>
              <w:tc>
                <w:tcPr>
                  <w:tcW w:w="2061"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核算年排放量/</w:t>
                  </w:r>
                </w:p>
                <w:p>
                  <w:pPr>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dxa"/>
                  <w:tcBorders>
                    <w:tl2br w:val="nil"/>
                    <w:tr2bl w:val="nil"/>
                  </w:tcBorders>
                  <w:noWrap w:val="0"/>
                  <w:vAlign w:val="center"/>
                </w:tcPr>
                <w:p>
                  <w:pPr>
                    <w:adjustRightInd w:val="0"/>
                    <w:snapToGrid w:val="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1</w:t>
                  </w:r>
                </w:p>
              </w:tc>
              <w:tc>
                <w:tcPr>
                  <w:tcW w:w="1283"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P1</w:t>
                  </w:r>
                </w:p>
              </w:tc>
              <w:tc>
                <w:tcPr>
                  <w:tcW w:w="1412"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sz w:val="21"/>
                      <w:szCs w:val="21"/>
                      <w:highlight w:val="none"/>
                      <w:lang w:val="en-US"/>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p>
              </w:tc>
              <w:tc>
                <w:tcPr>
                  <w:tcW w:w="19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0"/>
                      <w:sz w:val="21"/>
                      <w:szCs w:val="21"/>
                      <w:highlight w:val="none"/>
                      <w:lang w:val="en-US"/>
                    </w:rPr>
                  </w:pPr>
                  <w:r>
                    <w:rPr>
                      <w:rFonts w:hint="eastAsia"/>
                      <w:color w:val="auto"/>
                      <w:lang w:val="en-US" w:eastAsia="zh-CN"/>
                    </w:rPr>
                    <w:t>4400</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0.0704</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0"/>
                      <w:sz w:val="21"/>
                      <w:szCs w:val="21"/>
                      <w:highlight w:val="none"/>
                      <w:lang w:val="en-US"/>
                    </w:rPr>
                  </w:pPr>
                  <w:r>
                    <w:rPr>
                      <w:rFonts w:hint="eastAsia"/>
                      <w:color w:val="auto"/>
                      <w:lang w:val="en-US" w:eastAsia="zh-CN"/>
                    </w:rPr>
                    <w:t>0.61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2</w:t>
                  </w:r>
                </w:p>
              </w:tc>
              <w:tc>
                <w:tcPr>
                  <w:tcW w:w="1283"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P1</w:t>
                  </w:r>
                </w:p>
              </w:tc>
              <w:tc>
                <w:tcPr>
                  <w:tcW w:w="1412"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X</w:t>
                  </w:r>
                </w:p>
              </w:tc>
              <w:tc>
                <w:tcPr>
                  <w:tcW w:w="19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olor w:val="auto"/>
                      <w:lang w:val="en-US" w:eastAsia="zh-CN"/>
                    </w:rPr>
                  </w:pPr>
                  <w:r>
                    <w:rPr>
                      <w:rFonts w:hint="eastAsia"/>
                      <w:color w:val="auto"/>
                      <w:lang w:val="en-US" w:eastAsia="zh-CN"/>
                    </w:rPr>
                    <w:t>16700</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olor w:val="auto"/>
                      <w:lang w:val="en-US" w:eastAsia="zh-CN"/>
                    </w:rPr>
                  </w:pPr>
                  <w:r>
                    <w:rPr>
                      <w:rFonts w:hint="eastAsia"/>
                      <w:color w:val="auto"/>
                      <w:lang w:val="en-US" w:eastAsia="zh-CN"/>
                    </w:rPr>
                    <w:t>0.24</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olor w:val="auto"/>
                      <w:lang w:val="en-US" w:eastAsia="zh-CN"/>
                    </w:rPr>
                  </w:pPr>
                  <w:r>
                    <w:rPr>
                      <w:rFonts w:hint="eastAsia"/>
                      <w:color w:val="auto"/>
                      <w:lang w:val="en-US" w:eastAsia="zh-CN"/>
                    </w:rPr>
                    <w:t>2.07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3</w:t>
                  </w:r>
                </w:p>
              </w:tc>
              <w:tc>
                <w:tcPr>
                  <w:tcW w:w="1283"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P1</w:t>
                  </w:r>
                </w:p>
              </w:tc>
              <w:tc>
                <w:tcPr>
                  <w:tcW w:w="1412"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c>
                <w:tcPr>
                  <w:tcW w:w="19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olor w:val="auto"/>
                      <w:lang w:val="en-US" w:eastAsia="zh-CN"/>
                    </w:rPr>
                  </w:pPr>
                  <w:r>
                    <w:rPr>
                      <w:rFonts w:hint="eastAsia"/>
                      <w:color w:val="auto"/>
                      <w:lang w:val="en-US" w:eastAsia="zh-CN"/>
                    </w:rPr>
                    <w:t>3700</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olor w:val="auto"/>
                      <w:lang w:val="en-US" w:eastAsia="zh-CN"/>
                    </w:rPr>
                  </w:pPr>
                  <w:r>
                    <w:rPr>
                      <w:rFonts w:hint="eastAsia"/>
                      <w:color w:val="auto"/>
                      <w:lang w:val="en-US" w:eastAsia="zh-CN"/>
                    </w:rPr>
                    <w:t>0.053</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olor w:val="auto"/>
                      <w:lang w:val="en-US" w:eastAsia="zh-CN"/>
                    </w:rPr>
                  </w:pPr>
                  <w:r>
                    <w:rPr>
                      <w:rFonts w:hint="eastAsia"/>
                      <w:color w:val="auto"/>
                      <w:lang w:val="en-US" w:eastAsia="zh-CN"/>
                    </w:rPr>
                    <w:t>0.46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w:t>
                  </w:r>
                </w:p>
              </w:tc>
              <w:tc>
                <w:tcPr>
                  <w:tcW w:w="1283"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P1</w:t>
                  </w:r>
                </w:p>
              </w:tc>
              <w:tc>
                <w:tcPr>
                  <w:tcW w:w="1412" w:type="dxa"/>
                  <w:tcBorders>
                    <w:tl2br w:val="nil"/>
                    <w:tr2bl w:val="nil"/>
                  </w:tcBorders>
                  <w:noWrap w:val="0"/>
                  <w:vAlign w:val="center"/>
                </w:tcPr>
                <w:p>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1902" w:type="dxa"/>
                  <w:tcBorders>
                    <w:tl2br w:val="nil"/>
                    <w:tr2bl w:val="nil"/>
                  </w:tcBorders>
                  <w:noWrap w:val="0"/>
                  <w:vAlign w:val="center"/>
                </w:tcPr>
                <w:p>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1000</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0.015</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0.1152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2" w:hRule="atLeast"/>
                <w:jc w:val="center"/>
              </w:trPr>
              <w:tc>
                <w:tcPr>
                  <w:tcW w:w="1918" w:type="dxa"/>
                  <w:gridSpan w:val="2"/>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一般</w:t>
                  </w:r>
                  <w:r>
                    <w:rPr>
                      <w:rFonts w:hint="default" w:ascii="Times New Roman" w:hAnsi="Times New Roman" w:cs="Times New Roman"/>
                      <w:color w:val="auto"/>
                      <w:kern w:val="0"/>
                      <w:sz w:val="21"/>
                      <w:szCs w:val="21"/>
                      <w:highlight w:val="none"/>
                    </w:rPr>
                    <w:t>排放口合计</w:t>
                  </w:r>
                </w:p>
              </w:tc>
              <w:tc>
                <w:tcPr>
                  <w:tcW w:w="5375" w:type="dxa"/>
                  <w:gridSpan w:val="3"/>
                  <w:tcBorders>
                    <w:tl2br w:val="nil"/>
                    <w:tr2bl w:val="nil"/>
                  </w:tcBorders>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lang w:val="en-US" w:eastAsia="zh-CN"/>
                    </w:rPr>
                    <w:t>0.61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2" w:hRule="atLeast"/>
                <w:jc w:val="center"/>
              </w:trPr>
              <w:tc>
                <w:tcPr>
                  <w:tcW w:w="1918" w:type="dxa"/>
                  <w:gridSpan w:val="2"/>
                  <w:vMerge w:val="continue"/>
                  <w:tcBorders>
                    <w:tl2br w:val="nil"/>
                    <w:tr2bl w:val="nil"/>
                  </w:tcBorders>
                  <w:noWrap w:val="0"/>
                  <w:vAlign w:val="center"/>
                </w:tcPr>
                <w:p>
                  <w:pPr>
                    <w:adjustRightInd w:val="0"/>
                    <w:snapToGrid w:val="0"/>
                    <w:jc w:val="center"/>
                    <w:rPr>
                      <w:rFonts w:hint="eastAsia" w:ascii="Times New Roman" w:hAnsi="Times New Roman" w:cs="Times New Roman"/>
                      <w:color w:val="auto"/>
                      <w:kern w:val="0"/>
                      <w:sz w:val="21"/>
                      <w:szCs w:val="21"/>
                      <w:highlight w:val="none"/>
                      <w:lang w:val="en-US" w:eastAsia="zh-CN"/>
                    </w:rPr>
                  </w:pPr>
                </w:p>
              </w:tc>
              <w:tc>
                <w:tcPr>
                  <w:tcW w:w="5375" w:type="dxa"/>
                  <w:gridSpan w:val="3"/>
                  <w:tcBorders>
                    <w:tl2br w:val="nil"/>
                    <w:tr2bl w:val="nil"/>
                  </w:tcBorders>
                  <w:noWrap w:val="0"/>
                  <w:vAlign w:val="center"/>
                </w:tcPr>
                <w:p>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X</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lang w:val="en-US" w:eastAsia="zh-CN"/>
                    </w:rPr>
                    <w:t>2.07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2" w:hRule="atLeast"/>
                <w:jc w:val="center"/>
              </w:trPr>
              <w:tc>
                <w:tcPr>
                  <w:tcW w:w="1918" w:type="dxa"/>
                  <w:gridSpan w:val="2"/>
                  <w:vMerge w:val="continue"/>
                  <w:tcBorders>
                    <w:tl2br w:val="nil"/>
                    <w:tr2bl w:val="nil"/>
                  </w:tcBorders>
                  <w:noWrap w:val="0"/>
                  <w:vAlign w:val="center"/>
                </w:tcPr>
                <w:p>
                  <w:pPr>
                    <w:adjustRightInd w:val="0"/>
                    <w:snapToGrid w:val="0"/>
                    <w:jc w:val="center"/>
                    <w:rPr>
                      <w:rFonts w:hint="eastAsia" w:ascii="Times New Roman" w:hAnsi="Times New Roman" w:cs="Times New Roman"/>
                      <w:color w:val="auto"/>
                      <w:kern w:val="0"/>
                      <w:sz w:val="21"/>
                      <w:szCs w:val="21"/>
                      <w:highlight w:val="none"/>
                      <w:lang w:val="en-US" w:eastAsia="zh-CN"/>
                    </w:rPr>
                  </w:pPr>
                </w:p>
              </w:tc>
              <w:tc>
                <w:tcPr>
                  <w:tcW w:w="5375" w:type="dxa"/>
                  <w:gridSpan w:val="3"/>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lang w:val="en-US" w:eastAsia="zh-CN"/>
                    </w:rPr>
                    <w:t>0.46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2" w:hRule="atLeast"/>
                <w:jc w:val="center"/>
              </w:trPr>
              <w:tc>
                <w:tcPr>
                  <w:tcW w:w="1918" w:type="dxa"/>
                  <w:gridSpan w:val="2"/>
                  <w:vMerge w:val="continue"/>
                  <w:tcBorders>
                    <w:tl2br w:val="nil"/>
                    <w:tr2bl w:val="nil"/>
                  </w:tcBorders>
                  <w:noWrap w:val="0"/>
                  <w:vAlign w:val="center"/>
                </w:tcPr>
                <w:p>
                  <w:pPr>
                    <w:adjustRightInd w:val="0"/>
                    <w:snapToGrid w:val="0"/>
                    <w:jc w:val="center"/>
                    <w:rPr>
                      <w:rFonts w:hint="eastAsia" w:ascii="Times New Roman" w:hAnsi="Times New Roman" w:cs="Times New Roman"/>
                      <w:color w:val="auto"/>
                      <w:kern w:val="0"/>
                      <w:sz w:val="21"/>
                      <w:szCs w:val="21"/>
                      <w:highlight w:val="none"/>
                      <w:lang w:val="en-US" w:eastAsia="zh-CN"/>
                    </w:rPr>
                  </w:pPr>
                </w:p>
              </w:tc>
              <w:tc>
                <w:tcPr>
                  <w:tcW w:w="5375" w:type="dxa"/>
                  <w:gridSpan w:val="3"/>
                  <w:tcBorders>
                    <w:tl2br w:val="nil"/>
                    <w:tr2bl w:val="nil"/>
                  </w:tcBorders>
                  <w:noWrap w:val="0"/>
                  <w:vAlign w:val="center"/>
                </w:tcPr>
                <w:p>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2061" w:type="dxa"/>
                  <w:tcBorders>
                    <w:tl2br w:val="nil"/>
                    <w:tr2bl w:val="nil"/>
                  </w:tcBorders>
                  <w:noWrap w:val="0"/>
                  <w:vAlign w:val="center"/>
                </w:tcPr>
                <w:p>
                  <w:pPr>
                    <w:keepNext w:val="0"/>
                    <w:keepLines w:val="0"/>
                    <w:widowControl/>
                    <w:suppressLineNumbers w:val="0"/>
                    <w:jc w:val="center"/>
                    <w:textAlignment w:val="center"/>
                    <w:rPr>
                      <w:rFonts w:hint="eastAsia"/>
                      <w:color w:val="auto"/>
                      <w:lang w:val="en-US" w:eastAsia="zh-CN"/>
                    </w:rPr>
                  </w:pPr>
                  <w:r>
                    <w:rPr>
                      <w:rFonts w:hint="eastAsia"/>
                      <w:color w:val="auto"/>
                      <w:lang w:val="en-US" w:eastAsia="zh-CN"/>
                    </w:rPr>
                    <w:t>0.1152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9354" w:type="dxa"/>
                  <w:gridSpan w:val="6"/>
                  <w:tcBorders>
                    <w:tl2br w:val="nil"/>
                    <w:tr2bl w:val="nil"/>
                  </w:tcBorders>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有组织排放总计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1918" w:type="dxa"/>
                  <w:gridSpan w:val="2"/>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有组织排放总计</w:t>
                  </w:r>
                </w:p>
              </w:tc>
              <w:tc>
                <w:tcPr>
                  <w:tcW w:w="5375" w:type="dxa"/>
                  <w:gridSpan w:val="3"/>
                  <w:tcBorders>
                    <w:tl2br w:val="nil"/>
                    <w:tr2bl w:val="nil"/>
                  </w:tcBorders>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lang w:val="en-US" w:eastAsia="zh-CN"/>
                    </w:rPr>
                    <w:t>0.61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1918" w:type="dxa"/>
                  <w:gridSpan w:val="2"/>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kern w:val="0"/>
                      <w:sz w:val="21"/>
                      <w:szCs w:val="21"/>
                      <w:highlight w:val="none"/>
                    </w:rPr>
                  </w:pPr>
                </w:p>
              </w:tc>
              <w:tc>
                <w:tcPr>
                  <w:tcW w:w="5375" w:type="dxa"/>
                  <w:gridSpan w:val="3"/>
                  <w:tcBorders>
                    <w:tl2br w:val="nil"/>
                    <w:tr2bl w:val="nil"/>
                  </w:tcBorders>
                  <w:noWrap w:val="0"/>
                  <w:vAlign w:val="center"/>
                </w:tcPr>
                <w:p>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X</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lang w:val="en-US" w:eastAsia="zh-CN"/>
                    </w:rPr>
                    <w:t>2.07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1918" w:type="dxa"/>
                  <w:gridSpan w:val="2"/>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kern w:val="0"/>
                      <w:sz w:val="21"/>
                      <w:szCs w:val="21"/>
                      <w:highlight w:val="none"/>
                    </w:rPr>
                  </w:pPr>
                </w:p>
              </w:tc>
              <w:tc>
                <w:tcPr>
                  <w:tcW w:w="5375" w:type="dxa"/>
                  <w:gridSpan w:val="3"/>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c>
                <w:tcPr>
                  <w:tcW w:w="2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lang w:val="en-US" w:eastAsia="zh-CN"/>
                    </w:rPr>
                    <w:t>0.46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1918" w:type="dxa"/>
                  <w:gridSpan w:val="2"/>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kern w:val="0"/>
                      <w:sz w:val="21"/>
                      <w:szCs w:val="21"/>
                      <w:highlight w:val="none"/>
                    </w:rPr>
                  </w:pPr>
                </w:p>
              </w:tc>
              <w:tc>
                <w:tcPr>
                  <w:tcW w:w="5375" w:type="dxa"/>
                  <w:gridSpan w:val="3"/>
                  <w:tcBorders>
                    <w:tl2br w:val="nil"/>
                    <w:tr2bl w:val="nil"/>
                  </w:tcBorders>
                  <w:noWrap w:val="0"/>
                  <w:vAlign w:val="center"/>
                </w:tcPr>
                <w:p>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2061" w:type="dxa"/>
                  <w:tcBorders>
                    <w:tl2br w:val="nil"/>
                    <w:tr2bl w:val="nil"/>
                  </w:tcBorders>
                  <w:noWrap w:val="0"/>
                  <w:vAlign w:val="center"/>
                </w:tcPr>
                <w:p>
                  <w:pPr>
                    <w:keepNext w:val="0"/>
                    <w:keepLines w:val="0"/>
                    <w:widowControl/>
                    <w:suppressLineNumbers w:val="0"/>
                    <w:jc w:val="center"/>
                    <w:textAlignment w:val="center"/>
                    <w:rPr>
                      <w:rFonts w:hint="eastAsia"/>
                      <w:color w:val="auto"/>
                      <w:lang w:val="en-US" w:eastAsia="zh-CN"/>
                    </w:rPr>
                  </w:pPr>
                  <w:r>
                    <w:rPr>
                      <w:rFonts w:hint="eastAsia"/>
                      <w:color w:val="auto"/>
                      <w:lang w:val="en-US" w:eastAsia="zh-CN"/>
                    </w:rPr>
                    <w:t>0.1152</w:t>
                  </w:r>
                </w:p>
              </w:tc>
            </w:tr>
          </w:tbl>
          <w:p>
            <w:pPr>
              <w:widowControl/>
              <w:adjustRightInd/>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SA"/>
              </w:rPr>
              <w:t>表7-</w:t>
            </w:r>
            <w:r>
              <w:rPr>
                <w:rFonts w:hint="eastAsia" w:cs="Times New Roman"/>
                <w:b/>
                <w:bCs w:val="0"/>
                <w:color w:val="auto"/>
                <w:kern w:val="2"/>
                <w:sz w:val="21"/>
                <w:szCs w:val="21"/>
                <w:highlight w:val="none"/>
                <w:lang w:val="en-US" w:eastAsia="zh-CN" w:bidi="ar-SA"/>
              </w:rPr>
              <w:t>6</w:t>
            </w:r>
            <w:r>
              <w:rPr>
                <w:rFonts w:hint="default" w:ascii="Times New Roman" w:hAnsi="Times New Roman" w:eastAsia="宋体" w:cs="Times New Roman"/>
                <w:b/>
                <w:bCs w:val="0"/>
                <w:color w:val="auto"/>
                <w:kern w:val="2"/>
                <w:sz w:val="21"/>
                <w:szCs w:val="21"/>
                <w:highlight w:val="none"/>
                <w:lang w:val="en-US" w:eastAsia="zh-CN" w:bidi="ar-SA"/>
              </w:rPr>
              <w:t xml:space="preserve">  大气污染物无组织排放量核算表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43"/>
              <w:gridCol w:w="748"/>
              <w:gridCol w:w="1325"/>
              <w:gridCol w:w="2312"/>
              <w:gridCol w:w="1724"/>
              <w:gridCol w:w="1221"/>
              <w:gridCol w:w="128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539" w:hRule="atLeast"/>
                <w:jc w:val="center"/>
              </w:trPr>
              <w:tc>
                <w:tcPr>
                  <w:tcW w:w="74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序号</w:t>
                  </w:r>
                </w:p>
              </w:tc>
              <w:tc>
                <w:tcPr>
                  <w:tcW w:w="74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产污环节</w:t>
                  </w:r>
                </w:p>
              </w:tc>
              <w:tc>
                <w:tcPr>
                  <w:tcW w:w="132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污染物</w:t>
                  </w:r>
                </w:p>
              </w:tc>
              <w:tc>
                <w:tcPr>
                  <w:tcW w:w="2312"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主要污染防治措施</w:t>
                  </w:r>
                </w:p>
              </w:tc>
              <w:tc>
                <w:tcPr>
                  <w:tcW w:w="2945"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国家或地方污染物排放标准</w:t>
                  </w:r>
                </w:p>
              </w:tc>
              <w:tc>
                <w:tcPr>
                  <w:tcW w:w="1281"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74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ascii="Times New Roman" w:hAnsi="Times New Roman" w:eastAsia="宋体"/>
                      <w:color w:val="auto"/>
                      <w:highlight w:val="none"/>
                    </w:rPr>
                  </w:pPr>
                </w:p>
              </w:tc>
              <w:tc>
                <w:tcPr>
                  <w:tcW w:w="74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ascii="Times New Roman" w:hAnsi="Times New Roman" w:eastAsia="宋体"/>
                      <w:color w:val="auto"/>
                      <w:highlight w:val="none"/>
                    </w:rPr>
                  </w:pPr>
                </w:p>
              </w:tc>
              <w:tc>
                <w:tcPr>
                  <w:tcW w:w="132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ascii="Times New Roman" w:hAnsi="Times New Roman" w:eastAsia="宋体"/>
                      <w:color w:val="auto"/>
                      <w:highlight w:val="none"/>
                    </w:rPr>
                  </w:pPr>
                </w:p>
              </w:tc>
              <w:tc>
                <w:tcPr>
                  <w:tcW w:w="231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ascii="Times New Roman" w:hAnsi="Times New Roman" w:eastAsia="宋体"/>
                      <w:color w:val="auto"/>
                      <w:highlight w:val="none"/>
                    </w:rPr>
                  </w:pPr>
                </w:p>
              </w:tc>
              <w:tc>
                <w:tcPr>
                  <w:tcW w:w="17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标准名称</w:t>
                  </w:r>
                </w:p>
              </w:tc>
              <w:tc>
                <w:tcPr>
                  <w:tcW w:w="122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浓度限值/（</w:t>
                  </w:r>
                  <w:r>
                    <w:rPr>
                      <w:rFonts w:hint="eastAsia" w:ascii="Times New Roman" w:hAnsi="Times New Roman" w:eastAsia="宋体" w:cs="Times New Roman"/>
                      <w:b/>
                      <w:bCs w:val="0"/>
                      <w:color w:val="auto"/>
                      <w:kern w:val="10"/>
                      <w:sz w:val="21"/>
                      <w:szCs w:val="21"/>
                      <w:highlight w:val="none"/>
                      <w:lang w:val="en-US" w:eastAsia="zh-CN" w:bidi="ar-SA"/>
                    </w:rPr>
                    <w:t>µg/m</w:t>
                  </w:r>
                  <w:r>
                    <w:rPr>
                      <w:rFonts w:hint="eastAsia" w:ascii="Times New Roman" w:hAnsi="Times New Roman" w:eastAsia="宋体" w:cs="Times New Roman"/>
                      <w:b/>
                      <w:bCs w:val="0"/>
                      <w:color w:val="auto"/>
                      <w:kern w:val="10"/>
                      <w:sz w:val="21"/>
                      <w:szCs w:val="21"/>
                      <w:highlight w:val="none"/>
                      <w:vertAlign w:val="superscript"/>
                      <w:lang w:val="en-US" w:eastAsia="zh-CN" w:bidi="ar-SA"/>
                    </w:rPr>
                    <w:t>3</w:t>
                  </w:r>
                  <w:r>
                    <w:rPr>
                      <w:rFonts w:hint="eastAsia" w:ascii="Times New Roman" w:hAnsi="Times New Roman" w:eastAsia="宋体" w:cs="Times New Roman"/>
                      <w:b/>
                      <w:bCs w:val="0"/>
                      <w:color w:val="auto"/>
                      <w:sz w:val="21"/>
                      <w:szCs w:val="21"/>
                      <w:highlight w:val="none"/>
                      <w:vertAlign w:val="baseline"/>
                      <w:lang w:val="en-US" w:eastAsia="zh-CN"/>
                    </w:rPr>
                    <w:t>）</w:t>
                  </w:r>
                </w:p>
              </w:tc>
              <w:tc>
                <w:tcPr>
                  <w:tcW w:w="128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7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74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val="0"/>
                      <w:color w:val="auto"/>
                      <w:kern w:val="10"/>
                      <w:sz w:val="21"/>
                      <w:szCs w:val="21"/>
                      <w:highlight w:val="none"/>
                      <w:lang w:val="en-US" w:eastAsia="zh-CN" w:bidi="ar-SA"/>
                    </w:rPr>
                    <w:t>焊接</w:t>
                  </w:r>
                </w:p>
              </w:tc>
              <w:tc>
                <w:tcPr>
                  <w:tcW w:w="1325" w:type="dxa"/>
                  <w:tcBorders>
                    <w:tl2br w:val="nil"/>
                    <w:tr2bl w:val="nil"/>
                  </w:tcBorders>
                  <w:noWrap w:val="0"/>
                  <w:vAlign w:val="center"/>
                </w:tcPr>
                <w:p>
                  <w:pPr>
                    <w:adjustRightInd w:val="0"/>
                    <w:snapToGrid w:val="0"/>
                    <w:jc w:val="center"/>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ascii="Times New Roman" w:hAnsi="Times New Roman" w:eastAsia="宋体" w:cs="Times New Roman"/>
                      <w:b w:val="0"/>
                      <w:bCs w:val="0"/>
                      <w:color w:val="auto"/>
                      <w:kern w:val="10"/>
                      <w:sz w:val="21"/>
                      <w:szCs w:val="21"/>
                      <w:highlight w:val="none"/>
                      <w:lang w:val="en-US" w:eastAsia="zh-CN" w:bidi="ar-SA"/>
                    </w:rPr>
                    <w:t>颗粒物</w:t>
                  </w:r>
                </w:p>
              </w:tc>
              <w:tc>
                <w:tcPr>
                  <w:tcW w:w="231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移动式烟尘净化器</w:t>
                  </w:r>
                </w:p>
              </w:tc>
              <w:tc>
                <w:tcPr>
                  <w:tcW w:w="17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color w:val="auto"/>
                      <w:sz w:val="21"/>
                      <w:szCs w:val="21"/>
                      <w:lang w:val="en-US" w:eastAsia="zh-CN"/>
                    </w:rPr>
                    <w:t>DB</w:t>
                  </w:r>
                  <w:r>
                    <w:rPr>
                      <w:rFonts w:hint="eastAsia" w:cs="Times New Roman"/>
                      <w:color w:val="auto"/>
                      <w:sz w:val="21"/>
                      <w:szCs w:val="21"/>
                      <w:lang w:val="en-US" w:eastAsia="zh-CN"/>
                    </w:rPr>
                    <w:t>37/990</w:t>
                  </w:r>
                  <w:r>
                    <w:rPr>
                      <w:rFonts w:hint="eastAsia" w:ascii="Times New Roman" w:hAnsi="Times New Roman" w:cs="Times New Roman"/>
                      <w:color w:val="auto"/>
                      <w:sz w:val="21"/>
                      <w:szCs w:val="21"/>
                      <w:lang w:val="en-US" w:eastAsia="zh-CN"/>
                    </w:rPr>
                    <w:t>-2019</w:t>
                  </w:r>
                </w:p>
              </w:tc>
              <w:tc>
                <w:tcPr>
                  <w:tcW w:w="122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1000</w:t>
                  </w:r>
                </w:p>
              </w:tc>
              <w:tc>
                <w:tcPr>
                  <w:tcW w:w="128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0.0042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9354" w:type="dxa"/>
                  <w:gridSpan w:val="7"/>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ascii="Times New Roman" w:hAnsi="Times New Roman" w:eastAsia="宋体" w:cs="Times New Roman"/>
                      <w:b w:val="0"/>
                      <w:bCs w:val="0"/>
                      <w:color w:val="auto"/>
                      <w:kern w:val="10"/>
                      <w:sz w:val="21"/>
                      <w:szCs w:val="21"/>
                      <w:highlight w:val="none"/>
                      <w:lang w:val="en-US" w:eastAsia="zh-CN" w:bidi="ar-SA"/>
                    </w:rPr>
                    <w:t>无组织排放总计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2816" w:type="dxa"/>
                  <w:gridSpan w:val="3"/>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ascii="Times New Roman" w:hAnsi="Times New Roman" w:eastAsia="宋体" w:cs="Times New Roman"/>
                      <w:b w:val="0"/>
                      <w:bCs w:val="0"/>
                      <w:color w:val="auto"/>
                      <w:kern w:val="10"/>
                      <w:sz w:val="21"/>
                      <w:szCs w:val="21"/>
                      <w:highlight w:val="none"/>
                      <w:lang w:val="en-US" w:eastAsia="zh-CN" w:bidi="ar-SA"/>
                    </w:rPr>
                    <w:t>无组织排放总计</w:t>
                  </w:r>
                </w:p>
              </w:tc>
              <w:tc>
                <w:tcPr>
                  <w:tcW w:w="4036" w:type="dxa"/>
                  <w:gridSpan w:val="2"/>
                  <w:tcBorders>
                    <w:tl2br w:val="nil"/>
                    <w:tr2bl w:val="nil"/>
                  </w:tcBorders>
                  <w:noWrap w:val="0"/>
                  <w:vAlign w:val="center"/>
                </w:tcPr>
                <w:p>
                  <w:pPr>
                    <w:adjustRightInd w:val="0"/>
                    <w:snapToGrid w:val="0"/>
                    <w:jc w:val="center"/>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ascii="Times New Roman" w:hAnsi="Times New Roman" w:eastAsia="宋体" w:cs="Times New Roman"/>
                      <w:b w:val="0"/>
                      <w:bCs w:val="0"/>
                      <w:color w:val="auto"/>
                      <w:kern w:val="10"/>
                      <w:sz w:val="21"/>
                      <w:szCs w:val="21"/>
                      <w:highlight w:val="none"/>
                      <w:lang w:val="en-US" w:eastAsia="zh-CN" w:bidi="ar-SA"/>
                    </w:rPr>
                    <w:t>颗粒物</w:t>
                  </w:r>
                </w:p>
              </w:tc>
              <w:tc>
                <w:tcPr>
                  <w:tcW w:w="2502"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eastAsia" w:ascii="Times New Roman" w:hAnsi="Times New Roman" w:eastAsia="宋体" w:cs="Times New Roman"/>
                      <w:b w:val="0"/>
                      <w:bCs w:val="0"/>
                      <w:color w:val="auto"/>
                      <w:kern w:val="10"/>
                      <w:sz w:val="21"/>
                      <w:szCs w:val="21"/>
                      <w:highlight w:val="none"/>
                      <w:lang w:val="en-US" w:eastAsia="zh-CN" w:bidi="ar-SA"/>
                    </w:rPr>
                  </w:pPr>
                  <w:r>
                    <w:rPr>
                      <w:rFonts w:hint="eastAsia" w:cs="Times New Roman"/>
                      <w:b w:val="0"/>
                      <w:bCs/>
                      <w:color w:val="auto"/>
                      <w:sz w:val="21"/>
                      <w:szCs w:val="21"/>
                      <w:highlight w:val="none"/>
                      <w:vertAlign w:val="baseline"/>
                      <w:lang w:val="en-US" w:eastAsia="zh-CN"/>
                    </w:rPr>
                    <w:t>0.0042</w:t>
                  </w:r>
                  <w:r>
                    <w:rPr>
                      <w:rFonts w:hint="eastAsia" w:ascii="Times New Roman" w:hAnsi="Times New Roman" w:eastAsia="宋体" w:cs="Times New Roman"/>
                      <w:b w:val="0"/>
                      <w:bCs/>
                      <w:color w:val="auto"/>
                      <w:sz w:val="21"/>
                      <w:szCs w:val="21"/>
                      <w:highlight w:val="none"/>
                      <w:vertAlign w:val="baseline"/>
                      <w:lang w:val="en-US" w:eastAsia="zh-CN"/>
                    </w:rPr>
                    <w:t>t/a</w:t>
                  </w:r>
                </w:p>
              </w:tc>
            </w:tr>
          </w:tbl>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大气污染物年排放量核算见下表。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表7-</w:t>
            </w:r>
            <w:r>
              <w:rPr>
                <w:rFonts w:hint="eastAsia" w:cs="Times New Roman"/>
                <w:b/>
                <w:bCs w:val="0"/>
                <w:color w:val="auto"/>
                <w:sz w:val="21"/>
                <w:szCs w:val="21"/>
                <w:highlight w:val="none"/>
                <w:lang w:val="en-US" w:eastAsia="zh-CN"/>
              </w:rPr>
              <w:t>7</w:t>
            </w:r>
            <w:r>
              <w:rPr>
                <w:rFonts w:hint="default" w:ascii="Times New Roman" w:hAnsi="Times New Roman" w:eastAsia="宋体" w:cs="Times New Roman"/>
                <w:b/>
                <w:bCs w:val="0"/>
                <w:color w:val="auto"/>
                <w:sz w:val="21"/>
                <w:szCs w:val="21"/>
                <w:highlight w:val="none"/>
                <w:lang w:val="en-US" w:eastAsia="zh-CN"/>
              </w:rPr>
              <w:t xml:space="preserve">  大气污染物年排放量核算表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116"/>
              <w:gridCol w:w="3119"/>
              <w:gridCol w:w="311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6" w:hRule="atLeast"/>
                <w:jc w:val="center"/>
              </w:trPr>
              <w:tc>
                <w:tcPr>
                  <w:tcW w:w="3116" w:type="dxa"/>
                  <w:tcBorders>
                    <w:tl2br w:val="nil"/>
                    <w:tr2bl w:val="nil"/>
                  </w:tcBorders>
                  <w:noWrap w:val="0"/>
                  <w:vAlign w:val="top"/>
                </w:tcPr>
                <w:p>
                  <w:pPr>
                    <w:adjustRightInd w:val="0"/>
                    <w:snapToGrid w:val="0"/>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3119" w:type="dxa"/>
                  <w:tcBorders>
                    <w:tl2br w:val="nil"/>
                    <w:tr2bl w:val="nil"/>
                  </w:tcBorders>
                  <w:noWrap w:val="0"/>
                  <w:vAlign w:val="top"/>
                </w:tcPr>
                <w:p>
                  <w:pPr>
                    <w:adjustRightInd w:val="0"/>
                    <w:snapToGrid w:val="0"/>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3119" w:type="dxa"/>
                  <w:tcBorders>
                    <w:tl2br w:val="nil"/>
                    <w:tr2bl w:val="nil"/>
                  </w:tcBorders>
                  <w:noWrap w:val="0"/>
                  <w:vAlign w:val="top"/>
                </w:tcPr>
                <w:p>
                  <w:pPr>
                    <w:adjustRightInd w:val="0"/>
                    <w:snapToGrid w:val="0"/>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年排放量/（t/a）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3116" w:type="dxa"/>
                  <w:tcBorders>
                    <w:tl2br w:val="nil"/>
                    <w:tr2bl w:val="nil"/>
                  </w:tcBorders>
                  <w:noWrap w:val="0"/>
                  <w:vAlign w:val="top"/>
                </w:tcPr>
                <w:p>
                  <w:pPr>
                    <w:adjustRightInd w:val="0"/>
                    <w:snapToGrid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119"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p>
              </w:tc>
              <w:tc>
                <w:tcPr>
                  <w:tcW w:w="31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olor w:val="auto"/>
                      <w:lang w:val="en-US" w:eastAsia="zh-CN"/>
                    </w:rPr>
                    <w:t>0.61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3116" w:type="dxa"/>
                  <w:tcBorders>
                    <w:tl2br w:val="nil"/>
                    <w:tr2bl w:val="nil"/>
                  </w:tcBorders>
                  <w:noWrap w:val="0"/>
                  <w:vAlign w:val="top"/>
                </w:tcPr>
                <w:p>
                  <w:pPr>
                    <w:adjustRightInd w:val="0"/>
                    <w:snapToGrid w:val="0"/>
                    <w:spacing w:line="36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3119" w:type="dxa"/>
                  <w:tcBorders>
                    <w:tl2br w:val="nil"/>
                    <w:tr2bl w:val="nil"/>
                  </w:tcBorders>
                  <w:noWrap w:val="0"/>
                  <w:vAlign w:val="center"/>
                </w:tcPr>
                <w:p>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X</w:t>
                  </w:r>
                </w:p>
              </w:tc>
              <w:tc>
                <w:tcPr>
                  <w:tcW w:w="31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eastAsia"/>
                      <w:color w:val="auto"/>
                      <w:lang w:val="en-US" w:eastAsia="zh-CN"/>
                    </w:rPr>
                    <w:t>2.07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3116" w:type="dxa"/>
                  <w:tcBorders>
                    <w:tl2br w:val="nil"/>
                    <w:tr2bl w:val="nil"/>
                  </w:tcBorders>
                  <w:noWrap w:val="0"/>
                  <w:vAlign w:val="top"/>
                </w:tcPr>
                <w:p>
                  <w:pPr>
                    <w:adjustRightInd w:val="0"/>
                    <w:snapToGrid w:val="0"/>
                    <w:spacing w:line="36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p>
              </w:tc>
              <w:tc>
                <w:tcPr>
                  <w:tcW w:w="3119"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c>
                <w:tcPr>
                  <w:tcW w:w="31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eastAsia"/>
                      <w:color w:val="auto"/>
                      <w:lang w:val="en-US" w:eastAsia="zh-CN"/>
                    </w:rPr>
                    <w:t>0.4642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3116" w:type="dxa"/>
                  <w:tcBorders>
                    <w:tl2br w:val="nil"/>
                    <w:tr2bl w:val="nil"/>
                  </w:tcBorders>
                  <w:noWrap w:val="0"/>
                  <w:vAlign w:val="top"/>
                </w:tcPr>
                <w:p>
                  <w:pPr>
                    <w:adjustRightInd w:val="0"/>
                    <w:snapToGrid w:val="0"/>
                    <w:spacing w:line="360" w:lineRule="auto"/>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w:t>
                  </w:r>
                </w:p>
              </w:tc>
              <w:tc>
                <w:tcPr>
                  <w:tcW w:w="3119" w:type="dxa"/>
                  <w:tcBorders>
                    <w:tl2br w:val="nil"/>
                    <w:tr2bl w:val="nil"/>
                  </w:tcBorders>
                  <w:noWrap w:val="0"/>
                  <w:vAlign w:val="center"/>
                </w:tcPr>
                <w:p>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31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cs="Times New Roman"/>
                      <w:color w:val="auto"/>
                      <w:szCs w:val="21"/>
                      <w:highlight w:val="none"/>
                      <w:lang w:val="en-US" w:eastAsia="zh-CN"/>
                    </w:rPr>
                  </w:pPr>
                  <w:r>
                    <w:rPr>
                      <w:rFonts w:hint="eastAsia"/>
                      <w:color w:val="auto"/>
                      <w:lang w:val="en-US" w:eastAsia="zh-CN"/>
                    </w:rPr>
                    <w:t>0.1152</w:t>
                  </w:r>
                </w:p>
              </w:tc>
            </w:tr>
          </w:tbl>
          <w:p>
            <w:pPr>
              <w:pStyle w:val="62"/>
              <w:keepNext w:val="0"/>
              <w:keepLines/>
              <w:pageBreakBefore w:val="0"/>
              <w:widowControl/>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2</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水环境影响分析</w:t>
            </w:r>
          </w:p>
          <w:p>
            <w:pPr>
              <w:pStyle w:val="46"/>
              <w:keepNext w:val="0"/>
              <w:keepLines w:val="0"/>
              <w:pageBreakBefore w:val="0"/>
              <w:widowControl w:val="0"/>
              <w:kinsoku/>
              <w:wordWrap/>
              <w:overflowPunct/>
              <w:topLinePunct w:val="0"/>
              <w:autoSpaceDE/>
              <w:autoSpaceDN/>
              <w:bidi w:val="0"/>
              <w:snapToGrid/>
              <w:spacing w:beforeLines="0" w:afterLines="0" w:line="360" w:lineRule="auto"/>
              <w:ind w:left="0" w:leftChars="0" w:right="0" w:rightChars="0" w:firstLine="482" w:firstLineChars="200"/>
              <w:jc w:val="both"/>
              <w:outlineLvl w:val="9"/>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2.1地表水环境影响分析</w:t>
            </w:r>
          </w:p>
          <w:p>
            <w:pPr>
              <w:pStyle w:val="46"/>
              <w:keepNext w:val="0"/>
              <w:keepLines w:val="0"/>
              <w:pageBreakBefore w:val="0"/>
              <w:widowControl w:val="0"/>
              <w:kinsoku/>
              <w:wordWrap/>
              <w:overflowPunct/>
              <w:topLinePunct w:val="0"/>
              <w:autoSpaceDE/>
              <w:autoSpaceDN/>
              <w:bidi w:val="0"/>
              <w:snapToGrid/>
              <w:spacing w:beforeLines="0" w:afterLines="0" w:line="360" w:lineRule="auto"/>
              <w:ind w:left="0" w:leftChars="0" w:right="0" w:rightChars="0" w:firstLine="480" w:firstLineChars="200"/>
              <w:jc w:val="both"/>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olor w:val="auto"/>
                <w:lang w:eastAsia="zh-CN"/>
              </w:rPr>
              <w:t>项目</w:t>
            </w:r>
            <w:r>
              <w:rPr>
                <w:rFonts w:hint="eastAsia" w:ascii="Times New Roman" w:hAnsi="Times New Roman" w:eastAsia="宋体"/>
                <w:color w:val="auto"/>
                <w:lang w:val="en-US" w:eastAsia="zh-CN"/>
              </w:rPr>
              <w:t>生产过程用水经沉淀后循环使用，不外排。新增员工200人，</w:t>
            </w:r>
            <w:r>
              <w:rPr>
                <w:rFonts w:hint="eastAsia" w:ascii="Times New Roman" w:hAnsi="Times New Roman" w:eastAsia="宋体" w:cs="Times New Roman"/>
                <w:color w:val="auto"/>
                <w:highlight w:val="none"/>
                <w:lang w:val="en-US" w:eastAsia="zh-CN"/>
              </w:rPr>
              <w:t>生活污水产生量为</w:t>
            </w:r>
            <w:r>
              <w:rPr>
                <w:rFonts w:hint="eastAsia" w:cs="Times New Roman"/>
                <w:color w:val="auto"/>
                <w:highlight w:val="none"/>
                <w:lang w:val="en-US" w:eastAsia="zh-CN"/>
              </w:rPr>
              <w:t>2560</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sz w:val="24"/>
                <w:szCs w:val="24"/>
                <w:highlight w:val="none"/>
              </w:rPr>
              <w:t>主要污染物为：COD</w:t>
            </w:r>
            <w:r>
              <w:rPr>
                <w:rFonts w:hint="default" w:ascii="Times New Roman" w:hAnsi="Times New Roman" w:eastAsia="宋体" w:cs="Times New Roman"/>
                <w:color w:val="auto"/>
                <w:sz w:val="24"/>
                <w:szCs w:val="24"/>
                <w:highlight w:val="none"/>
                <w:vertAlign w:val="subscript"/>
              </w:rPr>
              <w:t>Cr</w:t>
            </w:r>
            <w:r>
              <w:rPr>
                <w:rFonts w:hint="default" w:ascii="Times New Roman" w:hAnsi="Times New Roman" w:eastAsia="宋体" w:cs="Times New Roman"/>
                <w:color w:val="auto"/>
                <w:sz w:val="24"/>
                <w:szCs w:val="24"/>
                <w:highlight w:val="none"/>
              </w:rPr>
              <w:t>≤350</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mg/L、SS≤200</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mg/L、NH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-N≤3</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mg/L；产生量为</w:t>
            </w:r>
            <w:r>
              <w:rPr>
                <w:rFonts w:hint="eastAsia" w:cs="Times New Roman"/>
                <w:color w:val="auto"/>
                <w:sz w:val="24"/>
                <w:szCs w:val="24"/>
                <w:highlight w:val="none"/>
                <w:lang w:val="en-US" w:eastAsia="zh-CN"/>
              </w:rPr>
              <w:t>0.896</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val="en-US" w:eastAsia="zh-CN"/>
              </w:rPr>
              <w:t>0.0896</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val="en-US" w:eastAsia="zh-CN"/>
              </w:rPr>
              <w:t>0.512</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，生活污水</w:t>
            </w:r>
            <w:r>
              <w:rPr>
                <w:rFonts w:hint="eastAsia" w:ascii="Times New Roman" w:hAnsi="Times New Roman" w:eastAsia="宋体" w:cs="Times New Roman"/>
                <w:color w:val="auto"/>
                <w:highlight w:val="none"/>
                <w:lang w:val="en-US" w:eastAsia="zh-CN"/>
              </w:rPr>
              <w:t>经厂区自建的污水处理设施处理后回用于厂区绿化和</w:t>
            </w:r>
            <w:r>
              <w:rPr>
                <w:rFonts w:hint="eastAsia" w:cs="Times New Roman"/>
                <w:color w:val="auto"/>
                <w:highlight w:val="none"/>
                <w:lang w:val="en-US" w:eastAsia="zh-CN"/>
              </w:rPr>
              <w:t>热轧用水</w:t>
            </w:r>
            <w:r>
              <w:rPr>
                <w:rFonts w:hint="eastAsia" w:ascii="Times New Roman" w:hAnsi="Times New Roman" w:eastAsia="宋体" w:cs="Times New Roman"/>
                <w:color w:val="auto"/>
                <w:highlight w:val="none"/>
                <w:lang w:val="en-US" w:eastAsia="zh-CN"/>
              </w:rPr>
              <w:t>，不外排</w:t>
            </w:r>
            <w:r>
              <w:rPr>
                <w:rFonts w:hint="eastAsia" w:ascii="Times New Roman" w:hAnsi="Times New Roman" w:eastAsia="宋体" w:cs="Times New Roman"/>
                <w:color w:val="auto"/>
                <w:sz w:val="24"/>
                <w:highlight w:val="none"/>
                <w:lang w:val="en-US" w:eastAsia="zh-CN"/>
              </w:rPr>
              <w:t>。</w:t>
            </w:r>
          </w:p>
          <w:p>
            <w:pPr>
              <w:pStyle w:val="46"/>
              <w:spacing w:line="360" w:lineRule="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项目污水处理工艺流程：</w:t>
            </w:r>
          </w:p>
          <w:p>
            <w:pPr>
              <w:pStyle w:val="40"/>
              <w:tabs>
                <w:tab w:val="left" w:pos="6660"/>
              </w:tabs>
              <w:rPr>
                <w:rFonts w:hint="eastAsia" w:ascii="Times New Roman" w:hAnsi="Times New Roman" w:eastAsia="宋体" w:cs="Arial"/>
                <w:color w:val="auto"/>
              </w:rPr>
            </w:pPr>
            <w:r>
              <w:rPr>
                <w:rFonts w:ascii="Times New Roman" w:hAnsi="Times New Roman" w:eastAsia="宋体"/>
                <w:color w:val="auto"/>
                <w:sz w:val="24"/>
              </w:rPr>
              <mc:AlternateContent>
                <mc:Choice Requires="wps">
                  <w:drawing>
                    <wp:anchor distT="0" distB="0" distL="114300" distR="114300" simplePos="0" relativeHeight="251675648" behindDoc="0" locked="0" layoutInCell="1" allowOverlap="1">
                      <wp:simplePos x="0" y="0"/>
                      <wp:positionH relativeFrom="column">
                        <wp:posOffset>4123690</wp:posOffset>
                      </wp:positionH>
                      <wp:positionV relativeFrom="paragraph">
                        <wp:posOffset>128270</wp:posOffset>
                      </wp:positionV>
                      <wp:extent cx="809625" cy="4095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809625" cy="409575"/>
                              </a:xfrm>
                              <a:prstGeom prst="rect">
                                <a:avLst/>
                              </a:prstGeom>
                              <a:noFill/>
                              <a:ln>
                                <a:noFill/>
                              </a:ln>
                            </wps:spPr>
                            <wps:txbx>
                              <w:txbxContent>
                                <w:p>
                                  <w:pPr>
                                    <w:rPr>
                                      <w:rFonts w:hint="eastAsia"/>
                                    </w:rPr>
                                  </w:pPr>
                                  <w:r>
                                    <w:rPr>
                                      <w:rFonts w:hint="eastAsia"/>
                                    </w:rPr>
                                    <w:t>定期抽除</w:t>
                                  </w:r>
                                </w:p>
                              </w:txbxContent>
                            </wps:txbx>
                            <wps:bodyPr lIns="91439" tIns="45719" rIns="91439" bIns="45719" upright="1"/>
                          </wps:wsp>
                        </a:graphicData>
                      </a:graphic>
                    </wp:anchor>
                  </w:drawing>
                </mc:Choice>
                <mc:Fallback>
                  <w:pict>
                    <v:shape id="_x0000_s1026" o:spid="_x0000_s1026" o:spt="202" type="#_x0000_t202" style="position:absolute;left:0pt;margin-left:324.7pt;margin-top:10.1pt;height:32.25pt;width:63.75pt;z-index:251675648;mso-width-relative:page;mso-height-relative:page;" filled="f" stroked="f" coordsize="21600,21600" o:gfxdata="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AbRENgAAAAJAQAADwAAAAAAAAABACAAAAAiAAAAZHJzL2Rvd25y&#10;ZXYueG1sUEsBAhQAFAAAAAgAh07iQAHebGnFAQAAgQMAAA4AAAAAAAAAAQAgAAAAJwEAAGRycy9l&#10;Mm9Eb2MueG1sUEsFBgAAAAAGAAYAWQEAAF4FAAAAAA==&#10;">
                      <v:fill on="f" focussize="0,0"/>
                      <v:stroke on="f"/>
                      <v:imagedata o:title=""/>
                      <o:lock v:ext="edit" aspectratio="f"/>
                      <v:textbox inset="7.19992125984252pt,3.59992125984252pt,7.19992125984252pt,3.59992125984252pt">
                        <w:txbxContent>
                          <w:p>
                            <w:pPr>
                              <w:rPr>
                                <w:rFonts w:hint="eastAsia"/>
                              </w:rPr>
                            </w:pPr>
                            <w:r>
                              <w:rPr>
                                <w:rFonts w:hint="eastAsia"/>
                              </w:rPr>
                              <w:t>定期抽除</w:t>
                            </w:r>
                          </w:p>
                        </w:txbxContent>
                      </v:textbox>
                    </v:shape>
                  </w:pict>
                </mc:Fallback>
              </mc:AlternateContent>
            </w:r>
            <w:r>
              <w:rPr>
                <w:rFonts w:ascii="Times New Roman" w:hAnsi="Times New Roman" w:eastAsia="宋体"/>
                <w:color w:val="auto"/>
                <w:sz w:val="24"/>
              </w:rPr>
              <mc:AlternateContent>
                <mc:Choice Requires="wps">
                  <w:drawing>
                    <wp:anchor distT="0" distB="0" distL="114300" distR="114300" simplePos="0" relativeHeight="251676672" behindDoc="0" locked="0" layoutInCell="1" allowOverlap="1">
                      <wp:simplePos x="0" y="0"/>
                      <wp:positionH relativeFrom="column">
                        <wp:posOffset>3935730</wp:posOffset>
                      </wp:positionH>
                      <wp:positionV relativeFrom="paragraph">
                        <wp:posOffset>257810</wp:posOffset>
                      </wp:positionV>
                      <wp:extent cx="250190" cy="5715"/>
                      <wp:effectExtent l="0" t="36195" r="16510" b="34290"/>
                      <wp:wrapNone/>
                      <wp:docPr id="3" name="直接连接符 3"/>
                      <wp:cNvGraphicFramePr/>
                      <a:graphic xmlns:a="http://schemas.openxmlformats.org/drawingml/2006/main">
                        <a:graphicData uri="http://schemas.microsoft.com/office/word/2010/wordprocessingShape">
                          <wps:wsp>
                            <wps:cNvCnPr/>
                            <wps:spPr>
                              <a:xfrm flipV="1">
                                <a:off x="0" y="0"/>
                                <a:ext cx="250190" cy="5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9.9pt;margin-top:20.3pt;height:0.45pt;width:19.7pt;z-index:251676672;mso-width-relative:page;mso-height-relative:page;" filled="f" stroked="t" coordsize="21600,21600" o:gfxdata="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dG2nZAAAACQEAAA8AAAAAAAAAAQAgAAAAIgAAAGRy&#10;cy9kb3ducmV2LnhtbFBLAQIUABQAAAAIAIdO4kDdrkiBBAIAAPQDAAAOAAAAAAAAAAEAIAAAACgB&#10;AABkcnMvZTJvRG9jLnhtbFBLBQYAAAAABgAGAFkBAACeBQAAAAA=&#10;">
                      <v:fill on="f" focussize="0,0"/>
                      <v:stroke color="#000000" joinstyle="round" endarrow="block"/>
                      <v:imagedata o:title=""/>
                      <o:lock v:ext="edit" aspectratio="f"/>
                    </v:line>
                  </w:pict>
                </mc:Fallback>
              </mc:AlternateContent>
            </w:r>
            <w:r>
              <w:rPr>
                <w:rFonts w:ascii="Times New Roman" w:hAnsi="Times New Roman" w:eastAsia="宋体"/>
                <w:color w:val="auto"/>
                <w:sz w:val="24"/>
              </w:rPr>
              <mc:AlternateContent>
                <mc:Choice Requires="wpg">
                  <w:drawing>
                    <wp:anchor distT="0" distB="0" distL="114300" distR="114300" simplePos="0" relativeHeight="251667456" behindDoc="0" locked="0" layoutInCell="1" allowOverlap="1">
                      <wp:simplePos x="0" y="0"/>
                      <wp:positionH relativeFrom="column">
                        <wp:posOffset>2456815</wp:posOffset>
                      </wp:positionH>
                      <wp:positionV relativeFrom="paragraph">
                        <wp:posOffset>38735</wp:posOffset>
                      </wp:positionV>
                      <wp:extent cx="497205" cy="623570"/>
                      <wp:effectExtent l="0" t="0" r="0" b="3175"/>
                      <wp:wrapNone/>
                      <wp:docPr id="36" name="组合 36"/>
                      <wp:cNvGraphicFramePr/>
                      <a:graphic xmlns:a="http://schemas.openxmlformats.org/drawingml/2006/main">
                        <a:graphicData uri="http://schemas.microsoft.com/office/word/2010/wordprocessingGroup">
                          <wpg:wgp>
                            <wpg:cNvGrpSpPr/>
                            <wpg:grpSpPr>
                              <a:xfrm>
                                <a:off x="0" y="0"/>
                                <a:ext cx="497205" cy="623570"/>
                                <a:chOff x="0" y="0"/>
                                <a:chExt cx="765" cy="825"/>
                              </a:xfrm>
                            </wpg:grpSpPr>
                            <wps:wsp>
                              <wps:cNvPr id="34" name="直接连接符 34"/>
                              <wps:cNvCnPr/>
                              <wps:spPr>
                                <a:xfrm>
                                  <a:off x="345" y="357"/>
                                  <a:ext cx="0" cy="468"/>
                                </a:xfrm>
                                <a:prstGeom prst="line">
                                  <a:avLst/>
                                </a:prstGeom>
                                <a:ln w="9525" cap="flat" cmpd="sng">
                                  <a:solidFill>
                                    <a:srgbClr val="000000"/>
                                  </a:solidFill>
                                  <a:prstDash val="solid"/>
                                  <a:headEnd type="none" w="med" len="med"/>
                                  <a:tailEnd type="triangle" w="med" len="med"/>
                                </a:ln>
                              </wps:spPr>
                              <wps:bodyPr upright="1"/>
                            </wps:wsp>
                            <wps:wsp>
                              <wps:cNvPr id="35" name="矩形 35"/>
                              <wps:cNvSpPr/>
                              <wps:spPr>
                                <a:xfrm>
                                  <a:off x="0" y="0"/>
                                  <a:ext cx="765" cy="411"/>
                                </a:xfrm>
                                <a:prstGeom prst="rect">
                                  <a:avLst/>
                                </a:prstGeom>
                                <a:noFill/>
                                <a:ln>
                                  <a:noFill/>
                                </a:ln>
                              </wps:spPr>
                              <wps:txbx>
                                <w:txbxContent>
                                  <w:p>
                                    <w:pPr>
                                      <w:rPr>
                                        <w:rFonts w:hint="eastAsia"/>
                                      </w:rPr>
                                    </w:pPr>
                                    <w:r>
                                      <w:rPr>
                                        <w:rFonts w:hint="eastAsia"/>
                                      </w:rPr>
                                      <w:t>空气</w:t>
                                    </w:r>
                                  </w:p>
                                </w:txbxContent>
                              </wps:txbx>
                              <wps:bodyPr upright="1"/>
                            </wps:wsp>
                          </wpg:wgp>
                        </a:graphicData>
                      </a:graphic>
                    </wp:anchor>
                  </w:drawing>
                </mc:Choice>
                <mc:Fallback>
                  <w:pict>
                    <v:group id="_x0000_s1026" o:spid="_x0000_s1026" o:spt="203" style="position:absolute;left:0pt;margin-left:193.45pt;margin-top:3.05pt;height:49.1pt;width:39.15pt;z-index:251667456;mso-width-relative:page;mso-height-relative:page;" coordsize="765,825" o:gfxdata="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xLxG22QAAAAkBAAAPAAAAAAAAAAEAIAAA&#10;ACIAAABkcnMvZG93bnJldi54bWxQSwECFAAUAAAACACHTuJAmcBftLYCAABxBgAADgAAAAAAAAAB&#10;ACAAAAAoAQAAZHJzL2Uyb0RvYy54bWxQSwUGAAAAAAYABgBZAQAAUAYAAAAA&#10;">
                      <o:lock v:ext="edit" aspectratio="f"/>
                      <v:line id="_x0000_s1026" o:spid="_x0000_s1026" o:spt="20" style="position:absolute;left:345;top:357;height:468;width: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0;top:0;height:411;width:765;" filled="f" stroked="f" coordsize="21600,21600" o:gfxdata="UEsDBAoAAAAAAIdO4kAAAAAAAAAAAAAAAAAEAAAAZHJzL1BLAwQUAAAACACHTuJAS/1b6L4AAADb&#10;AAAADwAAAGRycy9kb3ducmV2LnhtbEWPQWvCQBSE7wX/w/KEXopuYqm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b6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空气</w:t>
                              </w:r>
                            </w:p>
                          </w:txbxContent>
                        </v:textbox>
                      </v:rect>
                    </v:group>
                  </w:pict>
                </mc:Fallback>
              </mc:AlternateContent>
            </w:r>
            <w:r>
              <w:rPr>
                <w:rFonts w:ascii="Times New Roman" w:hAnsi="Times New Roman" w:eastAsia="宋体"/>
                <w:color w:val="auto"/>
                <w:sz w:val="24"/>
              </w:rPr>
              <mc:AlternateContent>
                <mc:Choice Requires="wps">
                  <w:drawing>
                    <wp:anchor distT="0" distB="0" distL="114300" distR="114300" simplePos="0" relativeHeight="251674624" behindDoc="0" locked="0" layoutInCell="1" allowOverlap="1">
                      <wp:simplePos x="0" y="0"/>
                      <wp:positionH relativeFrom="column">
                        <wp:posOffset>71120</wp:posOffset>
                      </wp:positionH>
                      <wp:positionV relativeFrom="paragraph">
                        <wp:posOffset>3175</wp:posOffset>
                      </wp:positionV>
                      <wp:extent cx="513080" cy="339725"/>
                      <wp:effectExtent l="0" t="0" r="0" b="0"/>
                      <wp:wrapNone/>
                      <wp:docPr id="9" name="矩形 9"/>
                      <wp:cNvGraphicFramePr/>
                      <a:graphic xmlns:a="http://schemas.openxmlformats.org/drawingml/2006/main">
                        <a:graphicData uri="http://schemas.microsoft.com/office/word/2010/wordprocessingShape">
                          <wps:wsp>
                            <wps:cNvSpPr/>
                            <wps:spPr>
                              <a:xfrm>
                                <a:off x="0" y="0"/>
                                <a:ext cx="513080" cy="339725"/>
                              </a:xfrm>
                              <a:prstGeom prst="rect">
                                <a:avLst/>
                              </a:prstGeom>
                              <a:noFill/>
                              <a:ln>
                                <a:noFill/>
                              </a:ln>
                            </wps:spPr>
                            <wps:txbx>
                              <w:txbxContent>
                                <w:p>
                                  <w:pPr>
                                    <w:rPr>
                                      <w:rFonts w:hint="eastAsia"/>
                                    </w:rPr>
                                  </w:pPr>
                                  <w:r>
                                    <w:rPr>
                                      <w:rFonts w:hint="eastAsia"/>
                                    </w:rPr>
                                    <w:t>污水</w:t>
                                  </w:r>
                                </w:p>
                              </w:txbxContent>
                            </wps:txbx>
                            <wps:bodyPr upright="1"/>
                          </wps:wsp>
                        </a:graphicData>
                      </a:graphic>
                    </wp:anchor>
                  </w:drawing>
                </mc:Choice>
                <mc:Fallback>
                  <w:pict>
                    <v:rect id="_x0000_s1026" o:spid="_x0000_s1026" o:spt="1" style="position:absolute;left:0pt;margin-left:5.6pt;margin-top:0.25pt;height:26.75pt;width:40.4pt;z-index:251674624;mso-width-relative:page;mso-height-relative:page;" filled="f" stroked="f" coordsize="21600,21600" o:gfxdata="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w64+dUAAAAFAQAADwAAAAAAAAAB&#10;ACAAAAAiAAAAZHJzL2Rvd25yZXYueG1sUEsBAhQAFAAAAAgAh07iQB4PvfShAQAAQAMAAA4AAAAA&#10;AAAAAQAgAAAAJAEAAGRycy9lMm9Eb2MueG1sUEsFBgAAAAAGAAYAWQEAADcFAAAAAA==&#10;">
                      <v:fill on="f" focussize="0,0"/>
                      <v:stroke on="f"/>
                      <v:imagedata o:title=""/>
                      <o:lock v:ext="edit" aspectratio="f"/>
                      <v:textbox>
                        <w:txbxContent>
                          <w:p>
                            <w:pPr>
                              <w:rPr>
                                <w:rFonts w:hint="eastAsia"/>
                              </w:rPr>
                            </w:pPr>
                            <w:r>
                              <w:rPr>
                                <w:rFonts w:hint="eastAsia"/>
                              </w:rPr>
                              <w:t>污水</w:t>
                            </w:r>
                          </w:p>
                        </w:txbxContent>
                      </v:textbox>
                    </v:rect>
                  </w:pict>
                </mc:Fallback>
              </mc:AlternateContent>
            </w:r>
          </w:p>
          <w:p>
            <w:pPr>
              <w:pStyle w:val="40"/>
              <w:tabs>
                <w:tab w:val="left" w:pos="6660"/>
              </w:tabs>
              <w:rPr>
                <w:rFonts w:hint="eastAsia" w:ascii="Times New Roman" w:hAnsi="Times New Roman" w:eastAsia="宋体" w:cs="Arial"/>
                <w:color w:val="auto"/>
              </w:rPr>
            </w:pPr>
            <w:r>
              <w:rPr>
                <w:rFonts w:ascii="Times New Roman" w:hAnsi="Times New Roman" w:eastAsia="宋体"/>
                <w:color w:val="auto"/>
                <w:sz w:val="24"/>
              </w:rPr>
              <mc:AlternateContent>
                <mc:Choice Requires="wps">
                  <w:drawing>
                    <wp:anchor distT="0" distB="0" distL="114300" distR="114300" simplePos="0" relativeHeight="251673600" behindDoc="0" locked="0" layoutInCell="1" allowOverlap="1">
                      <wp:simplePos x="0" y="0"/>
                      <wp:positionH relativeFrom="column">
                        <wp:posOffset>302260</wp:posOffset>
                      </wp:positionH>
                      <wp:positionV relativeFrom="paragraph">
                        <wp:posOffset>1905</wp:posOffset>
                      </wp:positionV>
                      <wp:extent cx="0" cy="386715"/>
                      <wp:effectExtent l="38100" t="0" r="38100" b="13335"/>
                      <wp:wrapNone/>
                      <wp:docPr id="20" name="直接连接符 20"/>
                      <wp:cNvGraphicFramePr/>
                      <a:graphic xmlns:a="http://schemas.openxmlformats.org/drawingml/2006/main">
                        <a:graphicData uri="http://schemas.microsoft.com/office/word/2010/wordprocessingShape">
                          <wps:wsp>
                            <wps:cNvCnPr/>
                            <wps:spPr>
                              <a:xfrm>
                                <a:off x="0" y="0"/>
                                <a:ext cx="0" cy="386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8pt;margin-top:0.15pt;height:30.45pt;width:0pt;z-index:251673600;mso-width-relative:page;mso-height-relative:page;" filled="f" stroked="t" coordsize="21600,21600" o:gfxdata="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CbrJ1QAAAAUBAAAPAAAAAAAAAAEAIAAAACIAAABkcnMvZG93bnJldi54bWxQ&#10;SwECFAAUAAAACACHTuJAqrsoyPoBAADpAwAADgAAAAAAAAABACAAAAAkAQAAZHJzL2Uyb0RvYy54&#10;bWxQSwUGAAAAAAYABgBZAQAAkAUAAAAA&#10;">
                      <v:fill on="f" focussize="0,0"/>
                      <v:stroke color="#000000" joinstyle="round" endarrow="block"/>
                      <v:imagedata o:title=""/>
                      <o:lock v:ext="edit" aspectratio="f"/>
                    </v:line>
                  </w:pict>
                </mc:Fallback>
              </mc:AlternateContent>
            </w:r>
            <w:r>
              <w:rPr>
                <w:rFonts w:ascii="Times New Roman" w:hAnsi="Times New Roman" w:eastAsia="宋体"/>
                <w:color w:val="auto"/>
                <w:sz w:val="24"/>
              </w:rPr>
              <mc:AlternateContent>
                <mc:Choice Requires="wps">
                  <w:drawing>
                    <wp:anchor distT="0" distB="0" distL="114300" distR="114300" simplePos="0" relativeHeight="251672576" behindDoc="0" locked="0" layoutInCell="1" allowOverlap="1">
                      <wp:simplePos x="0" y="0"/>
                      <wp:positionH relativeFrom="column">
                        <wp:posOffset>3903980</wp:posOffset>
                      </wp:positionH>
                      <wp:positionV relativeFrom="paragraph">
                        <wp:posOffset>26035</wp:posOffset>
                      </wp:positionV>
                      <wp:extent cx="635" cy="353695"/>
                      <wp:effectExtent l="38100" t="0" r="37465" b="8255"/>
                      <wp:wrapNone/>
                      <wp:docPr id="6" name="直接连接符 6"/>
                      <wp:cNvGraphicFramePr/>
                      <a:graphic xmlns:a="http://schemas.openxmlformats.org/drawingml/2006/main">
                        <a:graphicData uri="http://schemas.microsoft.com/office/word/2010/wordprocessingShape">
                          <wps:wsp>
                            <wps:cNvCnPr/>
                            <wps:spPr>
                              <a:xfrm>
                                <a:off x="0" y="0"/>
                                <a:ext cx="635" cy="35369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margin-left:307.4pt;margin-top:2.05pt;height:27.85pt;width:0.05pt;z-index:251672576;mso-width-relative:page;mso-height-relative:page;" filled="f" stroked="t" coordsize="21600,21600" o:gfxdata="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OxdcDYAAAACAEAAA8AAAAAAAAAAQAgAAAAIgAAAGRycy9kb3ducmV2&#10;LnhtbFBLAQIUABQAAAAIAIdO4kDUGQTW/AEAAOkDAAAOAAAAAAAAAAEAIAAAACcBAABkcnMvZTJv&#10;RG9jLnhtbFBLBQYAAAAABgAGAFkBAACVBQAAAAA=&#10;">
                      <v:fill on="f" focussize="0,0"/>
                      <v:stroke color="#000000" joinstyle="round" startarrow="block"/>
                      <v:imagedata o:title=""/>
                      <o:lock v:ext="edit" aspectratio="f"/>
                    </v:line>
                  </w:pict>
                </mc:Fallback>
              </mc:AlternateContent>
            </w:r>
            <w:r>
              <w:rPr>
                <w:rFonts w:ascii="Times New Roman" w:hAnsi="Times New Roman" w:eastAsia="宋体"/>
                <w:color w:val="auto"/>
                <w:sz w:val="24"/>
              </w:rPr>
              <mc:AlternateContent>
                <mc:Choice Requires="wps">
                  <w:drawing>
                    <wp:anchor distT="0" distB="0" distL="114300" distR="114300" simplePos="0" relativeHeight="251664384" behindDoc="0" locked="0" layoutInCell="1" allowOverlap="1">
                      <wp:simplePos x="0" y="0"/>
                      <wp:positionH relativeFrom="column">
                        <wp:posOffset>1858010</wp:posOffset>
                      </wp:positionH>
                      <wp:positionV relativeFrom="paragraph">
                        <wp:posOffset>279400</wp:posOffset>
                      </wp:positionV>
                      <wp:extent cx="340995" cy="310515"/>
                      <wp:effectExtent l="0" t="0" r="0" b="0"/>
                      <wp:wrapNone/>
                      <wp:docPr id="28" name="矩形 28"/>
                      <wp:cNvGraphicFramePr/>
                      <a:graphic xmlns:a="http://schemas.openxmlformats.org/drawingml/2006/main">
                        <a:graphicData uri="http://schemas.microsoft.com/office/word/2010/wordprocessingShape">
                          <wps:wsp>
                            <wps:cNvSpPr/>
                            <wps:spPr>
                              <a:xfrm>
                                <a:off x="0" y="0"/>
                                <a:ext cx="340995" cy="310515"/>
                              </a:xfrm>
                              <a:prstGeom prst="rect">
                                <a:avLst/>
                              </a:prstGeom>
                              <a:noFill/>
                              <a:ln>
                                <a:noFill/>
                              </a:ln>
                            </wps:spPr>
                            <wps:txbx>
                              <w:txbxContent>
                                <w:p>
                                  <w:pPr>
                                    <w:rPr>
                                      <w:rFonts w:hint="eastAsia"/>
                                    </w:rPr>
                                  </w:pPr>
                                  <w:r>
                                    <w:rPr>
                                      <w:rFonts w:hint="eastAsia"/>
                                    </w:rPr>
                                    <w:t>泵</w:t>
                                  </w:r>
                                </w:p>
                              </w:txbxContent>
                            </wps:txbx>
                            <wps:bodyPr upright="1"/>
                          </wps:wsp>
                        </a:graphicData>
                      </a:graphic>
                    </wp:anchor>
                  </w:drawing>
                </mc:Choice>
                <mc:Fallback>
                  <w:pict>
                    <v:rect id="_x0000_s1026" o:spid="_x0000_s1026" o:spt="1" style="position:absolute;left:0pt;margin-left:146.3pt;margin-top:22pt;height:24.45pt;width:26.85pt;z-index:251664384;mso-width-relative:page;mso-height-relative:page;" filled="f" stroked="f" coordsize="21600,21600" o:gfxdata="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lEbYraAAAACQEAAA8A&#10;AAAAAAAAAQAgAAAAIgAAAGRycy9kb3ducmV2LnhtbFBLAQIUABQAAAAIAIdO4kAta8cQowEAAEID&#10;AAAOAAAAAAAAAAEAIAAAACkBAABkcnMvZTJvRG9jLnhtbFBLBQYAAAAABgAGAFkBAAA+BQAAAAA=&#10;">
                      <v:fill on="f" focussize="0,0"/>
                      <v:stroke on="f"/>
                      <v:imagedata o:title=""/>
                      <o:lock v:ext="edit" aspectratio="f"/>
                      <v:textbox>
                        <w:txbxContent>
                          <w:p>
                            <w:pPr>
                              <w:rPr>
                                <w:rFonts w:hint="eastAsia"/>
                              </w:rPr>
                            </w:pPr>
                            <w:r>
                              <w:rPr>
                                <w:rFonts w:hint="eastAsia"/>
                              </w:rPr>
                              <w:t>泵</w:t>
                            </w:r>
                          </w:p>
                        </w:txbxContent>
                      </v:textbox>
                    </v:rect>
                  </w:pict>
                </mc:Fallback>
              </mc:AlternateContent>
            </w:r>
          </w:p>
          <w:p>
            <w:pPr>
              <w:pStyle w:val="40"/>
              <w:tabs>
                <w:tab w:val="left" w:pos="6660"/>
              </w:tabs>
              <w:rPr>
                <w:rFonts w:hint="eastAsia" w:ascii="Times New Roman" w:hAnsi="Times New Roman" w:eastAsia="宋体" w:cs="Arial"/>
                <w:color w:val="auto"/>
              </w:rPr>
            </w:pPr>
            <w:r>
              <w:rPr>
                <w:rFonts w:ascii="Times New Roman" w:hAnsi="Times New Roman" w:eastAsia="宋体"/>
                <w:color w:val="auto"/>
                <w:sz w:val="24"/>
              </w:rPr>
              <mc:AlternateContent>
                <mc:Choice Requires="wps">
                  <w:drawing>
                    <wp:anchor distT="0" distB="0" distL="114300" distR="114300" simplePos="0" relativeHeight="251666432" behindDoc="0" locked="0" layoutInCell="1" allowOverlap="1">
                      <wp:simplePos x="0" y="0"/>
                      <wp:positionH relativeFrom="column">
                        <wp:posOffset>3465830</wp:posOffset>
                      </wp:positionH>
                      <wp:positionV relativeFrom="paragraph">
                        <wp:posOffset>118745</wp:posOffset>
                      </wp:positionV>
                      <wp:extent cx="896620" cy="310515"/>
                      <wp:effectExtent l="4445" t="4445" r="13335" b="8890"/>
                      <wp:wrapNone/>
                      <wp:docPr id="21" name="矩形 21"/>
                      <wp:cNvGraphicFramePr/>
                      <a:graphic xmlns:a="http://schemas.openxmlformats.org/drawingml/2006/main">
                        <a:graphicData uri="http://schemas.microsoft.com/office/word/2010/wordprocessingShape">
                          <wps:wsp>
                            <wps:cNvSpPr/>
                            <wps:spPr>
                              <a:xfrm>
                                <a:off x="0" y="0"/>
                                <a:ext cx="896620" cy="31051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ascii="Arial" w:hAnsi="Arial" w:cs="Arial"/>
                                      <w:lang w:eastAsia="zh-CN"/>
                                    </w:rPr>
                                    <w:t>二</w:t>
                                  </w:r>
                                  <w:r>
                                    <w:rPr>
                                      <w:rFonts w:hint="eastAsia" w:ascii="Arial" w:hAnsi="Arial" w:cs="Arial"/>
                                    </w:rPr>
                                    <w:t>沉淀池</w:t>
                                  </w:r>
                                </w:p>
                              </w:txbxContent>
                            </wps:txbx>
                            <wps:bodyPr upright="1"/>
                          </wps:wsp>
                        </a:graphicData>
                      </a:graphic>
                    </wp:anchor>
                  </w:drawing>
                </mc:Choice>
                <mc:Fallback>
                  <w:pict>
                    <v:rect id="_x0000_s1026" o:spid="_x0000_s1026" o:spt="1" style="position:absolute;left:0pt;margin-left:272.9pt;margin-top:9.35pt;height:24.45pt;width:70.6pt;z-index:251666432;mso-width-relative:page;mso-height-relative:page;" filled="f" stroked="t" coordsize="21600,21600" o:gfxdata="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sINX9cAAAAJAQAADwAAAAAAAAABACAAAAAiAAAAZHJzL2Rvd25yZXYu&#10;eG1sUEsBAhQAFAAAAAgAh07iQIjN5Rj8AQAAAQQAAA4AAAAAAAAAAQAgAAAAJgEAAGRycy9lMm9E&#10;b2MueG1sUEsFBgAAAAAGAAYAWQEAAJQFAAAAAA==&#10;">
                      <v:fill on="f" focussize="0,0"/>
                      <v:stroke color="#000000" joinstyle="miter"/>
                      <v:imagedata o:title=""/>
                      <o:lock v:ext="edit" aspectratio="f"/>
                      <v:textbox>
                        <w:txbxContent>
                          <w:p>
                            <w:pPr>
                              <w:rPr>
                                <w:rFonts w:hint="eastAsia"/>
                              </w:rPr>
                            </w:pPr>
                            <w:r>
                              <w:rPr>
                                <w:rFonts w:hint="eastAsia" w:ascii="Arial" w:hAnsi="Arial" w:cs="Arial"/>
                                <w:lang w:eastAsia="zh-CN"/>
                              </w:rPr>
                              <w:t>二</w:t>
                            </w:r>
                            <w:r>
                              <w:rPr>
                                <w:rFonts w:hint="eastAsia" w:ascii="Arial" w:hAnsi="Arial" w:cs="Arial"/>
                              </w:rPr>
                              <w:t>沉淀池</w:t>
                            </w:r>
                          </w:p>
                        </w:txbxContent>
                      </v:textbox>
                    </v:rect>
                  </w:pict>
                </mc:Fallback>
              </mc:AlternateContent>
            </w:r>
            <w:r>
              <w:rPr>
                <w:rFonts w:ascii="Times New Roman" w:hAnsi="Times New Roman" w:eastAsia="宋体"/>
                <w:color w:val="auto"/>
                <w:sz w:val="24"/>
              </w:rPr>
              <mc:AlternateContent>
                <mc:Choice Requires="wps">
                  <w:drawing>
                    <wp:anchor distT="0" distB="0" distL="114300" distR="114300" simplePos="0" relativeHeight="251665408" behindDoc="0" locked="0" layoutInCell="1" allowOverlap="1">
                      <wp:simplePos x="0" y="0"/>
                      <wp:positionH relativeFrom="column">
                        <wp:posOffset>3114675</wp:posOffset>
                      </wp:positionH>
                      <wp:positionV relativeFrom="paragraph">
                        <wp:posOffset>273050</wp:posOffset>
                      </wp:positionV>
                      <wp:extent cx="351155" cy="635"/>
                      <wp:effectExtent l="0" t="37465" r="10795" b="38100"/>
                      <wp:wrapNone/>
                      <wp:docPr id="25" name="直接连接符 25"/>
                      <wp:cNvGraphicFramePr/>
                      <a:graphic xmlns:a="http://schemas.openxmlformats.org/drawingml/2006/main">
                        <a:graphicData uri="http://schemas.microsoft.com/office/word/2010/wordprocessingShape">
                          <wps:wsp>
                            <wps:cNvCnPr/>
                            <wps:spPr>
                              <a:xfrm>
                                <a:off x="0" y="0"/>
                                <a:ext cx="3511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5.25pt;margin-top:21.5pt;height:0.05pt;width:27.65pt;z-index:251665408;mso-width-relative:page;mso-height-relative:page;" filled="f" stroked="t" coordsize="21600,21600" o:gfxdata="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zvpczZAAAACQEAAA8AAAAAAAAAAQAgAAAAIgAAAGRycy9kb3du&#10;cmV2LnhtbFBLAQIUABQAAAAIAIdO4kDI4ZXN/gEAAOsDAAAOAAAAAAAAAAEAIAAAACgBAABkcnMv&#10;ZTJvRG9jLnhtbFBLBQYAAAAABgAGAFkBAACYBQAAAAA=&#10;">
                      <v:fill on="f" focussize="0,0"/>
                      <v:stroke color="#000000" joinstyle="round" endarrow="block"/>
                      <v:imagedata o:title=""/>
                      <o:lock v:ext="edit" aspectratio="f"/>
                    </v:line>
                  </w:pict>
                </mc:Fallback>
              </mc:AlternateContent>
            </w:r>
            <w:r>
              <w:rPr>
                <w:rFonts w:ascii="Times New Roman" w:hAnsi="Times New Roman" w:eastAsia="宋体"/>
                <w:color w:val="auto"/>
                <w:sz w:val="24"/>
              </w:rPr>
              <mc:AlternateContent>
                <mc:Choice Requires="wps">
                  <w:drawing>
                    <wp:anchor distT="0" distB="0" distL="114300" distR="114300" simplePos="0" relativeHeight="251663360" behindDoc="0" locked="0" layoutInCell="1" allowOverlap="1">
                      <wp:simplePos x="0" y="0"/>
                      <wp:positionH relativeFrom="column">
                        <wp:posOffset>2208530</wp:posOffset>
                      </wp:positionH>
                      <wp:positionV relativeFrom="paragraph">
                        <wp:posOffset>116205</wp:posOffset>
                      </wp:positionV>
                      <wp:extent cx="896620" cy="311150"/>
                      <wp:effectExtent l="4445" t="5080" r="13335" b="7620"/>
                      <wp:wrapNone/>
                      <wp:docPr id="27" name="矩形 27"/>
                      <wp:cNvGraphicFramePr/>
                      <a:graphic xmlns:a="http://schemas.openxmlformats.org/drawingml/2006/main">
                        <a:graphicData uri="http://schemas.microsoft.com/office/word/2010/wordprocessingShape">
                          <wps:wsp>
                            <wps:cNvSpPr/>
                            <wps:spPr>
                              <a:xfrm>
                                <a:off x="0" y="0"/>
                                <a:ext cx="896620" cy="31115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接触氧化池</w:t>
                                  </w:r>
                                </w:p>
                              </w:txbxContent>
                            </wps:txbx>
                            <wps:bodyPr upright="1"/>
                          </wps:wsp>
                        </a:graphicData>
                      </a:graphic>
                    </wp:anchor>
                  </w:drawing>
                </mc:Choice>
                <mc:Fallback>
                  <w:pict>
                    <v:rect id="_x0000_s1026" o:spid="_x0000_s1026" o:spt="1" style="position:absolute;left:0pt;margin-left:173.9pt;margin-top:9.15pt;height:24.5pt;width:70.6pt;z-index:251663360;mso-width-relative:page;mso-height-relative:page;" filled="f" stroked="t" coordsize="21600,21600" o:gfxdata="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1w/GdgAAAAJAQAADwAAAAAAAAABACAAAAAiAAAAZHJzL2Rvd25y&#10;ZXYueG1sUEsBAhQAFAAAAAgAh07iQDayQPL+AQAAAQQAAA4AAAAAAAAAAQAgAAAAJwEAAGRycy9l&#10;Mm9Eb2MueG1sUEsFBgAAAAAGAAYAWQEAAJcFAAAAAA==&#10;">
                      <v:fill on="f" focussize="0,0"/>
                      <v:stroke color="#000000" joinstyle="miter"/>
                      <v:imagedata o:title=""/>
                      <o:lock v:ext="edit" aspectratio="f"/>
                      <v:textbox>
                        <w:txbxContent>
                          <w:p>
                            <w:pPr>
                              <w:rPr>
                                <w:rFonts w:hint="eastAsia"/>
                              </w:rPr>
                            </w:pPr>
                            <w:r>
                              <w:rPr>
                                <w:rFonts w:hint="eastAsia"/>
                              </w:rPr>
                              <w:t>接触氧化池</w:t>
                            </w:r>
                          </w:p>
                        </w:txbxContent>
                      </v:textbox>
                    </v:rect>
                  </w:pict>
                </mc:Fallback>
              </mc:AlternateContent>
            </w:r>
            <w:r>
              <w:rPr>
                <w:rFonts w:ascii="Times New Roman" w:hAnsi="Times New Roman" w:eastAsia="宋体"/>
                <w:color w:val="auto"/>
                <w:sz w:val="24"/>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120650</wp:posOffset>
                      </wp:positionV>
                      <wp:extent cx="896620" cy="311150"/>
                      <wp:effectExtent l="4445" t="5080" r="13335" b="7620"/>
                      <wp:wrapNone/>
                      <wp:docPr id="26" name="矩形 26"/>
                      <wp:cNvGraphicFramePr/>
                      <a:graphic xmlns:a="http://schemas.openxmlformats.org/drawingml/2006/main">
                        <a:graphicData uri="http://schemas.microsoft.com/office/word/2010/wordprocessingShape">
                          <wps:wsp>
                            <wps:cNvSpPr/>
                            <wps:spPr>
                              <a:xfrm>
                                <a:off x="0" y="0"/>
                                <a:ext cx="896620" cy="31115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初沉池</w:t>
                                  </w:r>
                                </w:p>
                              </w:txbxContent>
                            </wps:txbx>
                            <wps:bodyPr upright="1"/>
                          </wps:wsp>
                        </a:graphicData>
                      </a:graphic>
                    </wp:anchor>
                  </w:drawing>
                </mc:Choice>
                <mc:Fallback>
                  <w:pict>
                    <v:rect id="_x0000_s1026" o:spid="_x0000_s1026" o:spt="1" style="position:absolute;left:0pt;margin-left:73.4pt;margin-top:9.5pt;height:24.5pt;width:70.6pt;z-index:251662336;mso-width-relative:page;mso-height-relative:page;" filled="f" stroked="t" coordsize="21600,21600" o:gfxdata="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U9129YAAAAJAQAADwAAAAAAAAABACAAAAAiAAAAZHJzL2Rvd25yZXYu&#10;eG1sUEsBAhQAFAAAAAgAh07iQHzudxL9AQAAAQQAAA4AAAAAAAAAAQAgAAAAJQEAAGRycy9lMm9E&#10;b2MueG1sUEsFBgAAAAAGAAYAWQEAAJQFAAAAAA==&#10;">
                      <v:fill on="f" focussize="0,0"/>
                      <v:stroke color="#000000" joinstyle="miter"/>
                      <v:imagedata o:title=""/>
                      <o:lock v:ext="edit" aspectratio="f"/>
                      <v:textbox>
                        <w:txbxContent>
                          <w:p>
                            <w:pPr>
                              <w:jc w:val="center"/>
                              <w:rPr>
                                <w:rFonts w:hint="eastAsia" w:eastAsia="宋体"/>
                                <w:lang w:eastAsia="zh-CN"/>
                              </w:rPr>
                            </w:pPr>
                            <w:r>
                              <w:rPr>
                                <w:rFonts w:hint="eastAsia"/>
                                <w:lang w:eastAsia="zh-CN"/>
                              </w:rPr>
                              <w:t>初沉池</w:t>
                            </w:r>
                          </w:p>
                        </w:txbxContent>
                      </v:textbox>
                    </v:rect>
                  </w:pict>
                </mc:Fallback>
              </mc:AlternateContent>
            </w:r>
            <w:r>
              <w:rPr>
                <w:rFonts w:ascii="Times New Roman" w:hAnsi="Times New Roman" w:eastAsia="宋体"/>
                <w:color w:val="auto"/>
                <w:sz w:val="24"/>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281940</wp:posOffset>
                      </wp:positionV>
                      <wp:extent cx="350520" cy="635"/>
                      <wp:effectExtent l="0" t="37465" r="11430" b="38100"/>
                      <wp:wrapNone/>
                      <wp:docPr id="24" name="直接连接符 24"/>
                      <wp:cNvGraphicFramePr/>
                      <a:graphic xmlns:a="http://schemas.openxmlformats.org/drawingml/2006/main">
                        <a:graphicData uri="http://schemas.microsoft.com/office/word/2010/wordprocessingShape">
                          <wps:wsp>
                            <wps:cNvCnPr/>
                            <wps:spPr>
                              <a:xfrm>
                                <a:off x="0" y="0"/>
                                <a:ext cx="35052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5pt;margin-top:22.2pt;height:0.05pt;width:27.6pt;z-index:251661312;mso-width-relative:page;mso-height-relative:page;" filled="f" stroked="t" coordsize="21600,21600" o:gfxdata="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sOWH2AAAAAgBAAAPAAAAAAAAAAEAIAAAACIAAABkcnMvZG93bnJl&#10;di54bWxQSwECFAAUAAAACACHTuJANL+RFP0BAADrAwAADgAAAAAAAAABACAAAAAnAQAAZHJzL2Uy&#10;b0RvYy54bWxQSwUGAAAAAAYABgBZAQAAlgUAAAAA&#10;">
                      <v:fill on="f" focussize="0,0"/>
                      <v:stroke color="#000000" joinstyle="round" endarrow="block"/>
                      <v:imagedata o:title=""/>
                      <o:lock v:ext="edit" aspectratio="f"/>
                    </v:line>
                  </w:pict>
                </mc:Fallback>
              </mc:AlternateContent>
            </w:r>
            <w:r>
              <w:rPr>
                <w:rFonts w:ascii="Times New Roman" w:hAnsi="Times New Roman" w:eastAsia="宋体"/>
                <w:color w:val="auto"/>
                <w:sz w:val="24"/>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125730</wp:posOffset>
                      </wp:positionV>
                      <wp:extent cx="506730" cy="310515"/>
                      <wp:effectExtent l="4445" t="4445" r="22225" b="8890"/>
                      <wp:wrapNone/>
                      <wp:docPr id="31" name="矩形 31"/>
                      <wp:cNvGraphicFramePr/>
                      <a:graphic xmlns:a="http://schemas.openxmlformats.org/drawingml/2006/main">
                        <a:graphicData uri="http://schemas.microsoft.com/office/word/2010/wordprocessingShape">
                          <wps:wsp>
                            <wps:cNvSpPr/>
                            <wps:spPr>
                              <a:xfrm>
                                <a:off x="0" y="0"/>
                                <a:ext cx="506730" cy="31051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格栅</w:t>
                                  </w:r>
                                </w:p>
                              </w:txbxContent>
                            </wps:txbx>
                            <wps:bodyPr upright="1"/>
                          </wps:wsp>
                        </a:graphicData>
                      </a:graphic>
                    </wp:anchor>
                  </w:drawing>
                </mc:Choice>
                <mc:Fallback>
                  <w:pict>
                    <v:rect id="_x0000_s1026" o:spid="_x0000_s1026" o:spt="1" style="position:absolute;left:0pt;margin-left:4.35pt;margin-top:9.9pt;height:24.45pt;width:39.9pt;z-index:251660288;mso-width-relative:page;mso-height-relative:page;" filled="f" stroked="t" coordsize="21600,21600" o:gfxdata="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HOZx0wAAAAYBAAAPAAAAAAAAAAEAIAAAACIAAABkcnMvZG93bnJldi54bWxQ&#10;SwECFAAUAAAACACHTuJALh7acvwBAAABBAAADgAAAAAAAAABACAAAAAiAQAAZHJzL2Uyb0RvYy54&#10;bWxQSwUGAAAAAAYABgBZAQAAkAUAAAAA&#10;">
                      <v:fill on="f" focussize="0,0"/>
                      <v:stroke color="#000000" joinstyle="miter"/>
                      <v:imagedata o:title=""/>
                      <o:lock v:ext="edit" aspectratio="f"/>
                      <v:textbox>
                        <w:txbxContent>
                          <w:p>
                            <w:pPr>
                              <w:rPr>
                                <w:rFonts w:hint="eastAsia"/>
                              </w:rPr>
                            </w:pPr>
                            <w:r>
                              <w:rPr>
                                <w:rFonts w:hint="eastAsia"/>
                              </w:rPr>
                              <w:t>格栅</w:t>
                            </w:r>
                          </w:p>
                        </w:txbxContent>
                      </v:textbox>
                    </v:rect>
                  </w:pict>
                </mc:Fallback>
              </mc:AlternateContent>
            </w:r>
            <w:r>
              <w:rPr>
                <w:rFonts w:ascii="Times New Roman" w:hAnsi="Times New Roman" w:eastAsia="宋体"/>
                <w:color w:val="auto"/>
                <w:sz w:val="24"/>
              </w:rPr>
              <mc:AlternateContent>
                <mc:Choice Requires="wps">
                  <w:drawing>
                    <wp:anchor distT="0" distB="0" distL="114300" distR="114300" simplePos="0" relativeHeight="251659264" behindDoc="0" locked="0" layoutInCell="1" allowOverlap="1">
                      <wp:simplePos x="0" y="0"/>
                      <wp:positionH relativeFrom="column">
                        <wp:posOffset>1838325</wp:posOffset>
                      </wp:positionH>
                      <wp:positionV relativeFrom="paragraph">
                        <wp:posOffset>287020</wp:posOffset>
                      </wp:positionV>
                      <wp:extent cx="351155" cy="635"/>
                      <wp:effectExtent l="0" t="37465" r="10795" b="38100"/>
                      <wp:wrapNone/>
                      <wp:docPr id="29" name="直接连接符 29"/>
                      <wp:cNvGraphicFramePr/>
                      <a:graphic xmlns:a="http://schemas.openxmlformats.org/drawingml/2006/main">
                        <a:graphicData uri="http://schemas.microsoft.com/office/word/2010/wordprocessingShape">
                          <wps:wsp>
                            <wps:cNvCnPr/>
                            <wps:spPr>
                              <a:xfrm>
                                <a:off x="0" y="0"/>
                                <a:ext cx="3511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75pt;margin-top:22.6pt;height:0.05pt;width:27.65pt;z-index:251659264;mso-width-relative:page;mso-height-relative:page;" filled="f" stroked="t" coordsize="21600,21600" o:gfxdata="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NSZ3aAAAACQEAAA8AAAAAAAAAAQAgAAAAIgAAAGRycy9kb3du&#10;cmV2LnhtbFBLAQIUABQAAAAIAIdO4kCMVPlt/QEAAOsDAAAOAAAAAAAAAAEAIAAAACkBAABkcnMv&#10;ZTJvRG9jLnhtbFBLBQYAAAAABgAGAFkBAACYBQAAAAA=&#10;">
                      <v:fill on="f" focussize="0,0"/>
                      <v:stroke color="#000000" joinstyle="round" endarrow="block"/>
                      <v:imagedata o:title=""/>
                      <o:lock v:ext="edit" aspectratio="f"/>
                    </v:line>
                  </w:pict>
                </mc:Fallback>
              </mc:AlternateContent>
            </w:r>
          </w:p>
          <w:p>
            <w:pPr>
              <w:pStyle w:val="8"/>
              <w:snapToGrid w:val="0"/>
              <w:ind w:firstLine="410"/>
              <w:rPr>
                <w:rFonts w:hint="eastAsia" w:ascii="Times New Roman" w:hAnsi="Times New Roman" w:eastAsia="宋体" w:cs="Arial"/>
                <w:color w:val="auto"/>
              </w:rPr>
            </w:pPr>
            <w:r>
              <w:rPr>
                <w:rFonts w:ascii="Times New Roman" w:hAnsi="Times New Roman" w:eastAsia="宋体"/>
                <w:color w:val="auto"/>
                <w:sz w:val="21"/>
              </w:rPr>
              <mc:AlternateContent>
                <mc:Choice Requires="wps">
                  <w:drawing>
                    <wp:anchor distT="0" distB="0" distL="114300" distR="114300" simplePos="0" relativeHeight="251668480" behindDoc="0" locked="0" layoutInCell="1" allowOverlap="1">
                      <wp:simplePos x="0" y="0"/>
                      <wp:positionH relativeFrom="column">
                        <wp:posOffset>3719195</wp:posOffset>
                      </wp:positionH>
                      <wp:positionV relativeFrom="paragraph">
                        <wp:posOffset>120650</wp:posOffset>
                      </wp:positionV>
                      <wp:extent cx="8890" cy="312420"/>
                      <wp:effectExtent l="36195" t="0" r="31115" b="11430"/>
                      <wp:wrapNone/>
                      <wp:docPr id="30" name="直接连接符 30"/>
                      <wp:cNvGraphicFramePr/>
                      <a:graphic xmlns:a="http://schemas.openxmlformats.org/drawingml/2006/main">
                        <a:graphicData uri="http://schemas.microsoft.com/office/word/2010/wordprocessingShape">
                          <wps:wsp>
                            <wps:cNvCnPr/>
                            <wps:spPr>
                              <a:xfrm flipH="1">
                                <a:off x="0" y="0"/>
                                <a:ext cx="8890" cy="312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92.85pt;margin-top:9.5pt;height:24.6pt;width:0.7pt;z-index:251668480;mso-width-relative:page;mso-height-relative:page;" filled="f" stroked="t" coordsize="21600,21600" o:gfxdata="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p0k22QAAAAkBAAAPAAAAAAAAAAEAIAAAACIA&#10;AABkcnMvZG93bnJldi54bWxQSwECFAAUAAAACACHTuJAMc3vpAgCAAD2AwAADgAAAAAAAAABACAA&#10;AAAoAQAAZHJzL2Uyb0RvYy54bWxQSwUGAAAAAAYABgBZAQAAogUAAAAA&#10;">
                      <v:fill on="f" focussize="0,0"/>
                      <v:stroke color="#000000" joinstyle="round" endarrow="block"/>
                      <v:imagedata o:title=""/>
                      <o:lock v:ext="edit" aspectratio="f"/>
                    </v:line>
                  </w:pict>
                </mc:Fallback>
              </mc:AlternateContent>
            </w:r>
          </w:p>
          <w:p>
            <w:pPr>
              <w:pStyle w:val="8"/>
              <w:snapToGrid w:val="0"/>
              <w:ind w:firstLine="410"/>
              <w:rPr>
                <w:rFonts w:hint="eastAsia" w:ascii="Times New Roman" w:hAnsi="Times New Roman" w:eastAsia="宋体" w:cs="Arial"/>
                <w:color w:val="auto"/>
              </w:rPr>
            </w:pPr>
          </w:p>
          <w:p>
            <w:pPr>
              <w:pStyle w:val="8"/>
              <w:snapToGrid w:val="0"/>
              <w:ind w:firstLine="0" w:firstLineChars="0"/>
              <w:jc w:val="center"/>
              <w:rPr>
                <w:rFonts w:hint="eastAsia" w:ascii="Times New Roman" w:hAnsi="Times New Roman" w:eastAsia="宋体"/>
                <w:color w:val="auto"/>
              </w:rPr>
            </w:pPr>
            <w:r>
              <w:rPr>
                <w:rFonts w:ascii="Times New Roman" w:hAnsi="Times New Roman" w:eastAsia="宋体"/>
                <w:color w:val="auto"/>
                <w:sz w:val="24"/>
              </w:rPr>
              <mc:AlternateContent>
                <mc:Choice Requires="wps">
                  <w:drawing>
                    <wp:anchor distT="0" distB="0" distL="114300" distR="114300" simplePos="0" relativeHeight="251670528" behindDoc="0" locked="0" layoutInCell="1" allowOverlap="1">
                      <wp:simplePos x="0" y="0"/>
                      <wp:positionH relativeFrom="column">
                        <wp:posOffset>4758055</wp:posOffset>
                      </wp:positionH>
                      <wp:positionV relativeFrom="paragraph">
                        <wp:posOffset>104140</wp:posOffset>
                      </wp:positionV>
                      <wp:extent cx="535940" cy="311150"/>
                      <wp:effectExtent l="0" t="0" r="0" b="0"/>
                      <wp:wrapNone/>
                      <wp:docPr id="32" name="矩形 32"/>
                      <wp:cNvGraphicFramePr/>
                      <a:graphic xmlns:a="http://schemas.openxmlformats.org/drawingml/2006/main">
                        <a:graphicData uri="http://schemas.microsoft.com/office/word/2010/wordprocessingShape">
                          <wps:wsp>
                            <wps:cNvSpPr/>
                            <wps:spPr>
                              <a:xfrm>
                                <a:off x="0" y="0"/>
                                <a:ext cx="535940" cy="311150"/>
                              </a:xfrm>
                              <a:prstGeom prst="rect">
                                <a:avLst/>
                              </a:prstGeom>
                              <a:noFill/>
                              <a:ln>
                                <a:noFill/>
                              </a:ln>
                            </wps:spPr>
                            <wps:txbx>
                              <w:txbxContent>
                                <w:p>
                                  <w:pPr>
                                    <w:rPr>
                                      <w:rFonts w:hint="eastAsia"/>
                                    </w:rPr>
                                  </w:pPr>
                                  <w:r>
                                    <w:rPr>
                                      <w:rFonts w:hint="eastAsia" w:ascii="Arial" w:hAnsi="Arial" w:cs="Arial"/>
                                    </w:rPr>
                                    <w:t>回用</w:t>
                                  </w:r>
                                </w:p>
                              </w:txbxContent>
                            </wps:txbx>
                            <wps:bodyPr upright="1"/>
                          </wps:wsp>
                        </a:graphicData>
                      </a:graphic>
                    </wp:anchor>
                  </w:drawing>
                </mc:Choice>
                <mc:Fallback>
                  <w:pict>
                    <v:rect id="_x0000_s1026" o:spid="_x0000_s1026" o:spt="1" style="position:absolute;left:0pt;margin-left:374.65pt;margin-top:8.2pt;height:24.5pt;width:42.2pt;z-index:251670528;mso-width-relative:page;mso-height-relative:page;" filled="f" stroked="f" coordsize="21600,21600" o:gfxdata="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4oBWnaAAAACQEAAA8A&#10;AAAAAAAAAQAgAAAAIgAAAGRycy9kb3ducmV2LnhtbFBLAQIUABQAAAAIAIdO4kCp3omqowEAAEID&#10;AAAOAAAAAAAAAAEAIAAAACkBAABkcnMvZTJvRG9jLnhtbFBLBQYAAAAABgAGAFkBAAA+BQAAAAA=&#10;">
                      <v:fill on="f" focussize="0,0"/>
                      <v:stroke on="f"/>
                      <v:imagedata o:title=""/>
                      <o:lock v:ext="edit" aspectratio="f"/>
                      <v:textbox>
                        <w:txbxContent>
                          <w:p>
                            <w:pPr>
                              <w:rPr>
                                <w:rFonts w:hint="eastAsia"/>
                              </w:rPr>
                            </w:pPr>
                            <w:r>
                              <w:rPr>
                                <w:rFonts w:hint="eastAsia" w:ascii="Arial" w:hAnsi="Arial" w:cs="Arial"/>
                              </w:rPr>
                              <w:t>回用</w:t>
                            </w:r>
                          </w:p>
                        </w:txbxContent>
                      </v:textbox>
                    </v:rect>
                  </w:pict>
                </mc:Fallback>
              </mc:AlternateContent>
            </w:r>
            <w:r>
              <w:rPr>
                <w:rFonts w:ascii="Times New Roman" w:hAnsi="Times New Roman" w:eastAsia="宋体"/>
                <w:color w:val="auto"/>
                <w:sz w:val="24"/>
              </w:rPr>
              <mc:AlternateContent>
                <mc:Choice Requires="wps">
                  <w:drawing>
                    <wp:anchor distT="0" distB="0" distL="114300" distR="114300" simplePos="0" relativeHeight="251669504" behindDoc="0" locked="0" layoutInCell="1" allowOverlap="1">
                      <wp:simplePos x="0" y="0"/>
                      <wp:positionH relativeFrom="column">
                        <wp:posOffset>3475355</wp:posOffset>
                      </wp:positionH>
                      <wp:positionV relativeFrom="paragraph">
                        <wp:posOffset>127635</wp:posOffset>
                      </wp:positionV>
                      <wp:extent cx="868680" cy="310515"/>
                      <wp:effectExtent l="4445" t="4445" r="22225" b="8890"/>
                      <wp:wrapNone/>
                      <wp:docPr id="33" name="矩形 33"/>
                      <wp:cNvGraphicFramePr/>
                      <a:graphic xmlns:a="http://schemas.openxmlformats.org/drawingml/2006/main">
                        <a:graphicData uri="http://schemas.microsoft.com/office/word/2010/wordprocessingShape">
                          <wps:wsp>
                            <wps:cNvSpPr/>
                            <wps:spPr>
                              <a:xfrm>
                                <a:off x="0" y="0"/>
                                <a:ext cx="868680" cy="31051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ascii="Arial" w:hAnsi="Arial" w:cs="Arial"/>
                                    </w:rPr>
                                    <w:t>消毒中水池</w:t>
                                  </w:r>
                                </w:p>
                              </w:txbxContent>
                            </wps:txbx>
                            <wps:bodyPr upright="1"/>
                          </wps:wsp>
                        </a:graphicData>
                      </a:graphic>
                    </wp:anchor>
                  </w:drawing>
                </mc:Choice>
                <mc:Fallback>
                  <w:pict>
                    <v:rect id="_x0000_s1026" o:spid="_x0000_s1026" o:spt="1" style="position:absolute;left:0pt;margin-left:273.65pt;margin-top:10.05pt;height:24.45pt;width:68.4pt;z-index:251669504;mso-width-relative:page;mso-height-relative:page;" filled="f" stroked="t" coordsize="21600,21600" o:gfxdata="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gh9cAAAAJAQAADwAAAAAAAAABACAAAAAiAAAAZHJzL2Rvd25yZXYu&#10;eG1sUEsBAhQAFAAAAAgAh07iQPhWygr8AQAAAQQAAA4AAAAAAAAAAQAgAAAAJgEAAGRycy9lMm9E&#10;b2MueG1sUEsFBgAAAAAGAAYAWQEAAJQFAAAAAA==&#10;">
                      <v:fill on="f" focussize="0,0"/>
                      <v:stroke color="#000000" joinstyle="miter"/>
                      <v:imagedata o:title=""/>
                      <o:lock v:ext="edit" aspectratio="f"/>
                      <v:textbox>
                        <w:txbxContent>
                          <w:p>
                            <w:pPr>
                              <w:rPr>
                                <w:rFonts w:hint="eastAsia"/>
                              </w:rPr>
                            </w:pPr>
                            <w:r>
                              <w:rPr>
                                <w:rFonts w:hint="eastAsia" w:ascii="Arial" w:hAnsi="Arial" w:cs="Arial"/>
                              </w:rPr>
                              <w:t>消毒中水池</w:t>
                            </w:r>
                          </w:p>
                        </w:txbxContent>
                      </v:textbox>
                    </v:rect>
                  </w:pict>
                </mc:Fallback>
              </mc:AlternateContent>
            </w:r>
          </w:p>
          <w:p>
            <w:pPr>
              <w:pStyle w:val="8"/>
              <w:snapToGrid w:val="0"/>
              <w:ind w:firstLine="0" w:firstLineChars="0"/>
              <w:jc w:val="center"/>
              <w:rPr>
                <w:rFonts w:hint="eastAsia" w:ascii="Times New Roman" w:hAnsi="Times New Roman" w:eastAsia="宋体"/>
                <w:color w:val="auto"/>
              </w:rPr>
            </w:pPr>
            <w:r>
              <w:rPr>
                <w:rFonts w:ascii="Times New Roman" w:hAnsi="Times New Roman" w:eastAsia="宋体"/>
                <w:color w:val="auto"/>
                <w:sz w:val="21"/>
              </w:rPr>
              <mc:AlternateContent>
                <mc:Choice Requires="wps">
                  <w:drawing>
                    <wp:anchor distT="0" distB="0" distL="114300" distR="114300" simplePos="0" relativeHeight="251671552" behindDoc="0" locked="0" layoutInCell="1" allowOverlap="1">
                      <wp:simplePos x="0" y="0"/>
                      <wp:positionH relativeFrom="column">
                        <wp:posOffset>4361180</wp:posOffset>
                      </wp:positionH>
                      <wp:positionV relativeFrom="paragraph">
                        <wp:posOffset>111125</wp:posOffset>
                      </wp:positionV>
                      <wp:extent cx="412115" cy="12700"/>
                      <wp:effectExtent l="0" t="35560" r="6985" b="27940"/>
                      <wp:wrapNone/>
                      <wp:docPr id="22" name="直接连接符 22"/>
                      <wp:cNvGraphicFramePr/>
                      <a:graphic xmlns:a="http://schemas.openxmlformats.org/drawingml/2006/main">
                        <a:graphicData uri="http://schemas.microsoft.com/office/word/2010/wordprocessingShape">
                          <wps:wsp>
                            <wps:cNvCnPr/>
                            <wps:spPr>
                              <a:xfrm flipH="1">
                                <a:off x="0" y="0"/>
                                <a:ext cx="412115" cy="1270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x;margin-left:343.4pt;margin-top:8.75pt;height:1pt;width:32.45pt;z-index:251671552;mso-width-relative:page;mso-height-relative:page;" filled="f" stroked="t" coordsize="21600,21600" o:gfxdata="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SUMSjXAAAACQEAAA8AAAAAAAAAAQAgAAAAIgAA&#10;AGRycy9kb3ducmV2LnhtbFBLAQIUABQAAAAIAIdO4kA+oGAvCQIAAPcDAAAOAAAAAAAAAAEAIAAA&#10;ACYBAABkcnMvZTJvRG9jLnhtbFBLBQYAAAAABgAGAFkBAAChBQAAAAA=&#10;">
                      <v:fill on="f" focussize="0,0"/>
                      <v:stroke color="#000000" joinstyle="round" startarrow="block"/>
                      <v:imagedata o:title=""/>
                      <o:lock v:ext="edit" aspectratio="f"/>
                    </v:line>
                  </w:pict>
                </mc:Fallback>
              </mc:AlternateContent>
            </w:r>
          </w:p>
          <w:p>
            <w:pPr>
              <w:pStyle w:val="8"/>
              <w:snapToGrid w:val="0"/>
              <w:ind w:firstLine="0" w:firstLineChars="0"/>
              <w:jc w:val="center"/>
              <w:rPr>
                <w:rFonts w:hint="eastAsia" w:ascii="Times New Roman" w:hAnsi="Times New Roman" w:eastAsia="宋体"/>
                <w:color w:val="auto"/>
              </w:rPr>
            </w:pPr>
          </w:p>
          <w:p>
            <w:pPr>
              <w:widowControl/>
              <w:spacing w:line="360" w:lineRule="auto"/>
              <w:ind w:firstLine="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图</w:t>
            </w:r>
            <w:r>
              <w:rPr>
                <w:rFonts w:hint="default" w:ascii="Times New Roman" w:hAnsi="Times New Roman" w:eastAsia="宋体" w:cs="Times New Roman"/>
                <w:b/>
                <w:bCs w:val="0"/>
                <w:color w:val="auto"/>
                <w:sz w:val="21"/>
                <w:szCs w:val="21"/>
                <w:highlight w:val="none"/>
                <w:lang w:val="en-US" w:eastAsia="zh-CN"/>
              </w:rPr>
              <w:t>7-1</w:t>
            </w:r>
            <w:r>
              <w:rPr>
                <w:rFonts w:hint="default" w:ascii="Times New Roman" w:hAnsi="Times New Roman" w:eastAsia="宋体" w:cs="Times New Roman"/>
                <w:b/>
                <w:bCs w:val="0"/>
                <w:color w:val="auto"/>
                <w:sz w:val="21"/>
                <w:szCs w:val="21"/>
                <w:highlight w:val="none"/>
              </w:rPr>
              <w:t xml:space="preserve">  污水处理设施工艺流程</w:t>
            </w:r>
            <w:r>
              <w:rPr>
                <w:rFonts w:hint="default" w:ascii="Times New Roman" w:hAnsi="Times New Roman" w:eastAsia="宋体" w:cs="Times New Roman"/>
                <w:b/>
                <w:bCs w:val="0"/>
                <w:color w:val="auto"/>
                <w:sz w:val="21"/>
                <w:szCs w:val="21"/>
                <w:highlight w:val="none"/>
                <w:lang w:eastAsia="zh-CN"/>
              </w:rPr>
              <w:t>图</w:t>
            </w:r>
          </w:p>
          <w:p>
            <w:pPr>
              <w:widowControl/>
              <w:spacing w:line="360" w:lineRule="auto"/>
              <w:jc w:val="center"/>
              <w:outlineLvl w:val="9"/>
              <w:rPr>
                <w:rFonts w:hint="default" w:ascii="Times New Roman" w:hAnsi="Times New Roman" w:eastAsia="宋体" w:cs="Times New Roman"/>
                <w:b/>
                <w:bCs w:val="0"/>
                <w:snapToGrid/>
                <w:color w:val="auto"/>
                <w:kern w:val="2"/>
                <w:sz w:val="21"/>
                <w:szCs w:val="21"/>
                <w:highlight w:val="none"/>
              </w:rPr>
            </w:pPr>
            <w:r>
              <w:rPr>
                <w:rFonts w:hint="default" w:ascii="Times New Roman" w:hAnsi="Times New Roman" w:eastAsia="宋体" w:cs="Times New Roman"/>
                <w:b/>
                <w:bCs w:val="0"/>
                <w:snapToGrid/>
                <w:color w:val="auto"/>
                <w:kern w:val="2"/>
                <w:sz w:val="21"/>
                <w:szCs w:val="21"/>
                <w:highlight w:val="none"/>
              </w:rPr>
              <w:t>表</w:t>
            </w:r>
            <w:r>
              <w:rPr>
                <w:rFonts w:hint="default" w:ascii="Times New Roman" w:hAnsi="Times New Roman" w:eastAsia="宋体" w:cs="Times New Roman"/>
                <w:b/>
                <w:bCs w:val="0"/>
                <w:snapToGrid/>
                <w:color w:val="auto"/>
                <w:kern w:val="2"/>
                <w:sz w:val="21"/>
                <w:szCs w:val="21"/>
                <w:highlight w:val="none"/>
                <w:lang w:eastAsia="zh-CN"/>
              </w:rPr>
              <w:t>7</w:t>
            </w:r>
            <w:r>
              <w:rPr>
                <w:rFonts w:hint="default" w:ascii="Times New Roman" w:hAnsi="Times New Roman" w:eastAsia="宋体" w:cs="Times New Roman"/>
                <w:b/>
                <w:bCs w:val="0"/>
                <w:snapToGrid/>
                <w:color w:val="auto"/>
                <w:kern w:val="2"/>
                <w:sz w:val="21"/>
                <w:szCs w:val="21"/>
                <w:highlight w:val="none"/>
                <w:lang w:val="en-US" w:eastAsia="zh-CN"/>
              </w:rPr>
              <w:t>-</w:t>
            </w:r>
            <w:r>
              <w:rPr>
                <w:rFonts w:hint="eastAsia" w:cs="Times New Roman"/>
                <w:b/>
                <w:bCs w:val="0"/>
                <w:snapToGrid/>
                <w:color w:val="auto"/>
                <w:kern w:val="2"/>
                <w:sz w:val="21"/>
                <w:szCs w:val="21"/>
                <w:highlight w:val="none"/>
                <w:lang w:val="en-US" w:eastAsia="zh-CN"/>
              </w:rPr>
              <w:t>8</w:t>
            </w:r>
            <w:r>
              <w:rPr>
                <w:rFonts w:hint="default" w:ascii="Times New Roman" w:hAnsi="Times New Roman" w:eastAsia="宋体" w:cs="Times New Roman"/>
                <w:b/>
                <w:bCs w:val="0"/>
                <w:snapToGrid/>
                <w:color w:val="auto"/>
                <w:kern w:val="2"/>
                <w:sz w:val="21"/>
                <w:szCs w:val="21"/>
                <w:highlight w:val="none"/>
              </w:rPr>
              <w:t xml:space="preserve"> 污水处理站进出水水质一览表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37"/>
              <w:gridCol w:w="1182"/>
              <w:gridCol w:w="1183"/>
              <w:gridCol w:w="1183"/>
              <w:gridCol w:w="1183"/>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3437" w:type="dxa"/>
                  <w:tcBorders>
                    <w:tl2br w:val="nil"/>
                    <w:tr2bl w:val="nil"/>
                  </w:tcBorders>
                  <w:noWrap w:val="0"/>
                  <w:vAlign w:val="center"/>
                </w:tcPr>
                <w:p>
                  <w:pPr>
                    <w:spacing w:line="240" w:lineRule="auto"/>
                    <w:jc w:val="center"/>
                    <w:rPr>
                      <w:rFonts w:ascii="Times New Roman" w:hAnsi="Times New Roman" w:eastAsia="宋体"/>
                      <w:color w:val="auto"/>
                      <w:sz w:val="21"/>
                    </w:rPr>
                  </w:pPr>
                  <w:r>
                    <w:rPr>
                      <w:rFonts w:ascii="Times New Roman" w:hAnsi="Times New Roman" w:eastAsia="宋体"/>
                      <w:color w:val="auto"/>
                      <w:sz w:val="21"/>
                    </w:rPr>
                    <w:t>工    艺    段</w:t>
                  </w:r>
                </w:p>
              </w:tc>
              <w:tc>
                <w:tcPr>
                  <w:tcW w:w="1182" w:type="dxa"/>
                  <w:tcBorders>
                    <w:tl2br w:val="nil"/>
                    <w:tr2bl w:val="nil"/>
                  </w:tcBorders>
                  <w:noWrap w:val="0"/>
                  <w:vAlign w:val="center"/>
                </w:tcPr>
                <w:p>
                  <w:pPr>
                    <w:spacing w:line="240" w:lineRule="auto"/>
                    <w:jc w:val="center"/>
                    <w:rPr>
                      <w:rFonts w:ascii="Times New Roman" w:hAnsi="Times New Roman" w:eastAsia="宋体"/>
                      <w:color w:val="auto"/>
                      <w:sz w:val="21"/>
                    </w:rPr>
                  </w:pPr>
                  <w:r>
                    <w:rPr>
                      <w:rFonts w:ascii="Times New Roman" w:hAnsi="Times New Roman" w:eastAsia="宋体"/>
                      <w:color w:val="auto"/>
                      <w:sz w:val="21"/>
                    </w:rPr>
                    <w:t>COD</w:t>
                  </w:r>
                </w:p>
                <w:p>
                  <w:pPr>
                    <w:spacing w:line="240" w:lineRule="auto"/>
                    <w:jc w:val="center"/>
                    <w:rPr>
                      <w:rFonts w:ascii="Times New Roman" w:hAnsi="Times New Roman" w:eastAsia="宋体"/>
                      <w:color w:val="auto"/>
                      <w:sz w:val="21"/>
                    </w:rPr>
                  </w:pPr>
                  <w:r>
                    <w:rPr>
                      <w:rFonts w:ascii="Times New Roman" w:hAnsi="Times New Roman" w:eastAsia="宋体"/>
                      <w:color w:val="auto"/>
                      <w:sz w:val="21"/>
                    </w:rPr>
                    <w:t>(mg/</w:t>
                  </w:r>
                  <w:r>
                    <w:rPr>
                      <w:rFonts w:hint="eastAsia" w:ascii="Times New Roman" w:hAnsi="Times New Roman" w:eastAsia="宋体"/>
                      <w:color w:val="auto"/>
                      <w:sz w:val="21"/>
                    </w:rPr>
                    <w:t>L</w:t>
                  </w:r>
                  <w:r>
                    <w:rPr>
                      <w:rFonts w:ascii="Times New Roman" w:hAnsi="Times New Roman" w:eastAsia="宋体"/>
                      <w:color w:val="auto"/>
                      <w:sz w:val="21"/>
                    </w:rPr>
                    <w:t>)</w:t>
                  </w:r>
                </w:p>
              </w:tc>
              <w:tc>
                <w:tcPr>
                  <w:tcW w:w="1183" w:type="dxa"/>
                  <w:tcBorders>
                    <w:tl2br w:val="nil"/>
                    <w:tr2bl w:val="nil"/>
                  </w:tcBorders>
                  <w:noWrap w:val="0"/>
                  <w:vAlign w:val="center"/>
                </w:tcPr>
                <w:p>
                  <w:pPr>
                    <w:spacing w:line="240" w:lineRule="auto"/>
                    <w:jc w:val="center"/>
                    <w:rPr>
                      <w:rFonts w:ascii="Times New Roman" w:hAnsi="Times New Roman" w:eastAsia="宋体"/>
                      <w:color w:val="auto"/>
                      <w:sz w:val="21"/>
                    </w:rPr>
                  </w:pPr>
                  <w:r>
                    <w:rPr>
                      <w:rFonts w:ascii="Times New Roman" w:hAnsi="Times New Roman" w:eastAsia="宋体"/>
                      <w:color w:val="auto"/>
                      <w:sz w:val="21"/>
                    </w:rPr>
                    <w:t>BOD</w:t>
                  </w:r>
                </w:p>
                <w:p>
                  <w:pPr>
                    <w:spacing w:line="240" w:lineRule="auto"/>
                    <w:jc w:val="center"/>
                    <w:rPr>
                      <w:rFonts w:ascii="Times New Roman" w:hAnsi="Times New Roman" w:eastAsia="宋体"/>
                      <w:color w:val="auto"/>
                      <w:sz w:val="21"/>
                    </w:rPr>
                  </w:pPr>
                  <w:r>
                    <w:rPr>
                      <w:rFonts w:ascii="Times New Roman" w:hAnsi="Times New Roman" w:eastAsia="宋体"/>
                      <w:color w:val="auto"/>
                      <w:sz w:val="21"/>
                    </w:rPr>
                    <w:t>(mg/</w:t>
                  </w:r>
                  <w:r>
                    <w:rPr>
                      <w:rFonts w:hint="eastAsia" w:ascii="Times New Roman" w:hAnsi="Times New Roman" w:eastAsia="宋体"/>
                      <w:color w:val="auto"/>
                      <w:sz w:val="21"/>
                    </w:rPr>
                    <w:t>L</w:t>
                  </w:r>
                  <w:r>
                    <w:rPr>
                      <w:rFonts w:ascii="Times New Roman" w:hAnsi="Times New Roman" w:eastAsia="宋体"/>
                      <w:color w:val="auto"/>
                      <w:sz w:val="21"/>
                    </w:rPr>
                    <w:t>)</w:t>
                  </w:r>
                </w:p>
              </w:tc>
              <w:tc>
                <w:tcPr>
                  <w:tcW w:w="1183" w:type="dxa"/>
                  <w:tcBorders>
                    <w:tl2br w:val="nil"/>
                    <w:tr2bl w:val="nil"/>
                  </w:tcBorders>
                  <w:noWrap w:val="0"/>
                  <w:vAlign w:val="top"/>
                </w:tcPr>
                <w:p>
                  <w:pPr>
                    <w:spacing w:line="240" w:lineRule="auto"/>
                    <w:jc w:val="center"/>
                    <w:rPr>
                      <w:rFonts w:ascii="Times New Roman" w:hAnsi="Times New Roman" w:eastAsia="宋体"/>
                      <w:color w:val="auto"/>
                      <w:sz w:val="21"/>
                    </w:rPr>
                  </w:pPr>
                  <w:r>
                    <w:rPr>
                      <w:rFonts w:ascii="Times New Roman" w:hAnsi="Times New Roman" w:eastAsia="宋体"/>
                      <w:color w:val="auto"/>
                      <w:sz w:val="21"/>
                    </w:rPr>
                    <w:t>氨氮(mg/</w:t>
                  </w:r>
                  <w:r>
                    <w:rPr>
                      <w:rFonts w:hint="eastAsia" w:ascii="Times New Roman" w:hAnsi="Times New Roman" w:eastAsia="宋体"/>
                      <w:color w:val="auto"/>
                      <w:sz w:val="21"/>
                    </w:rPr>
                    <w:t>L</w:t>
                  </w:r>
                  <w:r>
                    <w:rPr>
                      <w:rFonts w:ascii="Times New Roman" w:hAnsi="Times New Roman" w:eastAsia="宋体"/>
                      <w:color w:val="auto"/>
                      <w:sz w:val="21"/>
                    </w:rPr>
                    <w:t>)</w:t>
                  </w:r>
                </w:p>
              </w:tc>
              <w:tc>
                <w:tcPr>
                  <w:tcW w:w="1183" w:type="dxa"/>
                  <w:tcBorders>
                    <w:tl2br w:val="nil"/>
                    <w:tr2bl w:val="nil"/>
                  </w:tcBorders>
                  <w:noWrap w:val="0"/>
                  <w:vAlign w:val="center"/>
                </w:tcPr>
                <w:p>
                  <w:pPr>
                    <w:spacing w:line="240" w:lineRule="auto"/>
                    <w:jc w:val="center"/>
                    <w:rPr>
                      <w:rFonts w:ascii="Times New Roman" w:hAnsi="Times New Roman" w:eastAsia="宋体"/>
                      <w:color w:val="auto"/>
                      <w:sz w:val="21"/>
                    </w:rPr>
                  </w:pPr>
                  <w:r>
                    <w:rPr>
                      <w:rFonts w:ascii="Times New Roman" w:hAnsi="Times New Roman" w:eastAsia="宋体"/>
                      <w:color w:val="auto"/>
                      <w:sz w:val="21"/>
                    </w:rPr>
                    <w:t>SS</w:t>
                  </w:r>
                </w:p>
                <w:p>
                  <w:pPr>
                    <w:spacing w:line="240" w:lineRule="auto"/>
                    <w:jc w:val="center"/>
                    <w:rPr>
                      <w:rFonts w:ascii="Times New Roman" w:hAnsi="Times New Roman" w:eastAsia="宋体"/>
                      <w:color w:val="auto"/>
                      <w:sz w:val="21"/>
                    </w:rPr>
                  </w:pPr>
                  <w:r>
                    <w:rPr>
                      <w:rFonts w:ascii="Times New Roman" w:hAnsi="Times New Roman" w:eastAsia="宋体"/>
                      <w:color w:val="auto"/>
                      <w:sz w:val="21"/>
                    </w:rPr>
                    <w:t>(mg/</w:t>
                  </w:r>
                  <w:r>
                    <w:rPr>
                      <w:rFonts w:hint="eastAsia" w:ascii="Times New Roman" w:hAnsi="Times New Roman" w:eastAsia="宋体"/>
                      <w:color w:val="auto"/>
                      <w:sz w:val="21"/>
                    </w:rPr>
                    <w:t>L</w:t>
                  </w:r>
                  <w:r>
                    <w:rPr>
                      <w:rFonts w:ascii="Times New Roman" w:hAnsi="Times New Roman" w:eastAsia="宋体"/>
                      <w:color w:val="auto"/>
                      <w:sz w:val="21"/>
                    </w:rPr>
                    <w:t>)</w:t>
                  </w:r>
                </w:p>
              </w:tc>
              <w:tc>
                <w:tcPr>
                  <w:tcW w:w="1186" w:type="dxa"/>
                  <w:tcBorders>
                    <w:tl2br w:val="nil"/>
                    <w:tr2bl w:val="nil"/>
                  </w:tcBorders>
                  <w:noWrap w:val="0"/>
                  <w:vAlign w:val="top"/>
                </w:tcPr>
                <w:p>
                  <w:pPr>
                    <w:spacing w:line="240" w:lineRule="auto"/>
                    <w:jc w:val="center"/>
                    <w:rPr>
                      <w:rFonts w:hint="eastAsia" w:ascii="Times New Roman" w:hAnsi="Times New Roman" w:eastAsia="宋体"/>
                      <w:color w:val="auto"/>
                      <w:sz w:val="21"/>
                    </w:rPr>
                  </w:pPr>
                  <w:r>
                    <w:rPr>
                      <w:rFonts w:hint="eastAsia" w:ascii="Times New Roman" w:hAnsi="Times New Roman" w:eastAsia="宋体"/>
                      <w:color w:val="auto"/>
                      <w:sz w:val="21"/>
                    </w:rPr>
                    <w:t>PH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3437" w:type="dxa"/>
                  <w:tcBorders>
                    <w:tl2br w:val="nil"/>
                    <w:tr2bl w:val="nil"/>
                  </w:tcBorders>
                  <w:noWrap w:val="0"/>
                  <w:vAlign w:val="center"/>
                </w:tcPr>
                <w:p>
                  <w:pPr>
                    <w:spacing w:line="240" w:lineRule="auto"/>
                    <w:jc w:val="center"/>
                    <w:rPr>
                      <w:rFonts w:hint="eastAsia" w:ascii="Times New Roman" w:hAnsi="Times New Roman" w:eastAsia="宋体"/>
                      <w:color w:val="auto"/>
                      <w:sz w:val="21"/>
                    </w:rPr>
                  </w:pPr>
                  <w:r>
                    <w:rPr>
                      <w:rFonts w:ascii="Times New Roman" w:hAnsi="Times New Roman" w:eastAsia="宋体"/>
                      <w:color w:val="auto"/>
                      <w:sz w:val="21"/>
                    </w:rPr>
                    <w:t>进水</w:t>
                  </w:r>
                  <w:r>
                    <w:rPr>
                      <w:rFonts w:hint="eastAsia" w:ascii="Times New Roman" w:hAnsi="Times New Roman" w:eastAsia="宋体"/>
                      <w:color w:val="auto"/>
                      <w:sz w:val="21"/>
                    </w:rPr>
                    <w:t>水质</w:t>
                  </w:r>
                </w:p>
              </w:tc>
              <w:tc>
                <w:tcPr>
                  <w:tcW w:w="1182" w:type="dxa"/>
                  <w:tcBorders>
                    <w:tl2br w:val="nil"/>
                    <w:tr2bl w:val="nil"/>
                  </w:tcBorders>
                  <w:noWrap w:val="0"/>
                  <w:vAlign w:val="center"/>
                </w:tcPr>
                <w:p>
                  <w:pPr>
                    <w:spacing w:line="240" w:lineRule="auto"/>
                    <w:jc w:val="center"/>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350</w:t>
                  </w:r>
                </w:p>
              </w:tc>
              <w:tc>
                <w:tcPr>
                  <w:tcW w:w="1183" w:type="dxa"/>
                  <w:tcBorders>
                    <w:tl2br w:val="nil"/>
                    <w:tr2bl w:val="nil"/>
                  </w:tcBorders>
                  <w:noWrap w:val="0"/>
                  <w:vAlign w:val="center"/>
                </w:tcPr>
                <w:p>
                  <w:pPr>
                    <w:spacing w:line="240" w:lineRule="auto"/>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200</w:t>
                  </w:r>
                </w:p>
              </w:tc>
              <w:tc>
                <w:tcPr>
                  <w:tcW w:w="1183" w:type="dxa"/>
                  <w:tcBorders>
                    <w:tl2br w:val="nil"/>
                    <w:tr2bl w:val="nil"/>
                  </w:tcBorders>
                  <w:noWrap w:val="0"/>
                  <w:vAlign w:val="center"/>
                </w:tcPr>
                <w:p>
                  <w:pPr>
                    <w:spacing w:line="240" w:lineRule="auto"/>
                    <w:jc w:val="center"/>
                    <w:rPr>
                      <w:rFonts w:hint="default" w:ascii="Times New Roman" w:hAnsi="Times New Roman" w:eastAsia="宋体"/>
                      <w:color w:val="auto"/>
                      <w:sz w:val="21"/>
                      <w:lang w:val="en-US" w:eastAsia="zh-CN"/>
                    </w:rPr>
                  </w:pPr>
                  <w:r>
                    <w:rPr>
                      <w:rFonts w:hint="eastAsia" w:eastAsia="宋体"/>
                      <w:color w:val="auto"/>
                      <w:sz w:val="21"/>
                      <w:lang w:val="en-US" w:eastAsia="zh-CN"/>
                    </w:rPr>
                    <w:t>35</w:t>
                  </w:r>
                </w:p>
              </w:tc>
              <w:tc>
                <w:tcPr>
                  <w:tcW w:w="1183" w:type="dxa"/>
                  <w:tcBorders>
                    <w:tl2br w:val="nil"/>
                    <w:tr2bl w:val="nil"/>
                  </w:tcBorders>
                  <w:noWrap w:val="0"/>
                  <w:vAlign w:val="center"/>
                </w:tcPr>
                <w:p>
                  <w:pPr>
                    <w:spacing w:line="240" w:lineRule="auto"/>
                    <w:jc w:val="center"/>
                    <w:rPr>
                      <w:rFonts w:hint="eastAsia" w:ascii="Times New Roman" w:hAnsi="Times New Roman" w:eastAsia="宋体"/>
                      <w:color w:val="auto"/>
                      <w:sz w:val="21"/>
                    </w:rPr>
                  </w:pPr>
                  <w:r>
                    <w:rPr>
                      <w:rFonts w:hint="eastAsia" w:ascii="Times New Roman" w:hAnsi="Times New Roman" w:eastAsia="宋体"/>
                      <w:color w:val="auto"/>
                      <w:sz w:val="21"/>
                      <w:lang w:val="en-US" w:eastAsia="zh-CN"/>
                    </w:rPr>
                    <w:t>2</w:t>
                  </w:r>
                  <w:r>
                    <w:rPr>
                      <w:rFonts w:hint="eastAsia" w:ascii="Times New Roman" w:hAnsi="Times New Roman" w:eastAsia="宋体"/>
                      <w:color w:val="auto"/>
                      <w:sz w:val="21"/>
                    </w:rPr>
                    <w:t>00</w:t>
                  </w:r>
                </w:p>
              </w:tc>
              <w:tc>
                <w:tcPr>
                  <w:tcW w:w="1186" w:type="dxa"/>
                  <w:tcBorders>
                    <w:tl2br w:val="nil"/>
                    <w:tr2bl w:val="nil"/>
                  </w:tcBorders>
                  <w:noWrap w:val="0"/>
                  <w:vAlign w:val="center"/>
                </w:tcPr>
                <w:p>
                  <w:pPr>
                    <w:spacing w:line="240" w:lineRule="auto"/>
                    <w:jc w:val="center"/>
                    <w:rPr>
                      <w:rFonts w:hint="eastAsia" w:ascii="Times New Roman" w:hAnsi="Times New Roman" w:eastAsia="宋体"/>
                      <w:color w:val="auto"/>
                      <w:sz w:val="21"/>
                    </w:rPr>
                  </w:pPr>
                  <w:r>
                    <w:rPr>
                      <w:rFonts w:hint="eastAsia" w:ascii="Times New Roman" w:hAnsi="Times New Roman" w:eastAsia="宋体"/>
                      <w:color w:val="auto"/>
                      <w:sz w:val="21"/>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437" w:type="dxa"/>
                  <w:tcBorders>
                    <w:tl2br w:val="nil"/>
                    <w:tr2bl w:val="nil"/>
                  </w:tcBorders>
                  <w:noWrap w:val="0"/>
                  <w:vAlign w:val="center"/>
                </w:tcPr>
                <w:p>
                  <w:pPr>
                    <w:spacing w:line="240" w:lineRule="auto"/>
                    <w:jc w:val="center"/>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出水水质</w:t>
                  </w:r>
                </w:p>
              </w:tc>
              <w:tc>
                <w:tcPr>
                  <w:tcW w:w="1182" w:type="dxa"/>
                  <w:tcBorders>
                    <w:tl2br w:val="nil"/>
                    <w:tr2bl w:val="nil"/>
                  </w:tcBorders>
                  <w:noWrap w:val="0"/>
                  <w:vAlign w:val="center"/>
                </w:tcPr>
                <w:p>
                  <w:pPr>
                    <w:spacing w:line="240" w:lineRule="auto"/>
                    <w:jc w:val="center"/>
                    <w:rPr>
                      <w:rFonts w:hint="eastAsia" w:ascii="Times New Roman" w:hAnsi="Times New Roman" w:eastAsia="宋体"/>
                      <w:color w:val="auto"/>
                      <w:sz w:val="21"/>
                    </w:rPr>
                  </w:pPr>
                  <w:r>
                    <w:rPr>
                      <w:rFonts w:hint="eastAsia" w:ascii="Times New Roman" w:hAnsi="Times New Roman" w:eastAsia="宋体"/>
                      <w:color w:val="auto"/>
                      <w:sz w:val="21"/>
                    </w:rPr>
                    <w:t>40</w:t>
                  </w:r>
                </w:p>
              </w:tc>
              <w:tc>
                <w:tcPr>
                  <w:tcW w:w="1183" w:type="dxa"/>
                  <w:tcBorders>
                    <w:tl2br w:val="nil"/>
                    <w:tr2bl w:val="nil"/>
                  </w:tcBorders>
                  <w:noWrap w:val="0"/>
                  <w:vAlign w:val="center"/>
                </w:tcPr>
                <w:p>
                  <w:pPr>
                    <w:spacing w:line="240" w:lineRule="auto"/>
                    <w:jc w:val="center"/>
                    <w:rPr>
                      <w:rFonts w:hint="eastAsia" w:ascii="Times New Roman" w:hAnsi="Times New Roman" w:eastAsia="宋体"/>
                      <w:color w:val="auto"/>
                      <w:sz w:val="21"/>
                    </w:rPr>
                  </w:pPr>
                  <w:r>
                    <w:rPr>
                      <w:rFonts w:hint="eastAsia" w:ascii="Times New Roman" w:hAnsi="Times New Roman" w:eastAsia="宋体"/>
                      <w:color w:val="auto"/>
                      <w:sz w:val="21"/>
                    </w:rPr>
                    <w:t>8</w:t>
                  </w:r>
                </w:p>
              </w:tc>
              <w:tc>
                <w:tcPr>
                  <w:tcW w:w="1183" w:type="dxa"/>
                  <w:tcBorders>
                    <w:tl2br w:val="nil"/>
                    <w:tr2bl w:val="nil"/>
                  </w:tcBorders>
                  <w:noWrap w:val="0"/>
                  <w:vAlign w:val="center"/>
                </w:tcPr>
                <w:p>
                  <w:pPr>
                    <w:spacing w:line="240" w:lineRule="auto"/>
                    <w:jc w:val="center"/>
                    <w:rPr>
                      <w:rFonts w:hint="eastAsia" w:ascii="Times New Roman" w:hAnsi="Times New Roman" w:eastAsia="宋体"/>
                      <w:color w:val="auto"/>
                      <w:sz w:val="21"/>
                    </w:rPr>
                  </w:pPr>
                  <w:r>
                    <w:rPr>
                      <w:rFonts w:hint="eastAsia" w:ascii="Times New Roman" w:hAnsi="Times New Roman" w:eastAsia="宋体"/>
                      <w:color w:val="auto"/>
                      <w:sz w:val="21"/>
                    </w:rPr>
                    <w:t>5</w:t>
                  </w:r>
                </w:p>
              </w:tc>
              <w:tc>
                <w:tcPr>
                  <w:tcW w:w="1183" w:type="dxa"/>
                  <w:tcBorders>
                    <w:tl2br w:val="nil"/>
                    <w:tr2bl w:val="nil"/>
                  </w:tcBorders>
                  <w:noWrap w:val="0"/>
                  <w:vAlign w:val="center"/>
                </w:tcPr>
                <w:p>
                  <w:pPr>
                    <w:spacing w:line="240" w:lineRule="auto"/>
                    <w:jc w:val="center"/>
                    <w:rPr>
                      <w:rFonts w:hint="eastAsia" w:ascii="Times New Roman" w:hAnsi="Times New Roman" w:eastAsia="宋体"/>
                      <w:color w:val="auto"/>
                      <w:sz w:val="21"/>
                    </w:rPr>
                  </w:pPr>
                  <w:r>
                    <w:rPr>
                      <w:rFonts w:hint="eastAsia" w:ascii="Times New Roman" w:hAnsi="Times New Roman" w:eastAsia="宋体"/>
                      <w:color w:val="auto"/>
                      <w:sz w:val="21"/>
                    </w:rPr>
                    <w:t>6</w:t>
                  </w:r>
                </w:p>
              </w:tc>
              <w:tc>
                <w:tcPr>
                  <w:tcW w:w="1186" w:type="dxa"/>
                  <w:tcBorders>
                    <w:tl2br w:val="nil"/>
                    <w:tr2bl w:val="nil"/>
                  </w:tcBorders>
                  <w:noWrap w:val="0"/>
                  <w:vAlign w:val="center"/>
                </w:tcPr>
                <w:p>
                  <w:pPr>
                    <w:spacing w:line="240" w:lineRule="auto"/>
                    <w:jc w:val="center"/>
                    <w:rPr>
                      <w:rFonts w:hint="eastAsia" w:ascii="Times New Roman" w:hAnsi="Times New Roman" w:eastAsia="宋体"/>
                      <w:color w:val="auto"/>
                      <w:sz w:val="21"/>
                    </w:rPr>
                  </w:pPr>
                  <w:r>
                    <w:rPr>
                      <w:rFonts w:hint="eastAsia" w:ascii="Times New Roman" w:hAnsi="Times New Roman" w:eastAsia="宋体"/>
                      <w:color w:val="auto"/>
                      <w:sz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3437" w:type="dxa"/>
                  <w:tcBorders>
                    <w:tl2br w:val="nil"/>
                    <w:tr2bl w:val="nil"/>
                  </w:tcBorders>
                  <w:noWrap w:val="0"/>
                  <w:vAlign w:val="center"/>
                </w:tcPr>
                <w:p>
                  <w:pPr>
                    <w:spacing w:line="240" w:lineRule="auto"/>
                    <w:jc w:val="center"/>
                    <w:rPr>
                      <w:rFonts w:ascii="Times New Roman" w:hAnsi="Times New Roman" w:eastAsia="宋体"/>
                      <w:color w:val="auto"/>
                      <w:sz w:val="21"/>
                    </w:rPr>
                  </w:pPr>
                  <w:r>
                    <w:rPr>
                      <w:rFonts w:hint="eastAsia" w:ascii="Times New Roman" w:hAnsi="Times New Roman" w:eastAsia="宋体"/>
                      <w:color w:val="auto"/>
                      <w:sz w:val="21"/>
                    </w:rPr>
                    <w:t>《</w:t>
                  </w:r>
                  <w:r>
                    <w:rPr>
                      <w:rFonts w:ascii="Times New Roman" w:hAnsi="Times New Roman" w:eastAsia="宋体"/>
                      <w:color w:val="auto"/>
                      <w:sz w:val="21"/>
                    </w:rPr>
                    <w:t xml:space="preserve">城市污水再生利用 </w:t>
                  </w:r>
                  <w:r>
                    <w:rPr>
                      <w:rFonts w:hint="eastAsia" w:ascii="Times New Roman" w:hAnsi="Times New Roman" w:eastAsia="宋体"/>
                      <w:color w:val="auto"/>
                      <w:sz w:val="21"/>
                      <w:lang w:eastAsia="zh-CN"/>
                    </w:rPr>
                    <w:t>城市杂用水水质</w:t>
                  </w:r>
                  <w:r>
                    <w:rPr>
                      <w:rFonts w:hint="eastAsia" w:ascii="Times New Roman" w:hAnsi="Times New Roman" w:eastAsia="宋体"/>
                      <w:color w:val="auto"/>
                      <w:sz w:val="21"/>
                    </w:rPr>
                    <w:t>》</w:t>
                  </w:r>
                  <w:r>
                    <w:rPr>
                      <w:rFonts w:ascii="Times New Roman" w:hAnsi="Times New Roman" w:eastAsia="宋体"/>
                      <w:color w:val="auto"/>
                      <w:sz w:val="21"/>
                    </w:rPr>
                    <w:t>（</w:t>
                  </w:r>
                  <w:r>
                    <w:rPr>
                      <w:rFonts w:hint="default" w:ascii="Times New Roman" w:hAnsi="Times New Roman" w:eastAsia="宋体" w:cs="Times New Roman"/>
                      <w:color w:val="auto"/>
                      <w:sz w:val="21"/>
                      <w:szCs w:val="21"/>
                      <w:lang w:eastAsia="zh-CN"/>
                    </w:rPr>
                    <w:t>GB</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T</w:t>
                  </w:r>
                  <w:r>
                    <w:rPr>
                      <w:rFonts w:hint="eastAsia" w:ascii="Times New Roman" w:hAnsi="Times New Roman" w:eastAsia="宋体" w:cs="Times New Roman"/>
                      <w:color w:val="auto"/>
                      <w:sz w:val="21"/>
                      <w:szCs w:val="21"/>
                      <w:lang w:val="en-US" w:eastAsia="zh-CN"/>
                    </w:rPr>
                    <w:t>19923-2005</w:t>
                  </w:r>
                  <w:r>
                    <w:rPr>
                      <w:rFonts w:ascii="Times New Roman" w:hAnsi="Times New Roman" w:eastAsia="宋体"/>
                      <w:color w:val="auto"/>
                      <w:sz w:val="21"/>
                    </w:rPr>
                    <w:t>）</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宋体"/>
                      <w:color w:val="auto"/>
                      <w:sz w:val="21"/>
                    </w:rPr>
                  </w:pPr>
                  <w:r>
                    <w:rPr>
                      <w:rFonts w:hint="eastAsia" w:ascii="Times New Roman" w:hAnsi="Times New Roman" w:eastAsia="宋体" w:cs="Times New Roman"/>
                      <w:color w:val="auto"/>
                      <w:sz w:val="21"/>
                      <w:szCs w:val="21"/>
                      <w:lang w:val="en-US" w:eastAsia="zh-CN"/>
                    </w:rPr>
                    <w:t>——</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olor w:val="auto"/>
                      <w:sz w:val="21"/>
                      <w:lang w:val="en-US"/>
                    </w:rPr>
                  </w:pPr>
                  <w:r>
                    <w:rPr>
                      <w:rFonts w:hint="eastAsia" w:cs="Times New Roman"/>
                      <w:color w:val="auto"/>
                      <w:sz w:val="21"/>
                      <w:szCs w:val="21"/>
                      <w:lang w:val="en-US" w:eastAsia="zh-CN"/>
                    </w:rPr>
                    <w:t>20</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宋体"/>
                      <w:color w:val="auto"/>
                      <w:sz w:val="21"/>
                    </w:rPr>
                  </w:pPr>
                  <w:r>
                    <w:rPr>
                      <w:rFonts w:hint="eastAsia" w:ascii="Times New Roman" w:hAnsi="Times New Roman" w:eastAsia="宋体" w:cs="Times New Roman"/>
                      <w:color w:val="auto"/>
                      <w:sz w:val="21"/>
                      <w:szCs w:val="21"/>
                      <w:lang w:val="en-US" w:eastAsia="zh-CN"/>
                    </w:rPr>
                    <w:t>20</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宋体"/>
                      <w:color w:val="auto"/>
                      <w:sz w:val="21"/>
                    </w:rPr>
                  </w:pPr>
                  <w:r>
                    <w:rPr>
                      <w:rFonts w:hint="eastAsia" w:ascii="Times New Roman" w:hAnsi="Times New Roman" w:eastAsia="宋体" w:cs="Times New Roman"/>
                      <w:color w:val="auto"/>
                      <w:sz w:val="21"/>
                      <w:szCs w:val="21"/>
                      <w:lang w:val="en-US" w:eastAsia="zh-CN"/>
                    </w:rPr>
                    <w:t>——</w:t>
                  </w:r>
                </w:p>
              </w:tc>
              <w:tc>
                <w:tcPr>
                  <w:tcW w:w="1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宋体"/>
                      <w:color w:val="auto"/>
                      <w:sz w:val="21"/>
                    </w:rPr>
                  </w:pPr>
                  <w:r>
                    <w:rPr>
                      <w:rFonts w:hint="eastAsia" w:ascii="Times New Roman" w:hAnsi="Times New Roman" w:eastAsia="宋体" w:cs="Times New Roman"/>
                      <w:color w:val="auto"/>
                      <w:sz w:val="21"/>
                      <w:szCs w:val="21"/>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3437" w:type="dxa"/>
                  <w:tcBorders>
                    <w:tl2br w:val="nil"/>
                    <w:tr2bl w:val="nil"/>
                  </w:tcBorders>
                  <w:noWrap w:val="0"/>
                  <w:vAlign w:val="top"/>
                </w:tcPr>
                <w:p>
                  <w:pPr>
                    <w:spacing w:line="240" w:lineRule="auto"/>
                    <w:jc w:val="center"/>
                    <w:rPr>
                      <w:rFonts w:hint="eastAsia" w:ascii="Times New Roman" w:hAnsi="Times New Roman" w:eastAsia="宋体"/>
                      <w:color w:val="auto"/>
                      <w:sz w:val="21"/>
                    </w:rPr>
                  </w:pPr>
                  <w:r>
                    <w:rPr>
                      <w:rFonts w:hint="default"/>
                      <w:color w:val="auto"/>
                      <w:sz w:val="21"/>
                      <w:lang w:val="en-US" w:eastAsia="zh-CN"/>
                    </w:rPr>
                    <w:t>《城市污水再生利用 工业用水水质》（GBT19923-2005）</w:t>
                  </w:r>
                </w:p>
              </w:tc>
              <w:tc>
                <w:tcPr>
                  <w:tcW w:w="1182" w:type="dxa"/>
                  <w:tcBorders>
                    <w:tl2br w:val="nil"/>
                    <w:tr2bl w:val="nil"/>
                  </w:tcBorders>
                  <w:noWrap w:val="0"/>
                  <w:vAlign w:val="top"/>
                </w:tcPr>
                <w:p>
                  <w:pPr>
                    <w:spacing w:line="240" w:lineRule="auto"/>
                    <w:jc w:val="center"/>
                    <w:rPr>
                      <w:rFonts w:hint="default" w:ascii="Times New Roman" w:hAnsi="Times New Roman" w:eastAsia="宋体" w:cs="Times New Roman"/>
                      <w:color w:val="auto"/>
                      <w:sz w:val="21"/>
                      <w:szCs w:val="24"/>
                      <w:lang w:val="en-US" w:eastAsia="zh-CN"/>
                    </w:rPr>
                  </w:pPr>
                  <w:r>
                    <w:rPr>
                      <w:rFonts w:hint="default"/>
                      <w:color w:val="auto"/>
                      <w:sz w:val="21"/>
                      <w:szCs w:val="24"/>
                      <w:lang w:val="en-US" w:eastAsia="zh-CN"/>
                    </w:rPr>
                    <w:t>60</w:t>
                  </w:r>
                </w:p>
              </w:tc>
              <w:tc>
                <w:tcPr>
                  <w:tcW w:w="1183" w:type="dxa"/>
                  <w:tcBorders>
                    <w:tl2br w:val="nil"/>
                    <w:tr2bl w:val="nil"/>
                  </w:tcBorders>
                  <w:noWrap w:val="0"/>
                  <w:vAlign w:val="top"/>
                </w:tcPr>
                <w:p>
                  <w:pPr>
                    <w:spacing w:line="240" w:lineRule="auto"/>
                    <w:jc w:val="center"/>
                    <w:rPr>
                      <w:rFonts w:hint="default" w:cs="Times New Roman"/>
                      <w:color w:val="auto"/>
                      <w:sz w:val="21"/>
                      <w:szCs w:val="24"/>
                      <w:lang w:val="en-US" w:eastAsia="zh-CN"/>
                    </w:rPr>
                  </w:pPr>
                  <w:r>
                    <w:rPr>
                      <w:rFonts w:hint="default"/>
                      <w:color w:val="auto"/>
                      <w:sz w:val="21"/>
                      <w:szCs w:val="24"/>
                      <w:lang w:val="en-US" w:eastAsia="zh-CN"/>
                    </w:rPr>
                    <w:t>10</w:t>
                  </w:r>
                </w:p>
              </w:tc>
              <w:tc>
                <w:tcPr>
                  <w:tcW w:w="1183" w:type="dxa"/>
                  <w:tcBorders>
                    <w:tl2br w:val="nil"/>
                    <w:tr2bl w:val="nil"/>
                  </w:tcBorders>
                  <w:noWrap w:val="0"/>
                  <w:vAlign w:val="top"/>
                </w:tcPr>
                <w:p>
                  <w:pPr>
                    <w:spacing w:line="240" w:lineRule="auto"/>
                    <w:jc w:val="center"/>
                    <w:rPr>
                      <w:rFonts w:hint="default" w:ascii="Times New Roman" w:hAnsi="Times New Roman" w:eastAsia="宋体" w:cs="Times New Roman"/>
                      <w:color w:val="auto"/>
                      <w:sz w:val="21"/>
                      <w:szCs w:val="24"/>
                      <w:lang w:val="en-US" w:eastAsia="zh-CN"/>
                    </w:rPr>
                  </w:pPr>
                  <w:r>
                    <w:rPr>
                      <w:rFonts w:hint="default"/>
                      <w:color w:val="auto"/>
                      <w:sz w:val="21"/>
                      <w:szCs w:val="24"/>
                      <w:lang w:val="en-US" w:eastAsia="zh-CN"/>
                    </w:rPr>
                    <w:t>10</w:t>
                  </w:r>
                </w:p>
              </w:tc>
              <w:tc>
                <w:tcPr>
                  <w:tcW w:w="1183" w:type="dxa"/>
                  <w:tcBorders>
                    <w:tl2br w:val="nil"/>
                    <w:tr2bl w:val="nil"/>
                  </w:tcBorders>
                  <w:noWrap w:val="0"/>
                  <w:vAlign w:val="top"/>
                </w:tcPr>
                <w:p>
                  <w:pPr>
                    <w:spacing w:line="240" w:lineRule="auto"/>
                    <w:jc w:val="center"/>
                    <w:rPr>
                      <w:rFonts w:hint="default" w:ascii="Times New Roman" w:hAnsi="Times New Roman" w:eastAsia="宋体" w:cs="Times New Roman"/>
                      <w:color w:val="auto"/>
                      <w:sz w:val="21"/>
                      <w:szCs w:val="24"/>
                      <w:lang w:val="en-US" w:eastAsia="zh-CN"/>
                    </w:rPr>
                  </w:pPr>
                  <w:r>
                    <w:rPr>
                      <w:rFonts w:hint="default"/>
                      <w:color w:val="auto"/>
                      <w:sz w:val="21"/>
                      <w:szCs w:val="24"/>
                      <w:lang w:val="en-US" w:eastAsia="zh-CN"/>
                    </w:rPr>
                    <w:t>/</w:t>
                  </w:r>
                </w:p>
              </w:tc>
              <w:tc>
                <w:tcPr>
                  <w:tcW w:w="1186" w:type="dxa"/>
                  <w:tcBorders>
                    <w:tl2br w:val="nil"/>
                    <w:tr2bl w:val="nil"/>
                  </w:tcBorders>
                  <w:noWrap w:val="0"/>
                  <w:vAlign w:val="top"/>
                </w:tcPr>
                <w:p>
                  <w:pPr>
                    <w:spacing w:line="240" w:lineRule="auto"/>
                    <w:jc w:val="center"/>
                    <w:rPr>
                      <w:rFonts w:hint="default" w:ascii="Times New Roman" w:hAnsi="Times New Roman" w:eastAsia="宋体" w:cs="Times New Roman"/>
                      <w:color w:val="auto"/>
                      <w:sz w:val="21"/>
                      <w:szCs w:val="24"/>
                      <w:lang w:val="en-US" w:eastAsia="zh-CN"/>
                    </w:rPr>
                  </w:pPr>
                  <w:r>
                    <w:rPr>
                      <w:rFonts w:hint="default"/>
                      <w:color w:val="auto"/>
                      <w:sz w:val="21"/>
                      <w:szCs w:val="24"/>
                      <w:lang w:val="en-US" w:eastAsia="zh-CN"/>
                    </w:rPr>
                    <w:t>6.5-8.5</w:t>
                  </w:r>
                </w:p>
              </w:tc>
            </w:tr>
          </w:tbl>
          <w:p>
            <w:pPr>
              <w:spacing w:line="360" w:lineRule="auto"/>
              <w:ind w:firstLine="480" w:firstLineChars="200"/>
              <w:outlineLvl w:val="9"/>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color w:val="auto"/>
                <w:sz w:val="24"/>
                <w:szCs w:val="24"/>
              </w:rPr>
              <w:t>处理后的污水水质能够达到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lang w:eastAsia="zh-CN"/>
              </w:rPr>
              <w:t xml:space="preserve">城市污水再生利用 </w:t>
            </w:r>
            <w:r>
              <w:rPr>
                <w:rFonts w:hint="eastAsia" w:ascii="Times New Roman" w:hAnsi="Times New Roman" w:eastAsia="宋体" w:cs="Times New Roman"/>
                <w:color w:val="auto"/>
                <w:sz w:val="24"/>
                <w:lang w:val="en-US" w:eastAsia="zh-CN"/>
              </w:rPr>
              <w:t>城市杂用水水质</w:t>
            </w:r>
            <w:r>
              <w:rPr>
                <w:rFonts w:hint="default" w:ascii="Times New Roman" w:hAnsi="Times New Roman" w:eastAsia="宋体" w:cs="Times New Roman"/>
                <w:color w:val="auto"/>
                <w:sz w:val="24"/>
                <w:lang w:eastAsia="zh-CN"/>
              </w:rPr>
              <w:t>》（GB</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T</w:t>
            </w:r>
            <w:r>
              <w:rPr>
                <w:rFonts w:hint="eastAsia" w:ascii="Times New Roman" w:hAnsi="Times New Roman" w:eastAsia="宋体" w:cs="Times New Roman"/>
                <w:color w:val="auto"/>
                <w:sz w:val="24"/>
                <w:lang w:val="en-US" w:eastAsia="zh-CN"/>
              </w:rPr>
              <w:t>19923-2005</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rPr>
              <w:t>标准</w:t>
            </w:r>
            <w:r>
              <w:rPr>
                <w:rFonts w:hint="eastAsia" w:cs="Times New Roman"/>
                <w:color w:val="auto"/>
                <w:sz w:val="24"/>
                <w:szCs w:val="24"/>
                <w:lang w:eastAsia="zh-CN"/>
              </w:rPr>
              <w:t>和</w:t>
            </w:r>
            <w:r>
              <w:rPr>
                <w:rFonts w:hint="eastAsia"/>
                <w:color w:val="auto"/>
                <w:sz w:val="24"/>
                <w:lang w:val="en-US" w:eastAsia="zh-CN"/>
              </w:rPr>
              <w:t>《城市污水再生利用 工业用水水质》（GBT19923-2005）标准</w:t>
            </w:r>
            <w:r>
              <w:rPr>
                <w:rFonts w:hint="default" w:ascii="Times New Roman" w:hAnsi="Times New Roman" w:eastAsia="宋体" w:cs="Times New Roman"/>
                <w:color w:val="auto"/>
                <w:sz w:val="24"/>
                <w:szCs w:val="24"/>
              </w:rPr>
              <w:t>要求，</w:t>
            </w:r>
            <w:r>
              <w:rPr>
                <w:rFonts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rPr>
              <w:t>废水</w:t>
            </w:r>
            <w:r>
              <w:rPr>
                <w:rFonts w:ascii="Times New Roman" w:hAnsi="Times New Roman" w:eastAsia="宋体" w:cs="Times New Roman"/>
                <w:color w:val="auto"/>
                <w:sz w:val="24"/>
                <w:szCs w:val="24"/>
              </w:rPr>
              <w:t>处理后，回用于</w:t>
            </w:r>
            <w:r>
              <w:rPr>
                <w:rFonts w:hint="default" w:ascii="Times New Roman" w:hAnsi="Times New Roman" w:eastAsia="宋体" w:cs="Times New Roman"/>
                <w:color w:val="auto"/>
                <w:sz w:val="24"/>
                <w:lang w:val="en-US" w:eastAsia="zh-CN"/>
              </w:rPr>
              <w:t>厂区绿化和</w:t>
            </w:r>
            <w:r>
              <w:rPr>
                <w:rFonts w:hint="default" w:cs="Times New Roman"/>
                <w:color w:val="auto"/>
                <w:sz w:val="24"/>
                <w:lang w:val="en-US" w:eastAsia="zh-CN"/>
              </w:rPr>
              <w:t>热轧用水</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rPr>
              <w:t>不会影响地表水环境</w:t>
            </w:r>
            <w:r>
              <w:rPr>
                <w:rFonts w:hint="default" w:ascii="Times New Roman" w:hAnsi="Times New Roman" w:eastAsia="宋体" w:cs="Times New Roman"/>
                <w:b w:val="0"/>
                <w:bCs w:val="0"/>
                <w:color w:val="auto"/>
                <w:kern w:val="0"/>
                <w:sz w:val="24"/>
                <w:szCs w:val="24"/>
              </w:rPr>
              <w:t>。</w:t>
            </w:r>
          </w:p>
          <w:p>
            <w:pPr>
              <w:spacing w:line="480" w:lineRule="exact"/>
              <w:ind w:firstLine="482" w:firstLineChars="200"/>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2.2地下水环境影响分析</w:t>
            </w:r>
          </w:p>
          <w:p>
            <w:pPr>
              <w:spacing w:line="480" w:lineRule="exact"/>
              <w:ind w:firstLine="480" w:firstLineChars="200"/>
              <w:outlineLvl w:val="9"/>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lang w:val="en-US" w:eastAsia="zh-CN"/>
              </w:rPr>
              <w:t>根据《环境影响评价技术导则－地下水环境》（HJ610-2016）的规定，本项目属于“</w:t>
            </w:r>
            <w:r>
              <w:rPr>
                <w:rFonts w:hint="eastAsia" w:cs="Times New Roman"/>
                <w:b w:val="0"/>
                <w:bCs w:val="0"/>
                <w:color w:val="auto"/>
                <w:kern w:val="0"/>
                <w:sz w:val="24"/>
                <w:szCs w:val="24"/>
                <w:lang w:val="en-US" w:eastAsia="zh-CN"/>
              </w:rPr>
              <w:t>G</w:t>
            </w:r>
            <w:r>
              <w:rPr>
                <w:rFonts w:hint="eastAsia" w:ascii="Times New Roman" w:hAnsi="Times New Roman" w:eastAsia="宋体" w:cs="Times New Roman"/>
                <w:b w:val="0"/>
                <w:bCs w:val="0"/>
                <w:color w:val="auto"/>
                <w:kern w:val="0"/>
                <w:sz w:val="24"/>
                <w:szCs w:val="24"/>
                <w:lang w:val="en-US" w:eastAsia="zh-CN"/>
              </w:rPr>
              <w:t xml:space="preserve"> </w:t>
            </w:r>
            <w:r>
              <w:rPr>
                <w:rFonts w:hint="eastAsia" w:cs="Times New Roman"/>
                <w:b w:val="0"/>
                <w:bCs w:val="0"/>
                <w:color w:val="auto"/>
                <w:kern w:val="0"/>
                <w:sz w:val="24"/>
                <w:szCs w:val="24"/>
                <w:lang w:val="en-US" w:eastAsia="zh-CN"/>
              </w:rPr>
              <w:t>黑色金属 压延加工</w:t>
            </w:r>
            <w:r>
              <w:rPr>
                <w:rFonts w:hint="eastAsia" w:ascii="Times New Roman" w:hAnsi="Times New Roman" w:eastAsia="宋体" w:cs="Times New Roman"/>
                <w:b w:val="0"/>
                <w:bCs w:val="0"/>
                <w:color w:val="auto"/>
                <w:kern w:val="0"/>
                <w:sz w:val="24"/>
                <w:szCs w:val="24"/>
                <w:lang w:val="en-US" w:eastAsia="zh-CN"/>
              </w:rPr>
              <w:t>”报告表类，为地下水环境影响评价Ⅲ类项目。</w:t>
            </w:r>
            <w:r>
              <w:rPr>
                <w:rFonts w:hint="eastAsia" w:ascii="Times New Roman" w:hAnsi="Times New Roman" w:eastAsia="宋体" w:cs="Times New Roman"/>
                <w:b w:val="0"/>
                <w:bCs w:val="0"/>
                <w:color w:val="auto"/>
                <w:kern w:val="0"/>
                <w:sz w:val="24"/>
                <w:szCs w:val="24"/>
                <w:highlight w:val="none"/>
                <w:lang w:val="en-US" w:eastAsia="zh-CN"/>
              </w:rPr>
              <w:t>根据《环境影响评价技术导则－地下水环境》（HJ610-2016）一般性原则：“根据建设项目对地下水环境影响的程度，结合《建设项目环境影响评价分类管理名录》，将建设项目分为四类，详见附录 A。Ⅰ类、Ⅱ类、Ⅲ类建设项目的地下水环境影响评价应执行本标准，Ⅳ类建设项目不开展地下水环境影响评价”，因此本项目（地下水环境影响评价Ⅲ类项目）须按照环境影响评价技术导则－地下水环境》（HJ610-2016）进行地下水评价。</w:t>
            </w:r>
          </w:p>
          <w:p>
            <w:pPr>
              <w:autoSpaceDE w:val="0"/>
              <w:autoSpaceDN w:val="0"/>
              <w:adjustRightInd w:val="0"/>
              <w:spacing w:line="360" w:lineRule="auto"/>
              <w:ind w:firstLine="352" w:firstLineChars="147"/>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建设项目地下水环境影响评价工作等级划分见下表：</w:t>
            </w:r>
          </w:p>
          <w:p>
            <w:pPr>
              <w:spacing w:line="360" w:lineRule="auto"/>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表</w:t>
            </w:r>
            <w:r>
              <w:rPr>
                <w:rFonts w:hint="eastAsia" w:ascii="Times New Roman" w:hAnsi="Times New Roman" w:cs="Times New Roman"/>
                <w:b/>
                <w:bCs w:val="0"/>
                <w:color w:val="auto"/>
                <w:sz w:val="21"/>
                <w:szCs w:val="21"/>
                <w:highlight w:val="none"/>
                <w:lang w:val="en-US" w:eastAsia="zh-CN"/>
              </w:rPr>
              <w:t>7-</w:t>
            </w:r>
            <w:r>
              <w:rPr>
                <w:rFonts w:hint="eastAsia" w:cs="Times New Roman"/>
                <w:b/>
                <w:bCs w:val="0"/>
                <w:color w:val="auto"/>
                <w:sz w:val="21"/>
                <w:szCs w:val="21"/>
                <w:highlight w:val="none"/>
                <w:lang w:val="en-US" w:eastAsia="zh-CN"/>
              </w:rPr>
              <w:t>9</w:t>
            </w:r>
            <w:r>
              <w:rPr>
                <w:rFonts w:hint="default" w:ascii="Times New Roman" w:hAnsi="Times New Roman" w:cs="Times New Roman"/>
                <w:b/>
                <w:bCs w:val="0"/>
                <w:color w:val="auto"/>
                <w:sz w:val="21"/>
                <w:szCs w:val="21"/>
                <w:highlight w:val="none"/>
              </w:rPr>
              <w:t xml:space="preserve"> 评价工作等级分级表</w:t>
            </w:r>
          </w:p>
          <w:tbl>
            <w:tblPr>
              <w:tblStyle w:val="24"/>
              <w:tblW w:w="9354" w:type="dxa"/>
              <w:jc w:val="center"/>
              <w:tblLayout w:type="fixed"/>
              <w:tblCellMar>
                <w:top w:w="0" w:type="dxa"/>
                <w:left w:w="108" w:type="dxa"/>
                <w:bottom w:w="0" w:type="dxa"/>
                <w:right w:w="108" w:type="dxa"/>
              </w:tblCellMar>
            </w:tblPr>
            <w:tblGrid>
              <w:gridCol w:w="2336"/>
              <w:gridCol w:w="2339"/>
              <w:gridCol w:w="2339"/>
              <w:gridCol w:w="2340"/>
            </w:tblGrid>
            <w:tr>
              <w:tblPrEx>
                <w:tblCellMar>
                  <w:top w:w="0" w:type="dxa"/>
                  <w:left w:w="108" w:type="dxa"/>
                  <w:bottom w:w="0" w:type="dxa"/>
                  <w:right w:w="108" w:type="dxa"/>
                </w:tblCellMar>
              </w:tblPrEx>
              <w:trPr>
                <w:trHeight w:val="330" w:hRule="atLeast"/>
                <w:jc w:val="center"/>
              </w:trPr>
              <w:tc>
                <w:tcPr>
                  <w:tcW w:w="2266" w:type="dxa"/>
                  <w:tcBorders>
                    <w:top w:val="single" w:color="auto" w:sz="12" w:space="0"/>
                    <w:left w:val="single" w:color="auto" w:sz="12" w:space="0"/>
                    <w:bottom w:val="single" w:color="auto" w:sz="8" w:space="0"/>
                    <w:right w:val="single" w:color="auto" w:sz="8" w:space="0"/>
                    <w:tl2br w:val="single" w:color="auto" w:sz="4" w:space="0"/>
                  </w:tcBorders>
                  <w:noWrap w:val="0"/>
                  <w:vAlign w:val="center"/>
                </w:tcPr>
                <w:p>
                  <w:pPr>
                    <w:ind w:firstLine="420"/>
                    <w:jc w:val="right"/>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 xml:space="preserve">    项目类别</w:t>
                  </w:r>
                </w:p>
                <w:p>
                  <w:pP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环境敏感程度</w:t>
                  </w:r>
                </w:p>
              </w:tc>
              <w:tc>
                <w:tcPr>
                  <w:tcW w:w="2268" w:type="dxa"/>
                  <w:tcBorders>
                    <w:top w:val="single" w:color="auto" w:sz="12"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Ι类项目</w:t>
                  </w:r>
                </w:p>
              </w:tc>
              <w:tc>
                <w:tcPr>
                  <w:tcW w:w="2268" w:type="dxa"/>
                  <w:tcBorders>
                    <w:top w:val="single" w:color="auto" w:sz="12"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Ⅱ类项目</w:t>
                  </w:r>
                </w:p>
              </w:tc>
              <w:tc>
                <w:tcPr>
                  <w:tcW w:w="2269" w:type="dxa"/>
                  <w:tcBorders>
                    <w:top w:val="single" w:color="auto" w:sz="12" w:space="0"/>
                    <w:left w:val="single" w:color="auto" w:sz="8" w:space="0"/>
                    <w:bottom w:val="single" w:color="auto" w:sz="8" w:space="0"/>
                    <w:right w:val="single" w:color="auto" w:sz="12" w:space="0"/>
                  </w:tcBorders>
                  <w:noWrap w:val="0"/>
                  <w:vAlign w:val="center"/>
                </w:tcPr>
                <w:p>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Ⅲ类项目</w:t>
                  </w:r>
                </w:p>
              </w:tc>
            </w:tr>
            <w:tr>
              <w:tblPrEx>
                <w:tblCellMar>
                  <w:top w:w="0" w:type="dxa"/>
                  <w:left w:w="108" w:type="dxa"/>
                  <w:bottom w:w="0" w:type="dxa"/>
                  <w:right w:w="108" w:type="dxa"/>
                </w:tblCellMar>
              </w:tblPrEx>
              <w:trPr>
                <w:trHeight w:val="330" w:hRule="atLeast"/>
                <w:jc w:val="center"/>
              </w:trPr>
              <w:tc>
                <w:tcPr>
                  <w:tcW w:w="2266" w:type="dxa"/>
                  <w:tcBorders>
                    <w:top w:val="single" w:color="auto" w:sz="8" w:space="0"/>
                    <w:left w:val="single" w:color="auto" w:sz="12" w:space="0"/>
                    <w:bottom w:val="single" w:color="auto" w:sz="8" w:space="0"/>
                    <w:right w:val="single" w:color="auto" w:sz="8" w:space="0"/>
                  </w:tcBorders>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敏感</w:t>
                  </w:r>
                </w:p>
              </w:tc>
              <w:tc>
                <w:tcPr>
                  <w:tcW w:w="2268" w:type="dxa"/>
                  <w:tcBorders>
                    <w:top w:val="single" w:color="auto" w:sz="8"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一</w:t>
                  </w:r>
                </w:p>
              </w:tc>
              <w:tc>
                <w:tcPr>
                  <w:tcW w:w="2268" w:type="dxa"/>
                  <w:tcBorders>
                    <w:top w:val="single" w:color="auto" w:sz="8"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一</w:t>
                  </w:r>
                </w:p>
              </w:tc>
              <w:tc>
                <w:tcPr>
                  <w:tcW w:w="2269" w:type="dxa"/>
                  <w:tcBorders>
                    <w:top w:val="single" w:color="auto" w:sz="8" w:space="0"/>
                    <w:left w:val="single" w:color="auto" w:sz="8" w:space="0"/>
                    <w:bottom w:val="single" w:color="auto" w:sz="8" w:space="0"/>
                    <w:right w:val="single" w:color="auto" w:sz="12" w:space="0"/>
                  </w:tcBorders>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二</w:t>
                  </w:r>
                </w:p>
              </w:tc>
            </w:tr>
            <w:tr>
              <w:tblPrEx>
                <w:tblCellMar>
                  <w:top w:w="0" w:type="dxa"/>
                  <w:left w:w="108" w:type="dxa"/>
                  <w:bottom w:w="0" w:type="dxa"/>
                  <w:right w:w="108" w:type="dxa"/>
                </w:tblCellMar>
              </w:tblPrEx>
              <w:trPr>
                <w:trHeight w:val="315" w:hRule="atLeast"/>
                <w:jc w:val="center"/>
              </w:trPr>
              <w:tc>
                <w:tcPr>
                  <w:tcW w:w="2266" w:type="dxa"/>
                  <w:tcBorders>
                    <w:top w:val="single" w:color="auto" w:sz="8" w:space="0"/>
                    <w:left w:val="single" w:color="auto" w:sz="12" w:space="0"/>
                    <w:bottom w:val="single" w:color="auto" w:sz="8" w:space="0"/>
                    <w:right w:val="single" w:color="auto" w:sz="8" w:space="0"/>
                  </w:tcBorders>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较敏感</w:t>
                  </w:r>
                </w:p>
              </w:tc>
              <w:tc>
                <w:tcPr>
                  <w:tcW w:w="2268" w:type="dxa"/>
                  <w:tcBorders>
                    <w:top w:val="single" w:color="auto" w:sz="8"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一</w:t>
                  </w:r>
                </w:p>
              </w:tc>
              <w:tc>
                <w:tcPr>
                  <w:tcW w:w="2268" w:type="dxa"/>
                  <w:tcBorders>
                    <w:top w:val="single" w:color="auto" w:sz="8" w:space="0"/>
                    <w:left w:val="single" w:color="auto" w:sz="8" w:space="0"/>
                    <w:bottom w:val="single" w:color="auto" w:sz="8" w:space="0"/>
                    <w:right w:val="single" w:color="auto" w:sz="8" w:space="0"/>
                  </w:tcBorders>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二</w:t>
                  </w:r>
                </w:p>
              </w:tc>
              <w:tc>
                <w:tcPr>
                  <w:tcW w:w="2269" w:type="dxa"/>
                  <w:tcBorders>
                    <w:top w:val="single" w:color="auto" w:sz="8" w:space="0"/>
                    <w:left w:val="single" w:color="auto" w:sz="8" w:space="0"/>
                    <w:bottom w:val="single" w:color="auto" w:sz="8" w:space="0"/>
                    <w:right w:val="single" w:color="auto" w:sz="12" w:space="0"/>
                  </w:tcBorders>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三</w:t>
                  </w:r>
                </w:p>
              </w:tc>
            </w:tr>
            <w:tr>
              <w:tblPrEx>
                <w:tblCellMar>
                  <w:top w:w="0" w:type="dxa"/>
                  <w:left w:w="108" w:type="dxa"/>
                  <w:bottom w:w="0" w:type="dxa"/>
                  <w:right w:w="108" w:type="dxa"/>
                </w:tblCellMar>
              </w:tblPrEx>
              <w:trPr>
                <w:trHeight w:val="330" w:hRule="atLeast"/>
                <w:jc w:val="center"/>
              </w:trPr>
              <w:tc>
                <w:tcPr>
                  <w:tcW w:w="2266" w:type="dxa"/>
                  <w:tcBorders>
                    <w:top w:val="single" w:color="auto" w:sz="8" w:space="0"/>
                    <w:left w:val="single" w:color="auto" w:sz="12" w:space="0"/>
                    <w:bottom w:val="single" w:color="auto" w:sz="12" w:space="0"/>
                    <w:right w:val="single" w:color="auto" w:sz="8" w:space="0"/>
                  </w:tcBorders>
                  <w:noWrap w:val="0"/>
                  <w:vAlign w:val="center"/>
                </w:tcPr>
                <w:p>
                  <w:pPr>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不敏感</w:t>
                  </w:r>
                </w:p>
              </w:tc>
              <w:tc>
                <w:tcPr>
                  <w:tcW w:w="2268" w:type="dxa"/>
                  <w:tcBorders>
                    <w:top w:val="single" w:color="auto" w:sz="8" w:space="0"/>
                    <w:left w:val="single" w:color="auto" w:sz="8" w:space="0"/>
                    <w:bottom w:val="single" w:color="auto" w:sz="12" w:space="0"/>
                    <w:right w:val="single" w:color="auto" w:sz="8" w:space="0"/>
                  </w:tcBorders>
                  <w:noWrap w:val="0"/>
                  <w:vAlign w:val="center"/>
                </w:tcPr>
                <w:p>
                  <w:pPr>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二</w:t>
                  </w:r>
                </w:p>
              </w:tc>
              <w:tc>
                <w:tcPr>
                  <w:tcW w:w="2268" w:type="dxa"/>
                  <w:tcBorders>
                    <w:top w:val="single" w:color="auto" w:sz="8" w:space="0"/>
                    <w:left w:val="single" w:color="auto" w:sz="8" w:space="0"/>
                    <w:bottom w:val="single" w:color="auto" w:sz="12" w:space="0"/>
                    <w:right w:val="single" w:color="auto" w:sz="8" w:space="0"/>
                  </w:tcBorders>
                  <w:noWrap w:val="0"/>
                  <w:vAlign w:val="center"/>
                </w:tcPr>
                <w:p>
                  <w:pPr>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三</w:t>
                  </w:r>
                </w:p>
              </w:tc>
              <w:tc>
                <w:tcPr>
                  <w:tcW w:w="2269" w:type="dxa"/>
                  <w:tcBorders>
                    <w:top w:val="single" w:color="auto" w:sz="8" w:space="0"/>
                    <w:left w:val="single" w:color="auto" w:sz="8" w:space="0"/>
                    <w:bottom w:val="single" w:color="auto" w:sz="12" w:space="0"/>
                    <w:right w:val="single" w:color="auto" w:sz="12" w:space="0"/>
                  </w:tcBorders>
                  <w:noWrap w:val="0"/>
                  <w:vAlign w:val="center"/>
                </w:tcPr>
                <w:p>
                  <w:pPr>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三</w:t>
                  </w:r>
                </w:p>
              </w:tc>
            </w:tr>
          </w:tbl>
          <w:p>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w:t>
            </w:r>
            <w:r>
              <w:rPr>
                <w:rFonts w:hint="default" w:ascii="Times New Roman" w:hAnsi="Times New Roman" w:cs="Times New Roman"/>
                <w:color w:val="auto"/>
                <w:sz w:val="24"/>
                <w:highlight w:val="none"/>
                <w:lang w:eastAsia="zh-CN"/>
              </w:rPr>
              <w:t>拟建项目</w:t>
            </w:r>
            <w:r>
              <w:rPr>
                <w:rFonts w:hint="default" w:ascii="Times New Roman" w:hAnsi="Times New Roman" w:cs="Times New Roman"/>
                <w:color w:val="auto"/>
                <w:sz w:val="24"/>
                <w:highlight w:val="none"/>
              </w:rPr>
              <w:t>属于</w:t>
            </w:r>
            <w:r>
              <w:rPr>
                <w:rFonts w:hint="default" w:ascii="Times New Roman" w:hAnsi="Times New Roman" w:cs="Times New Roman"/>
                <w:bCs/>
                <w:color w:val="auto"/>
                <w:sz w:val="24"/>
                <w:highlight w:val="none"/>
              </w:rPr>
              <w:t>地下水环境影响评价</w:t>
            </w:r>
            <w:r>
              <w:rPr>
                <w:rFonts w:hint="default" w:ascii="Times New Roman" w:hAnsi="Times New Roman" w:cs="Times New Roman"/>
                <w:color w:val="auto"/>
                <w:sz w:val="24"/>
                <w:highlight w:val="none"/>
                <w:lang w:val="en-US" w:eastAsia="zh-CN"/>
              </w:rPr>
              <w:t>Ⅲ</w:t>
            </w:r>
            <w:r>
              <w:rPr>
                <w:rFonts w:hint="default" w:ascii="Times New Roman" w:hAnsi="Times New Roman" w:cs="Times New Roman"/>
                <w:color w:val="auto"/>
                <w:sz w:val="24"/>
                <w:highlight w:val="none"/>
              </w:rPr>
              <w:t>类</w:t>
            </w:r>
            <w:r>
              <w:rPr>
                <w:rFonts w:hint="default" w:ascii="Times New Roman" w:hAnsi="Times New Roman" w:cs="Times New Roman"/>
                <w:bCs/>
                <w:color w:val="auto"/>
                <w:sz w:val="24"/>
                <w:highlight w:val="none"/>
              </w:rPr>
              <w:t>项目，</w:t>
            </w:r>
            <w:r>
              <w:rPr>
                <w:rFonts w:hint="default" w:ascii="Times New Roman" w:hAnsi="Times New Roman" w:cs="Times New Roman"/>
                <w:color w:val="auto"/>
                <w:sz w:val="24"/>
                <w:highlight w:val="none"/>
              </w:rPr>
              <w:t>建设项目场地的地下水环境敏感程度为不敏感，因此，</w:t>
            </w:r>
            <w:r>
              <w:rPr>
                <w:rFonts w:hint="default" w:ascii="Times New Roman" w:hAnsi="Times New Roman" w:cs="Times New Roman"/>
                <w:b/>
                <w:bCs/>
                <w:color w:val="auto"/>
                <w:sz w:val="24"/>
                <w:highlight w:val="none"/>
                <w:lang w:eastAsia="zh-CN"/>
              </w:rPr>
              <w:t>项目</w:t>
            </w:r>
            <w:r>
              <w:rPr>
                <w:rFonts w:hint="default" w:ascii="Times New Roman" w:hAnsi="Times New Roman" w:cs="Times New Roman"/>
                <w:b/>
                <w:bCs/>
                <w:color w:val="auto"/>
                <w:sz w:val="24"/>
                <w:highlight w:val="none"/>
              </w:rPr>
              <w:t>地下水环境影响评价的工作等级为三级评价</w:t>
            </w:r>
            <w:r>
              <w:rPr>
                <w:rFonts w:hint="default" w:ascii="Times New Roman" w:hAnsi="Times New Roman" w:cs="Times New Roman"/>
                <w:color w:val="auto"/>
                <w:sz w:val="24"/>
                <w:highlight w:val="none"/>
              </w:rPr>
              <w:t>。</w:t>
            </w:r>
          </w:p>
          <w:p>
            <w:pPr>
              <w:pStyle w:val="88"/>
              <w:spacing w:line="360" w:lineRule="auto"/>
              <w:ind w:firstLine="482" w:firstLineChars="200"/>
              <w:outlineLvl w:val="3"/>
              <w:rPr>
                <w:rFonts w:hint="default" w:ascii="Times New Roman" w:hAnsi="Times New Roman" w:cs="Times New Roman"/>
                <w:b/>
                <w:bCs/>
                <w:color w:val="auto"/>
                <w:highlight w:val="none"/>
              </w:rPr>
            </w:pPr>
            <w:bookmarkStart w:id="14" w:name="_Toc18274"/>
            <w:bookmarkStart w:id="15" w:name="_Toc940"/>
            <w:r>
              <w:rPr>
                <w:rFonts w:hint="eastAsia" w:ascii="Times New Roman" w:hAnsi="Times New Roman" w:cs="Times New Roman"/>
                <w:b/>
                <w:bCs/>
                <w:color w:val="auto"/>
                <w:highlight w:val="none"/>
                <w:lang w:val="en-US" w:eastAsia="zh-CN"/>
              </w:rPr>
              <w:t>2.2.2</w:t>
            </w:r>
            <w:r>
              <w:rPr>
                <w:rFonts w:hint="default" w:ascii="Times New Roman" w:hAnsi="Times New Roman" w:cs="Times New Roman"/>
                <w:b/>
                <w:bCs/>
                <w:color w:val="auto"/>
                <w:highlight w:val="none"/>
              </w:rPr>
              <w:t>地下水环境敏感程度</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建设项目场地的地下水环境敏感程度可分为敏感、较敏感、不敏感三级，分级原则见表</w:t>
            </w:r>
            <w:r>
              <w:rPr>
                <w:rFonts w:hint="eastAsia" w:ascii="Times New Roman" w:hAnsi="Times New Roman" w:cs="Times New Roman"/>
                <w:color w:val="auto"/>
                <w:sz w:val="24"/>
                <w:highlight w:val="none"/>
                <w:lang w:val="en-US" w:eastAsia="zh-CN"/>
              </w:rPr>
              <w:t>7-10</w:t>
            </w:r>
            <w:r>
              <w:rPr>
                <w:rFonts w:hint="default" w:ascii="Times New Roman" w:hAnsi="Times New Roman" w:cs="Times New Roman"/>
                <w:color w:val="auto"/>
                <w:sz w:val="24"/>
                <w:highlight w:val="none"/>
              </w:rPr>
              <w:t>。</w:t>
            </w:r>
          </w:p>
          <w:p>
            <w:pPr>
              <w:spacing w:line="360" w:lineRule="auto"/>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表</w:t>
            </w:r>
            <w:r>
              <w:rPr>
                <w:rFonts w:hint="eastAsia" w:ascii="Times New Roman" w:hAnsi="Times New Roman" w:cs="Times New Roman"/>
                <w:b/>
                <w:bCs w:val="0"/>
                <w:color w:val="auto"/>
                <w:sz w:val="21"/>
                <w:szCs w:val="21"/>
                <w:highlight w:val="none"/>
                <w:lang w:val="en-US" w:eastAsia="zh-CN"/>
              </w:rPr>
              <w:t>7-</w:t>
            </w:r>
            <w:r>
              <w:rPr>
                <w:rFonts w:hint="eastAsia" w:cs="Times New Roman"/>
                <w:b/>
                <w:bCs w:val="0"/>
                <w:color w:val="auto"/>
                <w:sz w:val="21"/>
                <w:szCs w:val="21"/>
                <w:highlight w:val="none"/>
                <w:lang w:val="en-US" w:eastAsia="zh-CN"/>
              </w:rPr>
              <w:t>10</w:t>
            </w:r>
            <w:r>
              <w:rPr>
                <w:rFonts w:hint="default" w:ascii="Times New Roman" w:hAnsi="Times New Roman" w:cs="Times New Roman"/>
                <w:b/>
                <w:bCs w:val="0"/>
                <w:color w:val="auto"/>
                <w:sz w:val="21"/>
                <w:szCs w:val="21"/>
                <w:highlight w:val="none"/>
                <w:lang w:val="en-US" w:eastAsia="zh-CN"/>
              </w:rPr>
              <w:t xml:space="preserve"> 地下水环境敏感程度分级</w:t>
            </w:r>
          </w:p>
          <w:tbl>
            <w:tblPr>
              <w:tblStyle w:val="24"/>
              <w:tblW w:w="935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20"/>
              <w:gridCol w:w="833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93" w:type="dxa"/>
                  <w:noWrap w:val="0"/>
                  <w:vAlign w:val="center"/>
                </w:tcPr>
                <w:p>
                  <w:pPr>
                    <w:pStyle w:val="8"/>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分级</w:t>
                  </w:r>
                </w:p>
              </w:tc>
              <w:tc>
                <w:tcPr>
                  <w:tcW w:w="8115" w:type="dxa"/>
                  <w:noWrap w:val="0"/>
                  <w:vAlign w:val="center"/>
                </w:tcPr>
                <w:p>
                  <w:pPr>
                    <w:pStyle w:val="8"/>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项目场地的地下水环境敏感特征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93" w:type="dxa"/>
                  <w:noWrap w:val="0"/>
                  <w:vAlign w:val="center"/>
                </w:tcPr>
                <w:p>
                  <w:pPr>
                    <w:pStyle w:val="8"/>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敏感</w:t>
                  </w:r>
                </w:p>
              </w:tc>
              <w:tc>
                <w:tcPr>
                  <w:tcW w:w="8115" w:type="dxa"/>
                  <w:noWrap w:val="0"/>
                  <w:vAlign w:val="center"/>
                </w:tcPr>
                <w:p>
                  <w:pPr>
                    <w:pStyle w:val="8"/>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93" w:type="dxa"/>
                  <w:noWrap w:val="0"/>
                  <w:vAlign w:val="center"/>
                </w:tcPr>
                <w:p>
                  <w:pPr>
                    <w:pStyle w:val="8"/>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较敏感</w:t>
                  </w:r>
                </w:p>
              </w:tc>
              <w:tc>
                <w:tcPr>
                  <w:tcW w:w="8115" w:type="dxa"/>
                  <w:noWrap w:val="0"/>
                  <w:vAlign w:val="center"/>
                </w:tcPr>
                <w:p>
                  <w:pPr>
                    <w:pStyle w:val="8"/>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中式饮用水水源地（包括已建成的在用、备用、应急水源地，在建和规划的水源地）准保护区以外的补给径流区；特殊地下水资源（如矿泉水、温泉等）保护区以外的分布区以及分散居民饮用水源等其它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93" w:type="dxa"/>
                  <w:noWrap w:val="0"/>
                  <w:vAlign w:val="center"/>
                </w:tcPr>
                <w:p>
                  <w:pPr>
                    <w:pStyle w:val="8"/>
                    <w:ind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不敏感</w:t>
                  </w:r>
                </w:p>
              </w:tc>
              <w:tc>
                <w:tcPr>
                  <w:tcW w:w="8115" w:type="dxa"/>
                  <w:noWrap w:val="0"/>
                  <w:vAlign w:val="center"/>
                </w:tcPr>
                <w:p>
                  <w:pPr>
                    <w:pStyle w:val="8"/>
                    <w:ind w:firstLine="0" w:firstLineChars="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上述地区之外的其它地区</w:t>
                  </w:r>
                </w:p>
              </w:tc>
            </w:tr>
          </w:tbl>
          <w:p>
            <w:pPr>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注：表中“环境敏感区”系指《建设项目环境影响评价分类管理名录》中所界定的涉及地下水的环境敏感区。</w:t>
            </w:r>
          </w:p>
          <w:p>
            <w:pPr>
              <w:tabs>
                <w:tab w:val="left" w:pos="720"/>
              </w:tabs>
              <w:spacing w:line="360" w:lineRule="auto"/>
              <w:ind w:firstLine="482" w:firstLineChars="200"/>
              <w:outlineLvl w:val="1"/>
              <w:rPr>
                <w:rFonts w:hint="default" w:ascii="Times New Roman" w:hAnsi="Times New Roman" w:cs="Times New Roman"/>
                <w:b/>
                <w:bCs/>
                <w:color w:val="auto"/>
                <w:sz w:val="30"/>
                <w:szCs w:val="30"/>
                <w:highlight w:val="none"/>
              </w:rPr>
            </w:pPr>
            <w:r>
              <w:rPr>
                <w:rFonts w:hint="eastAsia" w:ascii="Times New Roman" w:hAnsi="Times New Roman" w:eastAsia="宋体" w:cs="Times New Roman"/>
                <w:b/>
                <w:bCs/>
                <w:color w:val="auto"/>
                <w:kern w:val="0"/>
                <w:sz w:val="24"/>
                <w:szCs w:val="24"/>
                <w:highlight w:val="none"/>
                <w:lang w:val="en-US" w:eastAsia="zh-CN"/>
              </w:rPr>
              <w:t>2.2.3</w:t>
            </w:r>
            <w:r>
              <w:rPr>
                <w:rFonts w:hint="default" w:ascii="Times New Roman" w:hAnsi="Times New Roman" w:eastAsia="宋体" w:cs="Times New Roman"/>
                <w:b/>
                <w:bCs/>
                <w:color w:val="auto"/>
                <w:kern w:val="0"/>
                <w:sz w:val="24"/>
                <w:szCs w:val="24"/>
                <w:highlight w:val="none"/>
                <w:lang w:val="en-US" w:eastAsia="zh-CN"/>
              </w:rPr>
              <w:t>区域地质条件</w:t>
            </w:r>
            <w:bookmarkEnd w:id="14"/>
            <w:bookmarkEnd w:id="15"/>
          </w:p>
          <w:p>
            <w:pPr>
              <w:spacing w:line="360" w:lineRule="auto"/>
              <w:ind w:firstLine="480" w:firstLineChars="200"/>
              <w:outlineLvl w:val="2"/>
              <w:rPr>
                <w:rFonts w:hint="default" w:ascii="Times New Roman" w:hAnsi="Times New Roman" w:cs="Times New Roman"/>
                <w:b/>
                <w:color w:val="auto"/>
                <w:sz w:val="28"/>
                <w:szCs w:val="28"/>
                <w:highlight w:val="none"/>
              </w:rPr>
            </w:pPr>
            <w:r>
              <w:rPr>
                <w:rFonts w:hint="eastAsia" w:ascii="Times New Roman" w:hAnsi="Times New Roman" w:eastAsia="宋体" w:cs="Times New Roman"/>
                <w:b w:val="0"/>
                <w:bCs w:val="0"/>
                <w:color w:val="auto"/>
                <w:kern w:val="0"/>
                <w:sz w:val="24"/>
                <w:szCs w:val="24"/>
                <w:highlight w:val="none"/>
                <w:lang w:val="en-US" w:eastAsia="zh-CN"/>
              </w:rPr>
              <w:t>2.2.3.1</w:t>
            </w:r>
            <w:r>
              <w:rPr>
                <w:rFonts w:hint="default" w:ascii="Times New Roman" w:hAnsi="Times New Roman" w:eastAsia="宋体" w:cs="Times New Roman"/>
                <w:b w:val="0"/>
                <w:bCs w:val="0"/>
                <w:color w:val="auto"/>
                <w:kern w:val="0"/>
                <w:sz w:val="24"/>
                <w:szCs w:val="24"/>
                <w:highlight w:val="none"/>
                <w:lang w:val="en-US" w:eastAsia="zh-CN"/>
              </w:rPr>
              <w:t>区域地质构造</w:t>
            </w:r>
          </w:p>
          <w:p>
            <w:pPr>
              <w:pStyle w:val="4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钢城区地处鲁中泰沂山区，地质构造受鲁中纬向构造及鲁西旋卷构造控制。纬向构造体系中，东西断裂和鲁西旋卷构造控制莱芜盆地形成。构造形迹以断裂为主，褶皱次之，至今保留完善。主要有五个构造体系：西北向构造体系、东西向构造体系、旋卷构造体系、新华夏构造体系、南北向构造体系。区内岩浆活动剧烈，分布主要受构造控制，中生代晚期活动最为剧烈，第三纪以来也有活动，多以断裂形式出现，以北西向断裂为主，也有东北向和近东西向断裂，并形成矿山、铁铜沟、金牛山等岩体。地形走向呈近东西向展布。基岩多裸露于周边山丘区，中间被新地层覆盖。自盆地周边至中心依次为太古界变质岩类，寒武系、奥陶系碳酸盐类，上古生界砂、页岩夹薄层灰尘岩及煤系地层，中生界杂色砂、页岩及碎屑岩，新生界第三系红色粘土质粉砂岩及砂砾岩，第四系砂质粘土砂砾岩。地形特点属华北型，且发育比较齐全。</w:t>
            </w:r>
          </w:p>
          <w:p>
            <w:pPr>
              <w:pStyle w:val="4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钢城区地层结构及成因较简单，主要分为两大地质类型区：一类是基岩区，其地地貌特征为山地及丘陵，岩性为沉积岩，变质岩与火成岩等，其工程地质特征是强度高，可作为建筑物天然地基。基岩主要为石灰岩，分布普遍，厚度大。场地地下水埋藏相对较深，对钢筋混凝土结构及其中的钢筋无腐蚀性，适宜建厂。另一类是第四纪冲积、洪积、坡积区，该区由松散岩石所组成，主要为亚粘土、轻亚粘土及砂类土，强度值一般低于200kpa，但地形较平坦，也适宜作建筑用地。</w:t>
            </w:r>
          </w:p>
          <w:p>
            <w:pPr>
              <w:pStyle w:val="40"/>
              <w:rPr>
                <w:rFonts w:hint="default" w:ascii="Times New Roman" w:hAnsi="Times New Roman" w:cs="Times New Roman"/>
                <w:color w:val="auto"/>
                <w:sz w:val="24"/>
                <w:highlight w:val="none"/>
              </w:rPr>
            </w:pPr>
            <w:r>
              <w:rPr>
                <w:rFonts w:hint="eastAsia" w:ascii="Times New Roman" w:hAnsi="Times New Roman" w:cs="Times New Roman"/>
                <w:color w:val="auto"/>
                <w:highlight w:val="none"/>
                <w:lang w:val="en-US" w:eastAsia="zh-CN"/>
              </w:rPr>
              <w:t>项目所在地</w:t>
            </w:r>
            <w:r>
              <w:rPr>
                <w:rFonts w:hint="default" w:ascii="Times New Roman" w:hAnsi="Times New Roman" w:cs="Times New Roman"/>
                <w:color w:val="auto"/>
                <w:highlight w:val="none"/>
              </w:rPr>
              <w:t>断裂发育，石灰岩溶发育，岩层渗透性强，地下水与地表水各水层间的联系密切。地下水基本可分为第四系孔隙潜水和基岩岩溶裂隙水两种类型。区域内主要含水层有：第四系含水砂砾层、侏罗系砂砾石层、岩浆岩孔隙裂隙、石河子组砂岩裂隙、山西组砂岩裂隙；太原组薄层灰岩（一、二、三、四灰） 、本溪组五、六灰及奥陶系与寒武系石灰岩的裂隙岩溶。主要隔水层有：侏罗系粉沙岩、石河子组杂色粘土岩及煤系地层中各含水层之间的粉沙岩、泥质岩、粘土岩，各含水层之间水力联系不甚密切。构成了本区域多层结构地下水类型，属北方多含水层岩溶裂隙充水矿床</w:t>
            </w:r>
            <w:r>
              <w:rPr>
                <w:rFonts w:hint="default" w:ascii="Times New Roman" w:hAnsi="Times New Roman" w:cs="Times New Roman"/>
                <w:color w:val="auto"/>
                <w:sz w:val="24"/>
                <w:highlight w:val="none"/>
              </w:rPr>
              <w:t>。</w:t>
            </w:r>
          </w:p>
          <w:p>
            <w:pPr>
              <w:widowControl/>
              <w:adjustRightInd/>
              <w:snapToGrid/>
              <w:spacing w:after="0" w:line="360" w:lineRule="auto"/>
              <w:ind w:firstLine="480" w:firstLineChars="200"/>
              <w:outlineLvl w:val="2"/>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szCs w:val="24"/>
                <w:highlight w:val="none"/>
                <w:lang w:eastAsia="zh-CN"/>
              </w:rPr>
              <w:t>2</w:t>
            </w:r>
            <w:r>
              <w:rPr>
                <w:rFonts w:hint="eastAsia" w:ascii="Times New Roman" w:hAnsi="Times New Roman" w:eastAsia="宋体" w:cs="Times New Roman"/>
                <w:color w:val="auto"/>
                <w:kern w:val="0"/>
                <w:sz w:val="24"/>
                <w:szCs w:val="24"/>
                <w:highlight w:val="none"/>
                <w:lang w:val="en-US" w:eastAsia="zh-CN"/>
              </w:rPr>
              <w:t>.2.3.2</w:t>
            </w:r>
            <w:r>
              <w:rPr>
                <w:rFonts w:hint="eastAsia" w:ascii="Times New Roman" w:hAnsi="Times New Roman" w:eastAsia="宋体" w:cs="Times New Roman"/>
                <w:color w:val="auto"/>
                <w:kern w:val="0"/>
                <w:sz w:val="24"/>
                <w:szCs w:val="24"/>
                <w:highlight w:val="none"/>
              </w:rPr>
              <w:t>地下水的补给、径流</w:t>
            </w:r>
          </w:p>
          <w:p>
            <w:pPr>
              <w:widowControl w:val="0"/>
              <w:autoSpaceDN w:val="0"/>
              <w:adjustRightInd/>
              <w:snapToGrid/>
              <w:spacing w:after="0" w:line="360" w:lineRule="auto"/>
              <w:ind w:firstLine="480" w:firstLineChars="200"/>
              <w:rPr>
                <w:rFonts w:hint="eastAsia" w:ascii="Times New Roman" w:hAnsi="Times New Roman" w:eastAsia="宋体"/>
                <w:color w:val="auto"/>
                <w:kern w:val="2"/>
                <w:sz w:val="24"/>
              </w:rPr>
            </w:pPr>
            <w:r>
              <w:rPr>
                <w:rFonts w:hint="eastAsia" w:ascii="Times New Roman" w:hAnsi="Times New Roman" w:eastAsia="宋体"/>
                <w:color w:val="auto"/>
                <w:kern w:val="2"/>
                <w:sz w:val="24"/>
              </w:rPr>
              <w:t>（1）松散岩类孔隙水</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松散岩类孔隙水的补给来源，主要是以大气降水入渗补给为主，另外，地表水（主要是河水）的侧向入渗，山坡、谷地的地下径流也是重要的补给方式，其他补给方式有：水库、渠系、农业灌溉的渗漏等。松散岩类孔隙水的径流和排泄，主要受地形和埋藏条件控制，气候和岩性也有一定的影响。自分水岭向谷地汇集，并通过河道及其冲洪积层向下游排泄。沿沭河平原水位埋深一般在3左右，潜水蒸发是排泄的重要途径，其他地区地下水水位埋深较大，潜水蒸发较弱，除自然排泄外，人工开采消耗地下水的重要因素。</w:t>
            </w:r>
          </w:p>
          <w:p>
            <w:pPr>
              <w:widowControl w:val="0"/>
              <w:autoSpaceDN w:val="0"/>
              <w:adjustRightInd/>
              <w:snapToGrid/>
              <w:spacing w:after="0" w:line="360" w:lineRule="auto"/>
              <w:ind w:firstLine="480" w:firstLineChars="200"/>
              <w:rPr>
                <w:rFonts w:hint="eastAsia" w:ascii="Times New Roman" w:hAnsi="Times New Roman" w:eastAsia="宋体"/>
                <w:color w:val="auto"/>
                <w:kern w:val="2"/>
                <w:sz w:val="24"/>
              </w:rPr>
            </w:pPr>
            <w:r>
              <w:rPr>
                <w:rFonts w:hint="eastAsia" w:ascii="Times New Roman" w:hAnsi="Times New Roman" w:eastAsia="宋体"/>
                <w:color w:val="auto"/>
                <w:kern w:val="2"/>
                <w:sz w:val="24"/>
              </w:rPr>
              <w:t>（2）碎屑岩类孔隙裂隙水</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碎屑岩类孔隙裂隙水的补给来源主要是大气降水，蓄水工程和渠系等人工补给量比较大，其他形式补给甚微，碎屑岩处于山区丘陵地带，地形起伏较大，其径流和排泄条件受地质构造、地形、地貌控制，地下水主要以地下潜流的形式由分水岭向两侧第四系含水层排泄，人工开采量不大。</w:t>
            </w:r>
          </w:p>
          <w:p>
            <w:pPr>
              <w:widowControl w:val="0"/>
              <w:autoSpaceDN w:val="0"/>
              <w:adjustRightInd/>
              <w:snapToGrid/>
              <w:spacing w:after="0" w:line="360" w:lineRule="auto"/>
              <w:ind w:firstLine="480" w:firstLineChars="200"/>
              <w:rPr>
                <w:rFonts w:hint="eastAsia" w:ascii="Times New Roman" w:hAnsi="Times New Roman" w:eastAsia="宋体"/>
                <w:color w:val="auto"/>
                <w:kern w:val="2"/>
                <w:sz w:val="24"/>
              </w:rPr>
            </w:pPr>
            <w:r>
              <w:rPr>
                <w:rFonts w:hint="eastAsia" w:ascii="Times New Roman" w:hAnsi="Times New Roman" w:eastAsia="宋体"/>
                <w:color w:val="auto"/>
                <w:kern w:val="2"/>
                <w:sz w:val="24"/>
              </w:rPr>
              <w:t>（3）变质岩、岩浆岩裂隙水</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变质岩、岩浆岩裂隙水的补给来源主要是大气降水，降水入渗工储存于风化裂隙和构造裂隙中，沿裂隙顺山坡由高向低缓慢运行，排入第四系坡洪积物中，形成第四系孔隙水或直接排入山涧沟谷以地表径流等形式排泄。</w:t>
            </w:r>
          </w:p>
          <w:p>
            <w:pPr>
              <w:widowControl w:val="0"/>
              <w:autoSpaceDN w:val="0"/>
              <w:adjustRightInd/>
              <w:snapToGrid/>
              <w:spacing w:after="0" w:line="360" w:lineRule="auto"/>
              <w:ind w:firstLine="480" w:firstLineChars="200"/>
              <w:rPr>
                <w:rFonts w:hint="eastAsia" w:ascii="Times New Roman" w:hAnsi="Times New Roman" w:eastAsia="宋体"/>
                <w:color w:val="auto"/>
                <w:kern w:val="2"/>
                <w:sz w:val="24"/>
              </w:rPr>
            </w:pPr>
            <w:r>
              <w:rPr>
                <w:rFonts w:hint="eastAsia" w:ascii="Times New Roman" w:hAnsi="Times New Roman" w:eastAsia="宋体"/>
                <w:color w:val="auto"/>
                <w:kern w:val="2"/>
                <w:sz w:val="24"/>
              </w:rPr>
              <w:t>（4）碳酸盐岩尖裂隙岩溶水</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大气降水是碳酸盐岩尖裂隙岩溶水的主要补给来源，其次接受第四系孔隙水越流补给，此外农田浇灌回归也占很大比重，由于岩溶不甚发育，其含水特征、径流和排泄条件与变质岩、岩浆裂隙水相似。</w:t>
            </w:r>
          </w:p>
          <w:p>
            <w:pPr>
              <w:widowControl/>
              <w:adjustRightInd/>
              <w:snapToGrid/>
              <w:spacing w:after="0" w:line="360" w:lineRule="auto"/>
              <w:ind w:firstLine="480" w:firstLineChars="200"/>
              <w:outlineLvl w:val="2"/>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szCs w:val="24"/>
                <w:highlight w:val="none"/>
                <w:lang w:val="en-US" w:eastAsia="zh-CN"/>
              </w:rPr>
              <w:t>2.2.3.3</w:t>
            </w:r>
            <w:r>
              <w:rPr>
                <w:rFonts w:hint="eastAsia" w:ascii="Times New Roman" w:hAnsi="Times New Roman" w:eastAsia="宋体" w:cs="Times New Roman"/>
                <w:color w:val="auto"/>
                <w:kern w:val="0"/>
                <w:sz w:val="24"/>
                <w:szCs w:val="24"/>
                <w:highlight w:val="none"/>
              </w:rPr>
              <w:t>地下水开采</w:t>
            </w:r>
          </w:p>
          <w:p>
            <w:pPr>
              <w:widowControl w:val="0"/>
              <w:autoSpaceDN w:val="0"/>
              <w:adjustRightInd/>
              <w:snapToGrid/>
              <w:spacing w:after="0" w:line="360" w:lineRule="auto"/>
              <w:ind w:firstLine="480" w:firstLineChars="200"/>
              <w:rPr>
                <w:rFonts w:hint="eastAsia" w:ascii="Times New Roman" w:hAnsi="Times New Roman" w:eastAsia="宋体"/>
                <w:color w:val="auto"/>
                <w:kern w:val="2"/>
                <w:sz w:val="24"/>
              </w:rPr>
            </w:pPr>
            <w:r>
              <w:rPr>
                <w:rFonts w:hint="eastAsia" w:ascii="Times New Roman" w:hAnsi="Times New Roman" w:eastAsia="宋体"/>
                <w:color w:val="auto"/>
                <w:kern w:val="2"/>
                <w:sz w:val="24"/>
              </w:rPr>
              <w:t>全区多年平均浅层地下水总量1.46亿m</w:t>
            </w:r>
            <w:r>
              <w:rPr>
                <w:rFonts w:hint="eastAsia" w:ascii="Times New Roman" w:hAnsi="Times New Roman" w:eastAsia="宋体"/>
                <w:color w:val="auto"/>
                <w:kern w:val="2"/>
                <w:sz w:val="24"/>
                <w:vertAlign w:val="superscript"/>
              </w:rPr>
              <w:t>3</w:t>
            </w:r>
            <w:r>
              <w:rPr>
                <w:rFonts w:hint="eastAsia" w:ascii="Times New Roman" w:hAnsi="Times New Roman" w:eastAsia="宋体"/>
                <w:color w:val="auto"/>
                <w:kern w:val="2"/>
                <w:sz w:val="24"/>
              </w:rPr>
              <w:t>，年平均可开采量0.96亿m</w:t>
            </w:r>
            <w:r>
              <w:rPr>
                <w:rFonts w:hint="eastAsia" w:ascii="Times New Roman" w:hAnsi="Times New Roman" w:eastAsia="宋体"/>
                <w:color w:val="auto"/>
                <w:kern w:val="2"/>
                <w:sz w:val="24"/>
                <w:vertAlign w:val="superscript"/>
              </w:rPr>
              <w:t>3</w:t>
            </w:r>
            <w:r>
              <w:rPr>
                <w:rFonts w:hint="eastAsia" w:ascii="Times New Roman" w:hAnsi="Times New Roman" w:eastAsia="宋体"/>
                <w:color w:val="auto"/>
                <w:kern w:val="2"/>
                <w:sz w:val="24"/>
              </w:rPr>
              <w:t>。</w:t>
            </w:r>
          </w:p>
          <w:p>
            <w:pPr>
              <w:widowControl/>
              <w:autoSpaceDN/>
              <w:adjustRightInd/>
              <w:snapToGrid/>
              <w:spacing w:after="0" w:line="360" w:lineRule="auto"/>
              <w:ind w:firstLine="480" w:firstLineChars="200"/>
              <w:outlineLvl w:val="2"/>
              <w:rPr>
                <w:rFonts w:hint="eastAsia" w:ascii="Times New Roman" w:hAnsi="Times New Roman" w:eastAsia="宋体" w:cs="Times New Roman"/>
                <w:bCs w:val="0"/>
                <w:color w:val="auto"/>
                <w:kern w:val="0"/>
                <w:sz w:val="24"/>
                <w:szCs w:val="24"/>
                <w:highlight w:val="none"/>
              </w:rPr>
            </w:pPr>
            <w:r>
              <w:rPr>
                <w:rFonts w:hint="eastAsia" w:ascii="Times New Roman" w:hAnsi="Times New Roman" w:eastAsia="宋体" w:cs="Times New Roman"/>
                <w:bCs w:val="0"/>
                <w:color w:val="auto"/>
                <w:kern w:val="0"/>
                <w:sz w:val="24"/>
                <w:szCs w:val="24"/>
                <w:highlight w:val="none"/>
                <w:lang w:val="en-US" w:eastAsia="zh-CN"/>
              </w:rPr>
              <w:t>2.2.3.4</w:t>
            </w:r>
            <w:r>
              <w:rPr>
                <w:rFonts w:hint="eastAsia" w:ascii="Times New Roman" w:hAnsi="Times New Roman" w:eastAsia="宋体" w:cs="Times New Roman"/>
                <w:bCs w:val="0"/>
                <w:color w:val="auto"/>
                <w:kern w:val="0"/>
                <w:sz w:val="24"/>
                <w:szCs w:val="24"/>
                <w:highlight w:val="none"/>
              </w:rPr>
              <w:t xml:space="preserve"> 地下水动态</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区内地下水动态主要受当地大气降水、地表水、人工开采和灌溉的影响，不同含水岩组地下水动态各有其特征和规律性。</w:t>
            </w:r>
          </w:p>
          <w:p>
            <w:pPr>
              <w:widowControl/>
              <w:adjustRightInd/>
              <w:snapToGrid/>
              <w:spacing w:after="0" w:line="360" w:lineRule="auto"/>
              <w:ind w:firstLine="480" w:firstLineChars="200"/>
              <w:outlineLvl w:val="2"/>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2</w:t>
            </w:r>
            <w:r>
              <w:rPr>
                <w:rFonts w:hint="eastAsia" w:ascii="Times New Roman" w:hAnsi="Times New Roman" w:eastAsia="宋体" w:cs="Times New Roman"/>
                <w:color w:val="auto"/>
                <w:kern w:val="0"/>
                <w:sz w:val="24"/>
                <w:szCs w:val="24"/>
                <w:highlight w:val="none"/>
                <w:lang w:val="en-US" w:eastAsia="zh-CN"/>
              </w:rPr>
              <w:t>.2.3.5</w:t>
            </w:r>
            <w:r>
              <w:rPr>
                <w:rFonts w:hint="eastAsia" w:ascii="Times New Roman" w:hAnsi="Times New Roman" w:eastAsia="宋体" w:cs="Times New Roman"/>
                <w:color w:val="auto"/>
                <w:kern w:val="0"/>
                <w:sz w:val="24"/>
                <w:szCs w:val="24"/>
                <w:highlight w:val="none"/>
              </w:rPr>
              <w:t>松散岩类孔隙水动态特征</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松散岩类孔隙水水位年变幅一般在2m—3m左右，枯水年份小于2m，丰水年份大于2m，近河流地带变幅较小，反之变幅稍大。</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由于受到大气降水及地表水体的影响，一年中地下水动态可分为两个变化季节：7—9月份由于汛期降水增加，地下水位迅速上升；10月份到次年6月份降水量减少，水位较缓慢下降；年最高水位大多数出现在7、8、9月份，比集中降水时间一般滞后5—15天，年最低水位出现在4—6月份，个别年份出现在年底，主要取决于当年及上一年降水量的多少。由于松散岩类孔隙水处于开阔的沭河冲积、洪积平原及山前河谷地带，分布较均匀，能够充分地接受大气降水，因此影响孔隙水动态特征的主要因素是大气降水，在远离河流的近分水岭地段，影响水位上升是主要因素是降水量的多少和持续时间的长短。此外，地下水的径流补给和境内地表水的侧渗补给对地下水的动态变化起到了很大的调节作用。</w:t>
            </w:r>
          </w:p>
          <w:p>
            <w:pPr>
              <w:widowControl/>
              <w:adjustRightInd/>
              <w:snapToGrid/>
              <w:spacing w:after="0" w:line="360" w:lineRule="auto"/>
              <w:ind w:firstLine="480" w:firstLineChars="200"/>
              <w:outlineLvl w:val="2"/>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szCs w:val="24"/>
                <w:highlight w:val="none"/>
                <w:lang w:eastAsia="zh-CN"/>
              </w:rPr>
              <w:t>2</w:t>
            </w:r>
            <w:r>
              <w:rPr>
                <w:rFonts w:hint="eastAsia" w:ascii="Times New Roman" w:hAnsi="Times New Roman" w:eastAsia="宋体" w:cs="Times New Roman"/>
                <w:color w:val="auto"/>
                <w:kern w:val="0"/>
                <w:sz w:val="24"/>
                <w:szCs w:val="24"/>
                <w:highlight w:val="none"/>
                <w:lang w:val="en-US" w:eastAsia="zh-CN"/>
              </w:rPr>
              <w:t>.2.3.6</w:t>
            </w:r>
            <w:r>
              <w:rPr>
                <w:rFonts w:hint="eastAsia" w:ascii="Times New Roman" w:hAnsi="Times New Roman" w:eastAsia="宋体" w:cs="Times New Roman"/>
                <w:color w:val="auto"/>
                <w:kern w:val="0"/>
                <w:sz w:val="24"/>
                <w:szCs w:val="24"/>
                <w:highlight w:val="none"/>
              </w:rPr>
              <w:t>裂隙水动态特征</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大气降水是裂隙水水位动态最主要、最明显的影响因素。年内水位动态变化过程大致分为以下四个阶段：7—9月份随汛期来临，地下水一般直接受降水入渗补给，水位迅速回升；10月至来年4月份，降水量逐渐减少，水位以一定的速率均匀下降，5—6月份，由于受农业灌溉影响，水位又略呈上升趋势；6—7月份水位继续下降。年最低水位一般出现在4-7月份，主要取决于上一年降水量的多少和当年汛期出现的早晚。由于受人工开采的影响，地下水水位多年动态变化较为复杂。</w:t>
            </w:r>
          </w:p>
          <w:p>
            <w:pPr>
              <w:widowControl/>
              <w:adjustRightInd/>
              <w:snapToGrid/>
              <w:spacing w:after="0" w:line="360" w:lineRule="auto"/>
              <w:ind w:firstLine="480" w:firstLineChars="200"/>
              <w:outlineLvl w:val="2"/>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szCs w:val="24"/>
                <w:highlight w:val="none"/>
                <w:lang w:eastAsia="zh-CN"/>
              </w:rPr>
              <w:t>2</w:t>
            </w:r>
            <w:r>
              <w:rPr>
                <w:rFonts w:hint="eastAsia" w:ascii="Times New Roman" w:hAnsi="Times New Roman" w:eastAsia="宋体" w:cs="Times New Roman"/>
                <w:color w:val="auto"/>
                <w:kern w:val="0"/>
                <w:sz w:val="24"/>
                <w:szCs w:val="24"/>
                <w:highlight w:val="none"/>
                <w:lang w:val="en-US" w:eastAsia="zh-CN"/>
              </w:rPr>
              <w:t>.2.3.7</w:t>
            </w:r>
            <w:r>
              <w:rPr>
                <w:rFonts w:hint="eastAsia" w:ascii="Times New Roman" w:hAnsi="Times New Roman" w:eastAsia="宋体" w:cs="Times New Roman"/>
                <w:color w:val="auto"/>
                <w:kern w:val="0"/>
                <w:sz w:val="24"/>
                <w:szCs w:val="24"/>
                <w:highlight w:val="none"/>
              </w:rPr>
              <w:t>碳酸盐岩类裂隙岩溶水动态特征</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碳酸盐岩类裂隙岩溶水多年水位动态变化较大，在王家沟附近，多年来水位变幅较大，上升了7.995m，主要原因是由于地下水的径流补给及地表水的入渗对地下水的补给造成的。在年内，地下水水位变化较小，低水位期出现在2月份，高水平期出现在10月份，年变幅0.607m。</w:t>
            </w:r>
          </w:p>
          <w:p>
            <w:pPr>
              <w:widowControl/>
              <w:tabs>
                <w:tab w:val="left" w:pos="720"/>
              </w:tabs>
              <w:autoSpaceDN/>
              <w:adjustRightInd/>
              <w:snapToGrid/>
              <w:spacing w:after="0" w:line="360" w:lineRule="auto"/>
              <w:ind w:firstLine="482" w:firstLineChars="200"/>
              <w:outlineLvl w:val="1"/>
              <w:rPr>
                <w:rFonts w:hint="eastAsia"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szCs w:val="24"/>
                <w:highlight w:val="none"/>
                <w:lang w:val="en-US" w:eastAsia="zh-CN"/>
              </w:rPr>
              <w:t>2.2.4</w:t>
            </w:r>
            <w:r>
              <w:rPr>
                <w:rFonts w:hint="eastAsia" w:ascii="Times New Roman" w:hAnsi="Times New Roman" w:eastAsia="宋体" w:cs="Times New Roman"/>
                <w:b/>
                <w:bCs/>
                <w:color w:val="auto"/>
                <w:kern w:val="0"/>
                <w:sz w:val="24"/>
                <w:szCs w:val="24"/>
                <w:highlight w:val="none"/>
              </w:rPr>
              <w:t>厂区地质条件</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rPr>
              <w:t>拟建项目区域地质断裂发育，石灰岩溶发育，层岩渗透性强，地下水与地表水以及地下水相互之间的水力联系较为密切。拟建项目区域的地下水可划分为第四系孔隙潜水和基岩岩溶裂隙水两种类型。地下水补给、径流与排泄：①大气降水入渗补给：区内地下水的主要来源主要为大气降水，当其向地入渗时，受地形地貌、第四系岩性与厚度等自然因素影响的制约，区内第四系岩性以碎石为主，大气降水入渗条件一般；②地表水渗透补给：区内河流主要为牟汶河，河道底部基岩岩性多为基岩，地表水渗漏补给量较小；③侧向径流补给：风化裂隙水可通过地下径流的方式补给区内地下水；④排泄：以泉的形式排泄。</w:t>
            </w:r>
          </w:p>
          <w:p>
            <w:pPr>
              <w:widowControl w:val="0"/>
              <w:autoSpaceDN w:val="0"/>
              <w:adjustRightInd/>
              <w:snapToGrid/>
              <w:spacing w:after="0" w:line="360" w:lineRule="auto"/>
              <w:ind w:firstLine="480" w:firstLineChars="200"/>
              <w:jc w:val="both"/>
              <w:rPr>
                <w:rFonts w:hint="eastAsia" w:ascii="Times New Roman" w:hAnsi="Times New Roman" w:eastAsia="宋体"/>
                <w:color w:val="auto"/>
                <w:kern w:val="2"/>
                <w:sz w:val="24"/>
              </w:rPr>
            </w:pPr>
            <w:r>
              <w:rPr>
                <w:rFonts w:hint="eastAsia" w:ascii="Times New Roman" w:hAnsi="Times New Roman" w:eastAsia="宋体"/>
                <w:color w:val="auto"/>
                <w:kern w:val="2"/>
                <w:sz w:val="24"/>
                <w:lang w:val="en-US" w:eastAsia="zh-CN"/>
              </w:rPr>
              <w:t>山东钢铁股份有限公司莱芜分公司位于本项目东北方向，距离本项目3km</w:t>
            </w:r>
            <w:r>
              <w:rPr>
                <w:rFonts w:ascii="Times New Roman" w:hAnsi="Times New Roman" w:eastAsia="宋体"/>
                <w:color w:val="auto"/>
                <w:kern w:val="2"/>
                <w:sz w:val="24"/>
              </w:rPr>
              <w:t>。</w:t>
            </w:r>
            <w:r>
              <w:rPr>
                <w:rFonts w:hint="eastAsia" w:ascii="Times New Roman" w:hAnsi="Times New Roman" w:eastAsia="宋体"/>
                <w:color w:val="auto"/>
                <w:kern w:val="2"/>
                <w:sz w:val="24"/>
              </w:rPr>
              <w:t>本次环评引用《</w:t>
            </w:r>
            <w:r>
              <w:rPr>
                <w:rFonts w:hint="eastAsia" w:ascii="Times New Roman" w:hAnsi="Times New Roman" w:eastAsia="宋体"/>
                <w:color w:val="auto"/>
                <w:kern w:val="2"/>
                <w:sz w:val="24"/>
                <w:lang w:val="en-US" w:eastAsia="zh-CN"/>
              </w:rPr>
              <w:t>山东钢铁股份有限公司莱芜分公司新旧动能转换系统优化升级改造项目</w:t>
            </w:r>
            <w:r>
              <w:rPr>
                <w:rFonts w:hint="eastAsia" w:ascii="Times New Roman" w:hAnsi="Times New Roman" w:eastAsia="宋体"/>
                <w:color w:val="auto"/>
                <w:kern w:val="2"/>
                <w:sz w:val="24"/>
              </w:rPr>
              <w:t>环境影响报告书》中岩土工程勘察数据，引用内容如下：</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根据野外钻探，结合原位测试结果及室内土工试验结果，拟建场地地基土在勘察深</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度范围内可划分为4大层，分述如下：</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①1层杂填土（Q 4 ml ）</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杂色，松散~稍密，稍湿。土质不均，主要由建筑垃圾及碎石组成，局部夹少量粘性土及煤灰。据调查，该层堆积时间长短不一。该层分布不普遍，揭露厚度0.20～13.50m，</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层底标高283.48～311.51m。该层共进行重型动力触探试验15.90m，其实测锤击数平均值N′8.5击。</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②2层粉质黏土（Q 2+3 el+dl ）</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棕红色，灰黄色，硬塑。土质不甚均匀，含少量铁锰质氧化物及砂粒及灰岩碎屑，切面稍光滑，韧性及干强度较高，无摇振反应。该层局部分布，揭露厚度0.30～4.9m</w:t>
            </w:r>
            <w:r>
              <w:rPr>
                <w:rFonts w:hint="eastAsia" w:ascii="Times New Roman" w:hAnsi="Times New Roman" w:eastAsia="宋体"/>
                <w:color w:val="auto"/>
                <w:kern w:val="2"/>
                <w:sz w:val="24"/>
                <w:lang w:eastAsia="zh-CN"/>
              </w:rPr>
              <w:t>，</w:t>
            </w:r>
            <w:r>
              <w:rPr>
                <w:rFonts w:hint="eastAsia" w:ascii="Times New Roman" w:hAnsi="Times New Roman" w:eastAsia="宋体"/>
                <w:color w:val="auto"/>
                <w:kern w:val="2"/>
                <w:sz w:val="24"/>
              </w:rPr>
              <w:t>平均厚度1.67m，层底标高284.77～309.69m，</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③3-1层全风化闪长岩（δ 5 3 ）</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灰绿色、灰黄色，组织结构已完全破坏，矿物成分已蚀变不清，岩芯呈土状，局部</w:t>
            </w:r>
          </w:p>
          <w:p>
            <w:pPr>
              <w:numPr>
                <w:ilvl w:val="0"/>
                <w:numId w:val="0"/>
              </w:numPr>
              <w:spacing w:line="360" w:lineRule="auto"/>
              <w:ind w:firstLine="0" w:firstLineChars="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呈砂土状。只有部分钻孔揭露，揭露厚度0.60～4.8m，平均厚度2.59m，层底标高294.46～</w:t>
            </w:r>
          </w:p>
          <w:p>
            <w:pPr>
              <w:numPr>
                <w:ilvl w:val="0"/>
                <w:numId w:val="0"/>
              </w:numPr>
              <w:spacing w:line="360" w:lineRule="auto"/>
              <w:ind w:firstLine="0" w:firstLineChars="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308.49m。该层共进行标准试验16次，其实测锤击数平均值N′24.4击。</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④3-2层强风化闪长岩（δ 5 3 ）</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灰黄色，组织结构大部分破坏，矿物成分已显著变化，裂隙很发育，岩心破碎，风</w:t>
            </w:r>
          </w:p>
          <w:p>
            <w:pPr>
              <w:numPr>
                <w:ilvl w:val="0"/>
                <w:numId w:val="0"/>
              </w:numPr>
              <w:spacing w:line="360" w:lineRule="auto"/>
              <w:ind w:firstLine="0" w:firstLineChars="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化不均匀，岩心碎块，锤击易碎，属较软岩，其岩体基本质量等级为Ⅴ级。只有个别孔揭露，最大揭露厚度一般2.60m。只有133#、14 6#孔揭露，最大揭露厚度12.70m。</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⑤3-3层中风化闪长岩（δ 5 3 ）</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灰黄色，青灰色，中粒结构，块状构造，主要矿物成分为角闪石、长石及少量云母，裂隙较为发育，岩芯多呈块状，少呈柱状，采取率一般为60～70%，RQD为30～40。只有133#孔揭露，最大揭露厚度10.00m。</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⑥4层石灰岩（O）</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浅灰色，中风化，隐晶质结构，层状构造，矿物成分以方解石为主，见大量重结晶山东钢铁股份有限公司莱芜分公司新旧动能转换系统优化升级改造项目环境影响预测与评价方解石脉穿插，裂隙发育，岩芯多呈柱状~长柱状，岩体较完整，风化程度较弱，锤击声脆，难击碎，。岩芯采取率65～85%，RQD为50～70。属较硬岩，其岩体基本质量等级为Ⅲ级。该层厚度较大，在勘察深度范围内未予穿透，最大揭露厚度揭露厚度一般24.70m。该层共取岩样19组，其饱和单轴极限抗压强度平均值为43.63MPa。其岩体基本质量等级为Ⅳ级。</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⑦4-1层石灰岩（O）（破碎）</w:t>
            </w:r>
          </w:p>
          <w:p>
            <w:pPr>
              <w:numPr>
                <w:ilvl w:val="0"/>
                <w:numId w:val="0"/>
              </w:numPr>
              <w:spacing w:line="360" w:lineRule="auto"/>
              <w:ind w:firstLine="480" w:firstLineChars="200"/>
              <w:outlineLvl w:val="9"/>
              <w:rPr>
                <w:rFonts w:hint="eastAsia" w:ascii="Times New Roman" w:hAnsi="Times New Roman" w:eastAsia="宋体"/>
                <w:color w:val="auto"/>
                <w:kern w:val="2"/>
                <w:sz w:val="24"/>
              </w:rPr>
            </w:pPr>
            <w:r>
              <w:rPr>
                <w:rFonts w:hint="eastAsia" w:ascii="Times New Roman" w:hAnsi="Times New Roman" w:eastAsia="宋体"/>
                <w:color w:val="auto"/>
                <w:kern w:val="2"/>
                <w:sz w:val="24"/>
              </w:rPr>
              <w:t>浅灰色，中风化，隐晶质结构，层状构造，矿物成分以方解石为主，岩溶裂隙发育，由粘性土充填。岩芯多呈碎块。岩石致密坚硬，岩体破碎，锤击声脆，难击碎，溶蚀现象明显，见溶孔、溶槽。岩芯采取率45～60%，RQD为0～5。局部地段溶蚀现象明显，溶孔、溶槽，部分钻孔揭露溶洞，为充填~半充填溶洞属较硬岩，其岩体基本质量等级为Ⅴ级。该层主要分布在基岩表层，岩体较破碎，岩溶较发育。</w:t>
            </w:r>
          </w:p>
          <w:p>
            <w:pPr>
              <w:widowControl/>
              <w:numPr>
                <w:ilvl w:val="-1"/>
                <w:numId w:val="0"/>
              </w:numPr>
              <w:tabs>
                <w:tab w:val="left" w:pos="720"/>
              </w:tabs>
              <w:spacing w:line="360" w:lineRule="auto"/>
              <w:ind w:firstLine="482" w:firstLineChars="200"/>
              <w:outlineLvl w:val="1"/>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2.2.5地下水环境质量影响分析</w:t>
            </w:r>
          </w:p>
          <w:p>
            <w:pPr>
              <w:numPr>
                <w:ilvl w:val="0"/>
                <w:numId w:val="0"/>
              </w:numPr>
              <w:spacing w:line="480" w:lineRule="exact"/>
              <w:ind w:firstLine="480" w:firstLineChars="200"/>
              <w:outlineLvl w:val="9"/>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2.2.5.1</w:t>
            </w:r>
            <w:r>
              <w:rPr>
                <w:rFonts w:hint="default" w:ascii="Times New Roman" w:hAnsi="Times New Roman" w:eastAsia="宋体" w:cs="Times New Roman"/>
                <w:b w:val="0"/>
                <w:bCs w:val="0"/>
                <w:color w:val="auto"/>
                <w:kern w:val="0"/>
                <w:sz w:val="24"/>
                <w:szCs w:val="24"/>
                <w:highlight w:val="none"/>
                <w:lang w:val="en-US" w:eastAsia="zh-CN"/>
              </w:rPr>
              <w:t>地下水环境影响评价范围</w:t>
            </w:r>
          </w:p>
          <w:p>
            <w:pPr>
              <w:autoSpaceDE w:val="0"/>
              <w:autoSpaceDN w:val="0"/>
              <w:adjustRightIn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地下水环境》（HJ610-2016），地下水环境影响评价范围与地下水现状调查评价范围一致，地下水调查评价范围可采用查表法确定，地下水环境现状调查评价范围见下表：</w:t>
            </w:r>
          </w:p>
          <w:p>
            <w:pPr>
              <w:spacing w:line="36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7-</w:t>
            </w:r>
            <w:r>
              <w:rPr>
                <w:rFonts w:hint="eastAsia" w:cs="Times New Roman"/>
                <w:b/>
                <w:color w:val="auto"/>
                <w:sz w:val="21"/>
                <w:szCs w:val="21"/>
                <w:highlight w:val="none"/>
                <w:lang w:val="en-US" w:eastAsia="zh-CN"/>
              </w:rPr>
              <w:t>11</w:t>
            </w:r>
            <w:r>
              <w:rPr>
                <w:rFonts w:hint="eastAsia"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 xml:space="preserve"> 地下环境现状调查评价范围参照表</w:t>
            </w:r>
          </w:p>
          <w:tbl>
            <w:tblPr>
              <w:tblStyle w:val="24"/>
              <w:tblW w:w="935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17"/>
              <w:gridCol w:w="3119"/>
              <w:gridCol w:w="31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035" w:type="dxa"/>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评价等级</w:t>
                  </w:r>
                </w:p>
              </w:tc>
              <w:tc>
                <w:tcPr>
                  <w:tcW w:w="3037" w:type="dxa"/>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调查评价面积（</w:t>
                  </w:r>
                  <w:r>
                    <w:rPr>
                      <w:rFonts w:hint="default" w:ascii="Times New Roman" w:hAnsi="Times New Roman" w:cs="Times New Roman"/>
                      <w:b/>
                      <w:color w:val="auto"/>
                      <w:sz w:val="21"/>
                      <w:szCs w:val="21"/>
                      <w:highlight w:val="none"/>
                      <w:lang w:val="en-US" w:eastAsia="zh-CN"/>
                    </w:rPr>
                    <w:t>km</w:t>
                  </w:r>
                  <w:r>
                    <w:rPr>
                      <w:rFonts w:hint="default" w:ascii="Times New Roman" w:hAnsi="Times New Roman" w:cs="Times New Roman"/>
                      <w:b/>
                      <w:color w:val="auto"/>
                      <w:sz w:val="21"/>
                      <w:szCs w:val="21"/>
                      <w:highlight w:val="none"/>
                      <w:vertAlign w:val="superscript"/>
                      <w:lang w:val="en-US" w:eastAsia="zh-CN"/>
                    </w:rPr>
                    <w:t>2</w:t>
                  </w:r>
                  <w:r>
                    <w:rPr>
                      <w:rFonts w:hint="default" w:ascii="Times New Roman" w:hAnsi="Times New Roman" w:cs="Times New Roman"/>
                      <w:b/>
                      <w:color w:val="auto"/>
                      <w:sz w:val="21"/>
                      <w:szCs w:val="21"/>
                      <w:highlight w:val="none"/>
                    </w:rPr>
                    <w:t>）</w:t>
                  </w:r>
                </w:p>
              </w:tc>
              <w:tc>
                <w:tcPr>
                  <w:tcW w:w="3036" w:type="dxa"/>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035"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3037"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3036" w:type="dxa"/>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应包括重要的地下水环境报告目标，必要时适当扩大范围。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035"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3037"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6-20</w:t>
                  </w:r>
                </w:p>
              </w:tc>
              <w:tc>
                <w:tcPr>
                  <w:tcW w:w="3036" w:type="dxa"/>
                  <w:vMerge w:val="continue"/>
                  <w:noWrap w:val="0"/>
                  <w:vAlign w:val="center"/>
                </w:tcPr>
                <w:p>
                  <w:pPr>
                    <w:rPr>
                      <w:rFonts w:hint="default" w:ascii="Times New Roman" w:hAnsi="Times New Roman"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035" w:type="dxa"/>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三级</w:t>
                  </w:r>
                </w:p>
              </w:tc>
              <w:tc>
                <w:tcPr>
                  <w:tcW w:w="3037" w:type="dxa"/>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≤6</w:t>
                  </w:r>
                </w:p>
              </w:tc>
              <w:tc>
                <w:tcPr>
                  <w:tcW w:w="3036" w:type="dxa"/>
                  <w:vMerge w:val="continue"/>
                  <w:noWrap w:val="0"/>
                  <w:vAlign w:val="center"/>
                </w:tcPr>
                <w:p>
                  <w:pPr>
                    <w:rPr>
                      <w:rFonts w:hint="default" w:ascii="Times New Roman" w:hAnsi="Times New Roman" w:cs="Times New Roman"/>
                      <w:color w:val="auto"/>
                      <w:sz w:val="21"/>
                      <w:szCs w:val="21"/>
                      <w:highlight w:val="none"/>
                    </w:rPr>
                  </w:pPr>
                </w:p>
              </w:tc>
            </w:tr>
          </w:tbl>
          <w:p>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w:t>
            </w:r>
            <w:r>
              <w:rPr>
                <w:rFonts w:hint="default" w:ascii="Times New Roman" w:hAnsi="Times New Roman" w:cs="Times New Roman"/>
                <w:color w:val="auto"/>
                <w:sz w:val="24"/>
                <w:highlight w:val="none"/>
                <w:lang w:eastAsia="zh-CN"/>
              </w:rPr>
              <w:t>拟建项目</w:t>
            </w:r>
            <w:r>
              <w:rPr>
                <w:rFonts w:hint="default" w:ascii="Times New Roman" w:hAnsi="Times New Roman" w:cs="Times New Roman"/>
                <w:color w:val="auto"/>
                <w:sz w:val="24"/>
                <w:highlight w:val="none"/>
              </w:rPr>
              <w:t>评价等级为三级，</w:t>
            </w:r>
            <w:r>
              <w:rPr>
                <w:rFonts w:hint="default" w:ascii="Times New Roman" w:hAnsi="Times New Roman" w:cs="Times New Roman"/>
                <w:color w:val="auto"/>
                <w:sz w:val="24"/>
                <w:highlight w:val="none"/>
                <w:lang w:eastAsia="zh-CN"/>
              </w:rPr>
              <w:t>拟建项目</w:t>
            </w:r>
            <w:r>
              <w:rPr>
                <w:rFonts w:hint="default" w:ascii="Times New Roman" w:hAnsi="Times New Roman" w:cs="Times New Roman"/>
                <w:color w:val="auto"/>
                <w:sz w:val="24"/>
                <w:highlight w:val="none"/>
              </w:rPr>
              <w:t>调查评价范围确定为，</w:t>
            </w:r>
            <w:r>
              <w:rPr>
                <w:rFonts w:hint="default" w:ascii="Times New Roman" w:hAnsi="Times New Roman" w:cs="Times New Roman"/>
                <w:color w:val="auto"/>
                <w:sz w:val="24"/>
                <w:highlight w:val="none"/>
                <w:vertAlign w:val="baseline"/>
                <w:lang w:val="en-US" w:eastAsia="zh-CN"/>
              </w:rPr>
              <w:t>根据项目区地下水流向，</w:t>
            </w:r>
            <w:r>
              <w:rPr>
                <w:rFonts w:hint="default" w:ascii="Times New Roman" w:hAnsi="Times New Roman" w:cs="Times New Roman"/>
                <w:color w:val="auto"/>
                <w:sz w:val="24"/>
                <w:highlight w:val="none"/>
                <w:lang w:eastAsia="zh-CN"/>
              </w:rPr>
              <w:t>拟建项目</w:t>
            </w:r>
            <w:r>
              <w:rPr>
                <w:rFonts w:hint="default" w:ascii="Times New Roman" w:hAnsi="Times New Roman" w:cs="Times New Roman"/>
                <w:color w:val="auto"/>
                <w:sz w:val="24"/>
                <w:highlight w:val="none"/>
              </w:rPr>
              <w:t>调查评价范围确定为，</w:t>
            </w:r>
            <w:r>
              <w:rPr>
                <w:rFonts w:hint="default" w:ascii="Times New Roman" w:hAnsi="Times New Roman" w:cs="Times New Roman"/>
                <w:color w:val="auto"/>
                <w:sz w:val="24"/>
                <w:highlight w:val="none"/>
                <w:vertAlign w:val="baseline"/>
                <w:lang w:val="en-US" w:eastAsia="zh-CN"/>
              </w:rPr>
              <w:t>取地下水流向上游1 km，地下水流向下游2km，两侧各1km，共计6km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vertAlign w:val="baseline"/>
                <w:lang w:val="en-US" w:eastAsia="zh-CN"/>
              </w:rPr>
              <w:t>的范围</w:t>
            </w:r>
            <w:r>
              <w:rPr>
                <w:rFonts w:hint="default" w:ascii="Times New Roman" w:hAnsi="Times New Roman" w:cs="Times New Roman"/>
                <w:color w:val="auto"/>
                <w:sz w:val="24"/>
                <w:highlight w:val="none"/>
              </w:rPr>
              <w:t>。</w:t>
            </w:r>
          </w:p>
          <w:p>
            <w:pPr>
              <w:numPr>
                <w:ilvl w:val="0"/>
                <w:numId w:val="0"/>
              </w:numPr>
              <w:spacing w:line="480" w:lineRule="exact"/>
              <w:ind w:firstLine="0" w:firstLineChars="0"/>
              <w:jc w:val="center"/>
              <w:outlineLvl w:val="9"/>
              <w:rPr>
                <w:rFonts w:hint="default" w:ascii="Times New Roman" w:hAnsi="Times New Roman" w:eastAsia="宋体" w:cs="Times New Roman"/>
                <w:b/>
                <w:bCs/>
                <w:color w:val="auto"/>
                <w:kern w:val="0"/>
                <w:sz w:val="21"/>
                <w:szCs w:val="21"/>
                <w:highlight w:val="none"/>
                <w:lang w:val="en-US" w:eastAsia="zh-CN"/>
              </w:rPr>
            </w:pPr>
            <w:r>
              <w:rPr>
                <w:color w:val="auto"/>
              </w:rPr>
              <w:drawing>
                <wp:anchor distT="0" distB="0" distL="114300" distR="114300" simplePos="0" relativeHeight="251677696" behindDoc="0" locked="0" layoutInCell="1" allowOverlap="1">
                  <wp:simplePos x="0" y="0"/>
                  <wp:positionH relativeFrom="column">
                    <wp:posOffset>1560830</wp:posOffset>
                  </wp:positionH>
                  <wp:positionV relativeFrom="paragraph">
                    <wp:posOffset>2540</wp:posOffset>
                  </wp:positionV>
                  <wp:extent cx="2504440" cy="2369185"/>
                  <wp:effectExtent l="0" t="0" r="10160" b="12065"/>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3"/>
                          <a:stretch>
                            <a:fillRect/>
                          </a:stretch>
                        </pic:blipFill>
                        <pic:spPr>
                          <a:xfrm>
                            <a:off x="0" y="0"/>
                            <a:ext cx="2504440" cy="2369185"/>
                          </a:xfrm>
                          <a:prstGeom prst="rect">
                            <a:avLst/>
                          </a:prstGeom>
                          <a:noFill/>
                          <a:ln>
                            <a:noFill/>
                          </a:ln>
                        </pic:spPr>
                      </pic:pic>
                    </a:graphicData>
                  </a:graphic>
                </wp:anchor>
              </w:drawing>
            </w:r>
            <w:r>
              <w:rPr>
                <w:rFonts w:hint="eastAsia" w:ascii="Times New Roman" w:hAnsi="Times New Roman" w:eastAsia="宋体" w:cs="Times New Roman"/>
                <w:b/>
                <w:bCs/>
                <w:color w:val="auto"/>
                <w:kern w:val="0"/>
                <w:sz w:val="21"/>
                <w:szCs w:val="21"/>
                <w:highlight w:val="none"/>
                <w:lang w:val="en-US" w:eastAsia="zh-CN"/>
              </w:rPr>
              <w:t>图7-3  项目地下水评价范围图</w:t>
            </w:r>
          </w:p>
          <w:p>
            <w:pPr>
              <w:numPr>
                <w:ilvl w:val="0"/>
                <w:numId w:val="0"/>
              </w:numPr>
              <w:spacing w:line="480" w:lineRule="exact"/>
              <w:ind w:firstLine="480" w:firstLineChars="200"/>
              <w:outlineLvl w:val="9"/>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2.2.5.2</w:t>
            </w:r>
            <w:r>
              <w:rPr>
                <w:rFonts w:hint="default" w:ascii="Times New Roman" w:hAnsi="Times New Roman" w:eastAsia="宋体" w:cs="Times New Roman"/>
                <w:b w:val="0"/>
                <w:bCs w:val="0"/>
                <w:color w:val="auto"/>
                <w:kern w:val="0"/>
                <w:sz w:val="24"/>
                <w:szCs w:val="24"/>
                <w:highlight w:val="none"/>
                <w:lang w:val="en-US" w:eastAsia="zh-CN"/>
              </w:rPr>
              <w:t>评价原则</w:t>
            </w:r>
          </w:p>
          <w:p>
            <w:pPr>
              <w:spacing w:line="360" w:lineRule="auto"/>
              <w:ind w:firstLine="496"/>
              <w:rPr>
                <w:rFonts w:hint="default" w:ascii="Times New Roman" w:hAnsi="Times New Roman" w:cs="Times New Roman"/>
                <w:bCs/>
                <w:color w:val="auto"/>
                <w:sz w:val="24"/>
                <w:highlight w:val="none"/>
              </w:rPr>
            </w:pPr>
            <w:bookmarkStart w:id="16" w:name="_Toc312679085"/>
            <w:bookmarkStart w:id="17" w:name="_Toc298158664"/>
            <w:bookmarkStart w:id="18" w:name="_Toc20686"/>
            <w:r>
              <w:rPr>
                <w:rFonts w:hint="default" w:ascii="Times New Roman" w:hAnsi="Times New Roman" w:cs="Times New Roman"/>
                <w:color w:val="auto"/>
                <w:spacing w:val="4"/>
                <w:sz w:val="24"/>
                <w:highlight w:val="none"/>
              </w:rPr>
              <w:t>根据</w:t>
            </w:r>
            <w:r>
              <w:rPr>
                <w:rFonts w:hint="default" w:ascii="Times New Roman" w:hAnsi="Times New Roman" w:cs="Times New Roman"/>
                <w:color w:val="auto"/>
                <w:sz w:val="24"/>
                <w:szCs w:val="21"/>
                <w:highlight w:val="none"/>
              </w:rPr>
              <w:t>《环境影响评价技术导则-地下水环境》</w:t>
            </w:r>
            <w:r>
              <w:rPr>
                <w:rFonts w:hint="default" w:ascii="Times New Roman" w:hAnsi="Times New Roman" w:cs="Times New Roman"/>
                <w:bCs/>
                <w:color w:val="auto"/>
                <w:sz w:val="24"/>
                <w:highlight w:val="none"/>
              </w:rPr>
              <w:t>(HJ 610-2016)的规定和相关工勘</w:t>
            </w:r>
            <w:r>
              <w:rPr>
                <w:rFonts w:hint="default" w:ascii="Times New Roman" w:hAnsi="Times New Roman" w:cs="Times New Roman"/>
                <w:color w:val="auto"/>
                <w:sz w:val="24"/>
                <w:highlight w:val="none"/>
              </w:rPr>
              <w:t>报告可知</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本建设项目</w:t>
            </w:r>
            <w:r>
              <w:rPr>
                <w:rFonts w:hint="default" w:ascii="Times New Roman" w:hAnsi="Times New Roman" w:cs="Times New Roman"/>
                <w:bCs/>
                <w:color w:val="auto"/>
                <w:sz w:val="24"/>
                <w:highlight w:val="none"/>
              </w:rPr>
              <w:t>属于</w:t>
            </w:r>
            <w:r>
              <w:rPr>
                <w:rFonts w:hint="default" w:ascii="Times New Roman" w:hAnsi="Times New Roman" w:cs="Times New Roman"/>
                <w:color w:val="auto"/>
                <w:sz w:val="24"/>
                <w:highlight w:val="none"/>
              </w:rPr>
              <w:t>Ⅲ</w:t>
            </w:r>
            <w:r>
              <w:rPr>
                <w:rFonts w:hint="default" w:ascii="Times New Roman" w:hAnsi="Times New Roman" w:cs="Times New Roman"/>
                <w:bCs/>
                <w:color w:val="auto"/>
                <w:sz w:val="24"/>
                <w:highlight w:val="none"/>
              </w:rPr>
              <w:t>类建设项目。</w:t>
            </w:r>
            <w:r>
              <w:rPr>
                <w:rFonts w:hint="default" w:ascii="Times New Roman" w:hAnsi="Times New Roman" w:cs="Times New Roman"/>
                <w:color w:val="auto"/>
                <w:sz w:val="24"/>
                <w:highlight w:val="none"/>
              </w:rPr>
              <w:t>地下水</w:t>
            </w:r>
            <w:r>
              <w:rPr>
                <w:rFonts w:hint="default" w:ascii="Times New Roman" w:hAnsi="Times New Roman" w:cs="Times New Roman"/>
                <w:bCs/>
                <w:color w:val="auto"/>
                <w:sz w:val="24"/>
                <w:highlight w:val="none"/>
              </w:rPr>
              <w:t>环境影响预测遵循《环境影响评价技术导则-总纲》与《环境影响评价技术导则-地下水环境》(HJ 610-2016)确定的原则进行。</w:t>
            </w:r>
            <w:bookmarkEnd w:id="16"/>
            <w:bookmarkEnd w:id="17"/>
            <w:bookmarkEnd w:id="18"/>
          </w:p>
          <w:p>
            <w:pPr>
              <w:numPr>
                <w:ilvl w:val="0"/>
                <w:numId w:val="0"/>
              </w:numPr>
              <w:spacing w:line="480" w:lineRule="exact"/>
              <w:ind w:firstLine="480" w:firstLineChars="200"/>
              <w:outlineLvl w:val="9"/>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2.2.5.3</w:t>
            </w:r>
            <w:r>
              <w:rPr>
                <w:rFonts w:hint="default" w:ascii="Times New Roman" w:hAnsi="Times New Roman" w:eastAsia="宋体" w:cs="Times New Roman"/>
                <w:b w:val="0"/>
                <w:bCs w:val="0"/>
                <w:color w:val="auto"/>
                <w:kern w:val="0"/>
                <w:sz w:val="24"/>
                <w:szCs w:val="24"/>
                <w:highlight w:val="none"/>
                <w:lang w:val="en-US" w:eastAsia="zh-CN"/>
              </w:rPr>
              <w:t>拟建项目废水对浅层地下水环境影响的方式</w:t>
            </w:r>
          </w:p>
          <w:p>
            <w:pPr>
              <w:pStyle w:val="8"/>
              <w:spacing w:line="360" w:lineRule="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拟建项目</w:t>
            </w:r>
            <w:r>
              <w:rPr>
                <w:rFonts w:hint="default" w:ascii="Times New Roman" w:hAnsi="Times New Roman" w:cs="Times New Roman"/>
                <w:b w:val="0"/>
                <w:bCs w:val="0"/>
                <w:color w:val="auto"/>
                <w:sz w:val="24"/>
                <w:szCs w:val="24"/>
                <w:highlight w:val="none"/>
              </w:rPr>
              <w:t>废水对浅层地下水环境影响的方式主要有：</w:t>
            </w:r>
          </w:p>
          <w:p>
            <w:pPr>
              <w:pStyle w:val="8"/>
              <w:spacing w:line="360" w:lineRule="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厂区内</w:t>
            </w:r>
            <w:r>
              <w:rPr>
                <w:rFonts w:hint="eastAsia" w:cs="Times New Roman"/>
                <w:b w:val="0"/>
                <w:bCs w:val="0"/>
                <w:color w:val="auto"/>
                <w:sz w:val="24"/>
                <w:szCs w:val="24"/>
                <w:highlight w:val="none"/>
                <w:lang w:eastAsia="zh-CN"/>
              </w:rPr>
              <w:t>循环水池发生</w:t>
            </w:r>
            <w:r>
              <w:rPr>
                <w:rFonts w:hint="default" w:ascii="Times New Roman" w:hAnsi="Times New Roman" w:cs="Times New Roman"/>
                <w:b w:val="0"/>
                <w:bCs w:val="0"/>
                <w:color w:val="auto"/>
                <w:sz w:val="24"/>
                <w:szCs w:val="24"/>
                <w:highlight w:val="none"/>
              </w:rPr>
              <w:t>渗漏、</w:t>
            </w:r>
            <w:r>
              <w:rPr>
                <w:rFonts w:hint="eastAsia" w:cs="Times New Roman"/>
                <w:b w:val="0"/>
                <w:bCs w:val="0"/>
                <w:color w:val="auto"/>
                <w:sz w:val="24"/>
                <w:szCs w:val="24"/>
                <w:highlight w:val="none"/>
                <w:lang w:eastAsia="zh-CN"/>
              </w:rPr>
              <w:t>污水处理站</w:t>
            </w:r>
            <w:r>
              <w:rPr>
                <w:rFonts w:hint="eastAsia" w:ascii="Times New Roman" w:hAnsi="Times New Roman" w:cs="Times New Roman"/>
                <w:b w:val="0"/>
                <w:bCs w:val="0"/>
                <w:color w:val="auto"/>
                <w:sz w:val="24"/>
                <w:szCs w:val="24"/>
                <w:highlight w:val="none"/>
                <w:lang w:val="en-US" w:eastAsia="zh-CN"/>
              </w:rPr>
              <w:t>发生渗漏</w:t>
            </w:r>
            <w:r>
              <w:rPr>
                <w:rFonts w:hint="eastAsia" w:cs="Times New Roman"/>
                <w:b w:val="0"/>
                <w:bCs w:val="0"/>
                <w:color w:val="auto"/>
                <w:sz w:val="24"/>
                <w:szCs w:val="24"/>
                <w:highlight w:val="none"/>
                <w:lang w:val="en-US" w:eastAsia="zh-CN"/>
              </w:rPr>
              <w:t>、脱硫设施碱液储罐等发生渗漏</w:t>
            </w:r>
            <w:r>
              <w:rPr>
                <w:rFonts w:hint="default" w:ascii="Times New Roman" w:hAnsi="Times New Roman" w:cs="Times New Roman"/>
                <w:b w:val="0"/>
                <w:bCs w:val="0"/>
                <w:color w:val="auto"/>
                <w:sz w:val="24"/>
                <w:szCs w:val="24"/>
                <w:highlight w:val="none"/>
              </w:rPr>
              <w:t>，可能污染浅层地下水。</w:t>
            </w:r>
          </w:p>
          <w:p>
            <w:pPr>
              <w:numPr>
                <w:ilvl w:val="0"/>
                <w:numId w:val="0"/>
              </w:numPr>
              <w:spacing w:line="360" w:lineRule="auto"/>
              <w:ind w:firstLine="480" w:firstLineChars="200"/>
              <w:outlineLvl w:val="9"/>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2.2.5.4</w:t>
            </w:r>
            <w:r>
              <w:rPr>
                <w:rFonts w:hint="default" w:ascii="Times New Roman" w:hAnsi="Times New Roman" w:eastAsia="宋体" w:cs="Times New Roman"/>
                <w:b w:val="0"/>
                <w:bCs w:val="0"/>
                <w:color w:val="auto"/>
                <w:kern w:val="0"/>
                <w:sz w:val="24"/>
                <w:szCs w:val="24"/>
                <w:highlight w:val="none"/>
                <w:lang w:val="en-US" w:eastAsia="zh-CN"/>
              </w:rPr>
              <w:t>拟建项目地下水的环境影响评价</w:t>
            </w:r>
          </w:p>
          <w:p>
            <w:pPr>
              <w:spacing w:line="360" w:lineRule="auto"/>
              <w:ind w:firstLine="480"/>
              <w:rPr>
                <w:rFonts w:hint="default" w:ascii="Times New Roman" w:hAnsi="Times New Roman" w:eastAsia="宋体" w:cs="Times New Roman"/>
                <w:b w:val="0"/>
                <w:bCs w:val="0"/>
                <w:color w:val="auto"/>
                <w:sz w:val="24"/>
                <w:szCs w:val="20"/>
                <w:highlight w:val="none"/>
              </w:rPr>
            </w:pPr>
            <w:r>
              <w:rPr>
                <w:rFonts w:hint="eastAsia" w:cs="Times New Roman"/>
                <w:color w:val="auto"/>
                <w:sz w:val="24"/>
                <w:szCs w:val="20"/>
                <w:highlight w:val="none"/>
                <w:lang w:eastAsia="zh-CN"/>
              </w:rPr>
              <w:t>本项目对各循环水池、污水池等进行防渗处理，</w:t>
            </w:r>
            <w:r>
              <w:rPr>
                <w:rFonts w:hint="default" w:ascii="Times New Roman" w:hAnsi="Times New Roman" w:eastAsia="宋体" w:cs="Times New Roman"/>
                <w:color w:val="auto"/>
                <w:sz w:val="24"/>
                <w:szCs w:val="20"/>
                <w:highlight w:val="none"/>
              </w:rPr>
              <w:t>正常工况情况下不会对周边</w:t>
            </w:r>
            <w:r>
              <w:rPr>
                <w:rFonts w:hint="eastAsia" w:ascii="Times New Roman" w:hAnsi="Times New Roman" w:eastAsia="宋体" w:cs="Times New Roman"/>
                <w:color w:val="auto"/>
                <w:sz w:val="24"/>
                <w:szCs w:val="20"/>
                <w:highlight w:val="none"/>
                <w:lang w:val="en-US" w:eastAsia="zh-CN"/>
              </w:rPr>
              <w:t>地下</w:t>
            </w:r>
            <w:r>
              <w:rPr>
                <w:rFonts w:hint="default" w:ascii="Times New Roman" w:hAnsi="Times New Roman" w:eastAsia="宋体" w:cs="Times New Roman"/>
                <w:color w:val="auto"/>
                <w:sz w:val="24"/>
                <w:szCs w:val="20"/>
                <w:highlight w:val="none"/>
              </w:rPr>
              <w:t>水环境造成影响。非正常工况下，项目对地下水可能造成的影响主要出现泄漏、溢流等事故，导致污染物进入包气带并最终到达浅层地下水，随地下水运移对地下水造成污染</w:t>
            </w:r>
            <w:r>
              <w:rPr>
                <w:rFonts w:hint="default" w:ascii="Times New Roman" w:hAnsi="Times New Roman" w:eastAsia="宋体" w:cs="Times New Roman"/>
                <w:b w:val="0"/>
                <w:bCs w:val="0"/>
                <w:color w:val="auto"/>
                <w:sz w:val="24"/>
                <w:szCs w:val="20"/>
                <w:highlight w:val="none"/>
              </w:rPr>
              <w:t>。</w:t>
            </w:r>
          </w:p>
          <w:p>
            <w:pPr>
              <w:numPr>
                <w:ilvl w:val="-1"/>
                <w:numId w:val="0"/>
              </w:numPr>
              <w:spacing w:line="360" w:lineRule="auto"/>
              <w:ind w:firstLine="480" w:firstLineChars="0"/>
              <w:outlineLvl w:val="9"/>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2.2.5.5</w:t>
            </w:r>
            <w:r>
              <w:rPr>
                <w:rFonts w:hint="default" w:ascii="Times New Roman" w:hAnsi="Times New Roman" w:eastAsia="宋体" w:cs="Times New Roman"/>
                <w:b w:val="0"/>
                <w:bCs w:val="0"/>
                <w:color w:val="auto"/>
                <w:kern w:val="2"/>
                <w:sz w:val="24"/>
                <w:szCs w:val="20"/>
                <w:highlight w:val="none"/>
                <w:lang w:val="en-US" w:eastAsia="zh-CN"/>
              </w:rPr>
              <w:t>地下水污染防治措施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3"/>
              <w:rPr>
                <w:rFonts w:ascii="Times New Roman" w:hAnsi="Times New Roman" w:eastAsia="宋体"/>
                <w:b w:val="0"/>
                <w:bCs/>
                <w:color w:val="auto"/>
                <w:sz w:val="24"/>
              </w:rPr>
            </w:pPr>
            <w:bookmarkStart w:id="19" w:name="_Toc295631728"/>
            <w:bookmarkStart w:id="20" w:name="_Toc327457326"/>
            <w:bookmarkStart w:id="21" w:name="_Toc331142286"/>
            <w:bookmarkStart w:id="22" w:name="_Toc296235586"/>
            <w:bookmarkStart w:id="23" w:name="_Toc294855589"/>
            <w:bookmarkStart w:id="24" w:name="_Toc335230097"/>
            <w:bookmarkStart w:id="25" w:name="_Toc306233129"/>
            <w:bookmarkStart w:id="26" w:name="_Toc295717675"/>
            <w:r>
              <w:rPr>
                <w:rFonts w:hint="eastAsia" w:ascii="Times New Roman" w:hAnsi="Times New Roman" w:eastAsia="宋体"/>
                <w:b w:val="0"/>
                <w:bCs/>
                <w:color w:val="auto"/>
                <w:sz w:val="24"/>
                <w:lang w:val="en-US" w:eastAsia="zh-CN"/>
              </w:rPr>
              <w:t>（1）</w:t>
            </w:r>
            <w:r>
              <w:rPr>
                <w:rFonts w:hint="eastAsia" w:ascii="Times New Roman" w:hAnsi="Times New Roman" w:eastAsia="宋体"/>
                <w:b w:val="0"/>
                <w:bCs/>
                <w:color w:val="auto"/>
                <w:sz w:val="24"/>
              </w:rPr>
              <w:t>防腐防渗分区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宋体"/>
                <w:color w:val="auto"/>
                <w:kern w:val="0"/>
                <w:sz w:val="24"/>
              </w:rPr>
            </w:pPr>
            <w:r>
              <w:rPr>
                <w:rFonts w:hint="eastAsia" w:ascii="Times New Roman" w:hAnsi="Times New Roman" w:eastAsia="宋体" w:cs="宋体"/>
                <w:color w:val="auto"/>
                <w:kern w:val="0"/>
                <w:sz w:val="24"/>
              </w:rPr>
              <w:t>根</w:t>
            </w:r>
            <w:r>
              <w:rPr>
                <w:rFonts w:hint="eastAsia" w:ascii="Times New Roman" w:hAnsi="Times New Roman" w:eastAsia="宋体" w:cs="宋体"/>
                <w:color w:val="auto"/>
                <w:spacing w:val="-24"/>
                <w:kern w:val="0"/>
                <w:sz w:val="24"/>
              </w:rPr>
              <w:t>据</w:t>
            </w:r>
            <w:r>
              <w:rPr>
                <w:rFonts w:hint="eastAsia" w:ascii="Times New Roman" w:hAnsi="Times New Roman" w:eastAsia="宋体" w:cs="宋体"/>
                <w:color w:val="auto"/>
                <w:kern w:val="0"/>
                <w:sz w:val="24"/>
              </w:rPr>
              <w:t>《石油化工工程防渗技术规</w:t>
            </w:r>
            <w:r>
              <w:rPr>
                <w:rFonts w:hint="eastAsia" w:ascii="Times New Roman" w:hAnsi="Times New Roman" w:eastAsia="宋体" w:cs="宋体"/>
                <w:color w:val="auto"/>
                <w:spacing w:val="1"/>
                <w:kern w:val="0"/>
                <w:sz w:val="24"/>
              </w:rPr>
              <w:t>范</w:t>
            </w:r>
            <w:r>
              <w:rPr>
                <w:rFonts w:hint="eastAsia" w:ascii="Times New Roman" w:hAnsi="Times New Roman" w:eastAsia="宋体" w:cs="宋体"/>
                <w:color w:val="auto"/>
                <w:spacing w:val="-48"/>
                <w:kern w:val="0"/>
                <w:sz w:val="24"/>
              </w:rPr>
              <w:t>》</w:t>
            </w:r>
            <w:r>
              <w:rPr>
                <w:rFonts w:hint="eastAsia" w:ascii="Times New Roman" w:hAnsi="Times New Roman" w:eastAsia="宋体" w:cs="宋体"/>
                <w:color w:val="auto"/>
                <w:kern w:val="0"/>
                <w:sz w:val="24"/>
              </w:rPr>
              <w:t>（</w:t>
            </w:r>
            <w:r>
              <w:rPr>
                <w:rFonts w:ascii="Times New Roman" w:hAnsi="Times New Roman" w:eastAsia="宋体" w:cs="宋体"/>
                <w:color w:val="auto"/>
                <w:kern w:val="0"/>
                <w:sz w:val="24"/>
              </w:rPr>
              <w:t>GB/T50</w:t>
            </w:r>
            <w:r>
              <w:rPr>
                <w:rFonts w:ascii="Times New Roman" w:hAnsi="Times New Roman" w:eastAsia="宋体" w:cs="宋体"/>
                <w:color w:val="auto"/>
                <w:spacing w:val="5"/>
                <w:kern w:val="0"/>
                <w:sz w:val="24"/>
              </w:rPr>
              <w:t>9</w:t>
            </w:r>
            <w:r>
              <w:rPr>
                <w:rFonts w:ascii="Times New Roman" w:hAnsi="Times New Roman" w:eastAsia="宋体" w:cs="宋体"/>
                <w:color w:val="auto"/>
                <w:kern w:val="0"/>
                <w:sz w:val="24"/>
              </w:rPr>
              <w:t>34-2013</w:t>
            </w:r>
            <w:r>
              <w:rPr>
                <w:rFonts w:hint="eastAsia" w:ascii="Times New Roman" w:hAnsi="Times New Roman" w:eastAsia="宋体" w:cs="宋体"/>
                <w:color w:val="auto"/>
                <w:spacing w:val="-24"/>
                <w:kern w:val="0"/>
                <w:sz w:val="24"/>
              </w:rPr>
              <w:t>）</w:t>
            </w:r>
            <w:r>
              <w:rPr>
                <w:rFonts w:hint="eastAsia" w:ascii="Times New Roman" w:hAnsi="Times New Roman" w:eastAsia="宋体" w:cs="宋体"/>
                <w:color w:val="auto"/>
                <w:kern w:val="0"/>
                <w:sz w:val="24"/>
              </w:rPr>
              <w:t>中污染防治分区的规定</w:t>
            </w:r>
            <w:r>
              <w:rPr>
                <w:rFonts w:hint="eastAsia" w:ascii="Times New Roman" w:hAnsi="Times New Roman" w:eastAsia="宋体" w:cs="宋体"/>
                <w:color w:val="auto"/>
                <w:spacing w:val="-29"/>
                <w:kern w:val="0"/>
                <w:sz w:val="24"/>
              </w:rPr>
              <w:t>，</w:t>
            </w:r>
            <w:r>
              <w:rPr>
                <w:rFonts w:hint="eastAsia" w:ascii="Times New Roman" w:hAnsi="Times New Roman" w:eastAsia="宋体" w:cs="宋体"/>
                <w:color w:val="auto"/>
                <w:kern w:val="0"/>
                <w:sz w:val="24"/>
              </w:rPr>
              <w:t>根据装置</w:t>
            </w:r>
            <w:r>
              <w:rPr>
                <w:rFonts w:hint="eastAsia" w:ascii="Times New Roman" w:hAnsi="Times New Roman" w:eastAsia="宋体" w:cs="宋体"/>
                <w:color w:val="auto"/>
                <w:spacing w:val="-29"/>
                <w:kern w:val="0"/>
                <w:sz w:val="24"/>
              </w:rPr>
              <w:t>、</w:t>
            </w:r>
            <w:r>
              <w:rPr>
                <w:rFonts w:hint="eastAsia" w:ascii="Times New Roman" w:hAnsi="Times New Roman" w:eastAsia="宋体" w:cs="宋体"/>
                <w:color w:val="auto"/>
                <w:kern w:val="0"/>
                <w:sz w:val="24"/>
              </w:rPr>
              <w:t>单元的特点和所处的区</w:t>
            </w:r>
            <w:r>
              <w:rPr>
                <w:rFonts w:hint="eastAsia" w:ascii="Times New Roman" w:hAnsi="Times New Roman" w:eastAsia="宋体" w:cs="宋体"/>
                <w:color w:val="auto"/>
                <w:spacing w:val="1"/>
                <w:kern w:val="0"/>
                <w:sz w:val="24"/>
              </w:rPr>
              <w:t>域</w:t>
            </w:r>
            <w:r>
              <w:rPr>
                <w:rFonts w:hint="eastAsia" w:ascii="Times New Roman" w:hAnsi="Times New Roman" w:eastAsia="宋体" w:cs="宋体"/>
                <w:color w:val="auto"/>
                <w:kern w:val="0"/>
                <w:sz w:val="24"/>
              </w:rPr>
              <w:t>及部位</w:t>
            </w:r>
            <w:r>
              <w:rPr>
                <w:rFonts w:hint="eastAsia" w:ascii="Times New Roman" w:hAnsi="Times New Roman" w:eastAsia="宋体" w:cs="宋体"/>
                <w:color w:val="auto"/>
                <w:spacing w:val="-29"/>
                <w:kern w:val="0"/>
                <w:sz w:val="24"/>
              </w:rPr>
              <w:t>，</w:t>
            </w:r>
            <w:r>
              <w:rPr>
                <w:rFonts w:hint="eastAsia" w:ascii="Times New Roman" w:hAnsi="Times New Roman" w:eastAsia="宋体" w:cs="宋体"/>
                <w:color w:val="auto"/>
                <w:kern w:val="0"/>
                <w:sz w:val="24"/>
              </w:rPr>
              <w:t>可将建设场地划分为非污染防治区、一般污染防治区和重点污染防治</w:t>
            </w:r>
            <w:r>
              <w:rPr>
                <w:rFonts w:hint="eastAsia" w:ascii="Times New Roman" w:hAnsi="Times New Roman" w:eastAsia="宋体" w:cs="宋体"/>
                <w:color w:val="auto"/>
                <w:spacing w:val="1"/>
                <w:kern w:val="0"/>
                <w:sz w:val="24"/>
              </w:rPr>
              <w:t>区</w:t>
            </w:r>
            <w:r>
              <w:rPr>
                <w:rFonts w:hint="eastAsia" w:ascii="Times New Roman" w:hAnsi="Times New Roman" w:eastAsia="宋体" w:cs="宋体"/>
                <w:color w:val="auto"/>
                <w:kern w:val="0"/>
                <w:sz w:val="24"/>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olor w:val="auto"/>
                <w:sz w:val="24"/>
              </w:rPr>
              <w:t>一般污染防治区：对地下水环境有污染的物料或污染物泄漏后，可及时发现和处理的区域或部位。</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olor w:val="auto"/>
                <w:sz w:val="24"/>
              </w:rPr>
            </w:pPr>
            <w:r>
              <w:rPr>
                <w:rFonts w:hint="eastAsia" w:ascii="Times New Roman" w:hAnsi="Times New Roman" w:eastAsia="宋体"/>
                <w:color w:val="auto"/>
                <w:sz w:val="24"/>
              </w:rPr>
              <w:t>重点污染防治区：对地下水环境有污染的物料或污染物泄漏后，不能及时发现和处理的区域或部位。</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olor w:val="auto"/>
                <w:sz w:val="24"/>
              </w:rPr>
            </w:pPr>
            <w:r>
              <w:rPr>
                <w:rFonts w:hint="eastAsia" w:ascii="Times New Roman" w:hAnsi="Times New Roman" w:eastAsia="宋体"/>
                <w:color w:val="auto"/>
                <w:sz w:val="24"/>
              </w:rPr>
              <w:t>非污染防治区：一般和重点污染防治区以外的区域或部位。</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3"/>
              <w:rPr>
                <w:rFonts w:ascii="Times New Roman" w:hAnsi="Times New Roman" w:eastAsia="宋体"/>
                <w:b w:val="0"/>
                <w:bCs/>
                <w:color w:val="auto"/>
                <w:sz w:val="24"/>
              </w:rPr>
            </w:pPr>
            <w:r>
              <w:rPr>
                <w:rFonts w:hint="eastAsia" w:ascii="Times New Roman" w:hAnsi="Times New Roman" w:eastAsia="宋体"/>
                <w:b w:val="0"/>
                <w:bCs/>
                <w:color w:val="auto"/>
                <w:sz w:val="24"/>
                <w:lang w:val="en-US" w:eastAsia="zh-CN"/>
              </w:rPr>
              <w:t>（2）</w:t>
            </w:r>
            <w:r>
              <w:rPr>
                <w:rFonts w:hint="eastAsia" w:ascii="Times New Roman" w:hAnsi="Times New Roman" w:eastAsia="宋体"/>
                <w:b w:val="0"/>
                <w:bCs/>
                <w:color w:val="auto"/>
                <w:sz w:val="24"/>
              </w:rPr>
              <w:t>工程防渗</w:t>
            </w:r>
          </w:p>
          <w:p>
            <w:pPr>
              <w:pStyle w:val="89"/>
              <w:keepNext w:val="0"/>
              <w:keepLines w:val="0"/>
              <w:pageBreakBefore w:val="0"/>
              <w:widowControl w:val="0"/>
              <w:kinsoku/>
              <w:wordWrap/>
              <w:overflowPunct/>
              <w:topLinePunct w:val="0"/>
              <w:bidi w:val="0"/>
              <w:spacing w:line="360" w:lineRule="auto"/>
              <w:textAlignment w:val="auto"/>
              <w:rPr>
                <w:rFonts w:hint="eastAsia" w:ascii="Times New Roman" w:hAnsi="Times New Roman" w:eastAsia="宋体"/>
                <w:color w:val="auto"/>
              </w:rPr>
            </w:pPr>
            <w:r>
              <w:rPr>
                <w:rFonts w:hint="eastAsia" w:ascii="Times New Roman" w:hAnsi="Times New Roman" w:eastAsia="宋体"/>
                <w:color w:val="auto"/>
                <w:lang w:val="en-US" w:eastAsia="zh-CN"/>
              </w:rPr>
              <w:t>①</w:t>
            </w:r>
            <w:r>
              <w:rPr>
                <w:rFonts w:hint="eastAsia" w:ascii="Times New Roman" w:hAnsi="Times New Roman" w:eastAsia="宋体"/>
                <w:color w:val="auto"/>
              </w:rPr>
              <w:t>建设项目场地的包气带防污性能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olor w:val="auto"/>
                <w:sz w:val="24"/>
              </w:rPr>
            </w:pPr>
            <w:r>
              <w:rPr>
                <w:rFonts w:hint="eastAsia" w:ascii="Times New Roman" w:hAnsi="Times New Roman" w:eastAsia="宋体"/>
                <w:color w:val="auto"/>
                <w:sz w:val="24"/>
              </w:rPr>
              <w:t>厂区附近</w:t>
            </w:r>
            <w:r>
              <w:rPr>
                <w:rFonts w:ascii="Times New Roman" w:hAnsi="Times New Roman" w:eastAsia="宋体"/>
                <w:bCs/>
                <w:color w:val="auto"/>
                <w:kern w:val="0"/>
                <w:sz w:val="24"/>
                <w:szCs w:val="27"/>
              </w:rPr>
              <w:t>水位埋深一般</w:t>
            </w:r>
            <w:r>
              <w:rPr>
                <w:rFonts w:hint="eastAsia" w:ascii="Times New Roman" w:hAnsi="Times New Roman" w:eastAsia="宋体"/>
                <w:bCs/>
                <w:color w:val="auto"/>
                <w:kern w:val="0"/>
                <w:sz w:val="24"/>
                <w:szCs w:val="27"/>
              </w:rPr>
              <w:t>7</w:t>
            </w:r>
            <w:r>
              <w:rPr>
                <w:rFonts w:ascii="Times New Roman" w:hAnsi="Times New Roman" w:eastAsia="宋体"/>
                <w:bCs/>
                <w:color w:val="auto"/>
                <w:kern w:val="0"/>
                <w:sz w:val="24"/>
                <w:szCs w:val="27"/>
              </w:rPr>
              <w:t>~</w:t>
            </w:r>
            <w:r>
              <w:rPr>
                <w:rFonts w:hint="eastAsia" w:ascii="Times New Roman" w:hAnsi="Times New Roman" w:eastAsia="宋体"/>
                <w:bCs/>
                <w:color w:val="auto"/>
                <w:kern w:val="0"/>
                <w:sz w:val="24"/>
                <w:szCs w:val="27"/>
              </w:rPr>
              <w:t>19</w:t>
            </w:r>
            <w:r>
              <w:rPr>
                <w:rFonts w:ascii="Times New Roman" w:hAnsi="Times New Roman" w:eastAsia="宋体"/>
                <w:bCs/>
                <w:color w:val="auto"/>
                <w:kern w:val="0"/>
                <w:sz w:val="24"/>
                <w:szCs w:val="27"/>
              </w:rPr>
              <w:t>m，</w:t>
            </w:r>
            <w:r>
              <w:rPr>
                <w:rFonts w:hint="eastAsia" w:ascii="Times New Roman" w:hAnsi="Times New Roman" w:eastAsia="宋体"/>
                <w:bCs/>
                <w:color w:val="auto"/>
                <w:kern w:val="0"/>
                <w:sz w:val="24"/>
                <w:szCs w:val="27"/>
              </w:rPr>
              <w:t>根据岩土性质查阅水文地质手册可知区内</w:t>
            </w:r>
            <w:r>
              <w:rPr>
                <w:rFonts w:ascii="Times New Roman" w:hAnsi="Times New Roman" w:eastAsia="宋体"/>
                <w:bCs/>
                <w:color w:val="auto"/>
                <w:kern w:val="0"/>
                <w:sz w:val="24"/>
                <w:szCs w:val="27"/>
              </w:rPr>
              <w:t>渗透系数0.</w:t>
            </w:r>
            <w:r>
              <w:rPr>
                <w:rFonts w:hint="eastAsia" w:ascii="Times New Roman" w:hAnsi="Times New Roman" w:eastAsia="宋体"/>
                <w:bCs/>
                <w:color w:val="auto"/>
                <w:kern w:val="0"/>
                <w:sz w:val="24"/>
                <w:szCs w:val="27"/>
              </w:rPr>
              <w:t>64</w:t>
            </w:r>
            <w:r>
              <w:rPr>
                <w:rFonts w:ascii="Times New Roman" w:hAnsi="Times New Roman" w:eastAsia="宋体"/>
                <w:bCs/>
                <w:color w:val="auto"/>
                <w:kern w:val="0"/>
                <w:sz w:val="24"/>
                <w:szCs w:val="27"/>
              </w:rPr>
              <w:t>m/d-</w:t>
            </w:r>
            <w:r>
              <w:rPr>
                <w:rFonts w:hint="eastAsia" w:ascii="Times New Roman" w:hAnsi="Times New Roman" w:eastAsia="宋体"/>
                <w:bCs/>
                <w:color w:val="auto"/>
                <w:kern w:val="0"/>
                <w:sz w:val="24"/>
                <w:szCs w:val="27"/>
              </w:rPr>
              <w:t>7.62</w:t>
            </w:r>
            <w:r>
              <w:rPr>
                <w:rFonts w:ascii="Times New Roman" w:hAnsi="Times New Roman" w:eastAsia="宋体"/>
                <w:bCs/>
                <w:color w:val="auto"/>
                <w:kern w:val="0"/>
                <w:sz w:val="24"/>
                <w:szCs w:val="27"/>
              </w:rPr>
              <w:t>m/d（</w:t>
            </w:r>
            <w:r>
              <w:rPr>
                <w:rFonts w:hint="eastAsia" w:ascii="Times New Roman" w:hAnsi="Times New Roman" w:eastAsia="宋体"/>
                <w:bCs/>
                <w:color w:val="auto"/>
                <w:kern w:val="0"/>
                <w:sz w:val="24"/>
                <w:szCs w:val="27"/>
              </w:rPr>
              <w:t>7.45</w:t>
            </w:r>
            <w:r>
              <w:rPr>
                <w:rFonts w:ascii="Times New Roman" w:hAnsi="Times New Roman" w:eastAsia="宋体"/>
                <w:bCs/>
                <w:color w:val="auto"/>
                <w:kern w:val="0"/>
                <w:sz w:val="24"/>
                <w:szCs w:val="27"/>
              </w:rPr>
              <w:t>×10</w:t>
            </w:r>
            <w:r>
              <w:rPr>
                <w:rFonts w:ascii="Times New Roman" w:hAnsi="Times New Roman" w:eastAsia="宋体"/>
                <w:bCs/>
                <w:color w:val="auto"/>
                <w:kern w:val="0"/>
                <w:sz w:val="24"/>
                <w:szCs w:val="27"/>
                <w:vertAlign w:val="superscript"/>
              </w:rPr>
              <w:t>-4</w:t>
            </w:r>
            <w:r>
              <w:rPr>
                <w:rFonts w:ascii="Times New Roman" w:hAnsi="Times New Roman" w:eastAsia="宋体"/>
                <w:bCs/>
                <w:color w:val="auto"/>
                <w:kern w:val="0"/>
                <w:sz w:val="24"/>
                <w:szCs w:val="27"/>
              </w:rPr>
              <w:t>-</w:t>
            </w:r>
            <w:r>
              <w:rPr>
                <w:rFonts w:hint="eastAsia" w:ascii="Times New Roman" w:hAnsi="Times New Roman" w:eastAsia="宋体"/>
                <w:bCs/>
                <w:color w:val="auto"/>
                <w:kern w:val="0"/>
                <w:sz w:val="24"/>
                <w:szCs w:val="27"/>
              </w:rPr>
              <w:t>8.82</w:t>
            </w:r>
            <w:r>
              <w:rPr>
                <w:rFonts w:ascii="Times New Roman" w:hAnsi="Times New Roman" w:eastAsia="宋体"/>
                <w:bCs/>
                <w:color w:val="auto"/>
                <w:kern w:val="0"/>
                <w:sz w:val="24"/>
                <w:szCs w:val="27"/>
              </w:rPr>
              <w:t>×10</w:t>
            </w:r>
            <w:r>
              <w:rPr>
                <w:rFonts w:ascii="Times New Roman" w:hAnsi="Times New Roman" w:eastAsia="宋体"/>
                <w:bCs/>
                <w:color w:val="auto"/>
                <w:kern w:val="0"/>
                <w:sz w:val="24"/>
                <w:szCs w:val="27"/>
                <w:vertAlign w:val="superscript"/>
              </w:rPr>
              <w:t>-</w:t>
            </w:r>
            <w:r>
              <w:rPr>
                <w:rFonts w:hint="eastAsia" w:ascii="Times New Roman" w:hAnsi="Times New Roman" w:eastAsia="宋体"/>
                <w:bCs/>
                <w:color w:val="auto"/>
                <w:kern w:val="0"/>
                <w:sz w:val="24"/>
                <w:szCs w:val="27"/>
                <w:vertAlign w:val="superscript"/>
              </w:rPr>
              <w:t>3</w:t>
            </w:r>
            <w:r>
              <w:rPr>
                <w:rFonts w:ascii="Times New Roman" w:hAnsi="Times New Roman" w:eastAsia="宋体"/>
                <w:bCs/>
                <w:color w:val="auto"/>
                <w:kern w:val="0"/>
                <w:sz w:val="24"/>
                <w:szCs w:val="27"/>
              </w:rPr>
              <w:t>cm/s）</w:t>
            </w:r>
            <w:r>
              <w:rPr>
                <w:rFonts w:hint="eastAsia" w:ascii="Times New Roman" w:hAnsi="Times New Roman" w:eastAsia="宋体"/>
                <w:bCs/>
                <w:color w:val="auto"/>
                <w:kern w:val="0"/>
                <w:sz w:val="24"/>
                <w:szCs w:val="27"/>
              </w:rPr>
              <w:t>。</w:t>
            </w:r>
            <w:r>
              <w:rPr>
                <w:rFonts w:ascii="Times New Roman" w:hAnsi="Times New Roman" w:eastAsia="宋体"/>
                <w:color w:val="auto"/>
                <w:sz w:val="24"/>
              </w:rPr>
              <w:t>按照导则的划分，包气带隔污性能为</w:t>
            </w:r>
            <w:r>
              <w:rPr>
                <w:rFonts w:hint="eastAsia" w:ascii="Times New Roman" w:hAnsi="Times New Roman" w:eastAsia="宋体"/>
                <w:color w:val="auto"/>
                <w:sz w:val="24"/>
              </w:rPr>
              <w:t>弱</w:t>
            </w:r>
            <w:r>
              <w:rPr>
                <w:rFonts w:ascii="Times New Roman" w:hAnsi="Times New Roman" w:eastAsia="宋体"/>
                <w:color w:val="auto"/>
                <w:sz w:val="24"/>
              </w:rPr>
              <w:t>。</w:t>
            </w:r>
            <w:r>
              <w:rPr>
                <w:rFonts w:hint="eastAsia" w:ascii="Times New Roman" w:hAnsi="Times New Roman" w:eastAsia="宋体"/>
                <w:color w:val="auto"/>
                <w:sz w:val="24"/>
              </w:rPr>
              <w:t xml:space="preserve"> 因此要重点防范非正常工况的产生。</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olor w:val="auto"/>
                <w:sz w:val="24"/>
              </w:rPr>
            </w:pPr>
            <w:r>
              <w:rPr>
                <w:rFonts w:hint="eastAsia" w:ascii="Times New Roman" w:hAnsi="Times New Roman" w:eastAsia="宋体"/>
                <w:color w:val="auto"/>
                <w:sz w:val="24"/>
                <w:lang w:val="en-US" w:eastAsia="zh-CN"/>
              </w:rPr>
              <w:t>②</w:t>
            </w:r>
            <w:r>
              <w:rPr>
                <w:rFonts w:hint="eastAsia" w:ascii="Times New Roman" w:hAnsi="Times New Roman" w:eastAsia="宋体"/>
                <w:color w:val="auto"/>
                <w:sz w:val="24"/>
              </w:rPr>
              <w:t>工程防渗要求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3"/>
              <w:rPr>
                <w:rFonts w:hint="eastAsia" w:ascii="Times New Roman" w:hAnsi="Times New Roman" w:eastAsia="宋体"/>
                <w:color w:val="auto"/>
                <w:sz w:val="24"/>
              </w:rPr>
            </w:pPr>
            <w:r>
              <w:rPr>
                <w:rFonts w:hint="eastAsia" w:ascii="Times New Roman" w:hAnsi="Times New Roman" w:eastAsia="宋体"/>
                <w:color w:val="auto"/>
                <w:sz w:val="24"/>
                <w:lang w:val="en-US" w:eastAsia="zh-CN"/>
              </w:rPr>
              <w:t>对项目设计的构筑物</w:t>
            </w:r>
            <w:r>
              <w:rPr>
                <w:rFonts w:hint="eastAsia" w:ascii="Times New Roman" w:hAnsi="Times New Roman" w:eastAsia="宋体"/>
                <w:color w:val="auto"/>
                <w:sz w:val="24"/>
              </w:rPr>
              <w:t>进行分区防渗，其中重点防渗区为</w:t>
            </w:r>
            <w:r>
              <w:rPr>
                <w:rFonts w:hint="eastAsia"/>
                <w:color w:val="auto"/>
                <w:sz w:val="24"/>
                <w:lang w:val="en-US" w:eastAsia="zh-CN"/>
              </w:rPr>
              <w:t>循环水池、生活污水处理站和碱液储罐区</w:t>
            </w:r>
            <w:r>
              <w:rPr>
                <w:rFonts w:hint="eastAsia" w:ascii="Times New Roman" w:hAnsi="Times New Roman" w:eastAsia="宋体"/>
                <w:color w:val="auto"/>
                <w:sz w:val="24"/>
              </w:rPr>
              <w:t>，一般防渗区为</w:t>
            </w:r>
            <w:r>
              <w:rPr>
                <w:rFonts w:hint="eastAsia"/>
                <w:color w:val="auto"/>
                <w:sz w:val="24"/>
                <w:lang w:val="en-US" w:eastAsia="zh-CN"/>
              </w:rPr>
              <w:t>车间场地</w:t>
            </w:r>
            <w:r>
              <w:rPr>
                <w:rFonts w:hint="eastAsia" w:ascii="Times New Roman" w:hAnsi="Times New Roman" w:eastAsia="宋体"/>
                <w:color w:val="auto"/>
                <w:sz w:val="24"/>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3"/>
              <w:rPr>
                <w:rFonts w:hint="eastAsia" w:ascii="Times New Roman" w:hAnsi="Times New Roman" w:eastAsia="宋体"/>
                <w:color w:val="auto"/>
                <w:sz w:val="24"/>
              </w:rPr>
            </w:pPr>
            <w:r>
              <w:rPr>
                <w:rFonts w:hint="eastAsia" w:ascii="Times New Roman" w:hAnsi="Times New Roman" w:eastAsia="宋体"/>
                <w:color w:val="auto"/>
                <w:sz w:val="24"/>
              </w:rPr>
              <w:t>具体地下水防渗分区见下表。</w:t>
            </w:r>
          </w:p>
          <w:p>
            <w:pPr>
              <w:pStyle w:val="90"/>
              <w:keepNext w:val="0"/>
              <w:keepLines w:val="0"/>
              <w:pageBreakBefore w:val="0"/>
              <w:widowControl w:val="0"/>
              <w:kinsoku/>
              <w:wordWrap/>
              <w:overflowPunct/>
              <w:topLinePunct w:val="0"/>
              <w:bidi w:val="0"/>
              <w:adjustRightInd w:val="0"/>
              <w:snapToGrid w:val="0"/>
              <w:spacing w:line="360" w:lineRule="auto"/>
              <w:ind w:firstLine="0" w:firstLineChars="0"/>
              <w:jc w:val="center"/>
              <w:textAlignment w:val="auto"/>
              <w:rPr>
                <w:rFonts w:hint="default" w:ascii="Times New Roman" w:hAnsi="Times New Roman" w:cs="Times New Roman" w:eastAsiaTheme="minorEastAsia"/>
                <w:b/>
                <w:color w:val="auto"/>
                <w:kern w:val="2"/>
                <w:sz w:val="21"/>
                <w:szCs w:val="21"/>
                <w:highlight w:val="none"/>
                <w:lang w:val="en-US" w:eastAsia="zh-CN" w:bidi="ar-SA"/>
              </w:rPr>
            </w:pPr>
            <w:r>
              <w:rPr>
                <w:rFonts w:hint="default" w:ascii="Times New Roman" w:hAnsi="Times New Roman" w:cs="Times New Roman" w:eastAsiaTheme="minorEastAsia"/>
                <w:b/>
                <w:color w:val="auto"/>
                <w:kern w:val="2"/>
                <w:sz w:val="21"/>
                <w:szCs w:val="21"/>
                <w:highlight w:val="none"/>
                <w:lang w:val="en-US" w:eastAsia="zh-CN" w:bidi="ar-SA"/>
              </w:rPr>
              <w:t>表</w:t>
            </w:r>
            <w:r>
              <w:rPr>
                <w:rFonts w:hint="eastAsia" w:ascii="Times New Roman" w:hAnsi="Times New Roman" w:cs="Times New Roman"/>
                <w:b/>
                <w:color w:val="auto"/>
                <w:kern w:val="2"/>
                <w:sz w:val="21"/>
                <w:szCs w:val="21"/>
                <w:highlight w:val="none"/>
                <w:lang w:val="en-US" w:eastAsia="zh-CN" w:bidi="ar-SA"/>
              </w:rPr>
              <w:t>7-1</w:t>
            </w:r>
            <w:r>
              <w:rPr>
                <w:rFonts w:hint="eastAsia" w:cs="Times New Roman"/>
                <w:b/>
                <w:color w:val="auto"/>
                <w:kern w:val="2"/>
                <w:sz w:val="21"/>
                <w:szCs w:val="21"/>
                <w:highlight w:val="none"/>
                <w:lang w:val="en-US" w:eastAsia="zh-CN" w:bidi="ar-SA"/>
              </w:rPr>
              <w:t>2</w:t>
            </w:r>
            <w:r>
              <w:rPr>
                <w:rFonts w:hint="default" w:ascii="Times New Roman" w:hAnsi="Times New Roman" w:cs="Times New Roman" w:eastAsiaTheme="minorEastAsia"/>
                <w:b/>
                <w:color w:val="auto"/>
                <w:kern w:val="2"/>
                <w:sz w:val="21"/>
                <w:szCs w:val="21"/>
                <w:highlight w:val="none"/>
                <w:lang w:val="en-US" w:eastAsia="zh-CN" w:bidi="ar-SA"/>
              </w:rPr>
              <w:t xml:space="preserve">  地下水污染防渗分区参照表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4434"/>
              <w:gridCol w:w="31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防渗区分区</w:t>
                  </w:r>
                </w:p>
              </w:tc>
              <w:tc>
                <w:tcPr>
                  <w:tcW w:w="443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装置及设施名称</w:t>
                  </w:r>
                </w:p>
              </w:tc>
              <w:tc>
                <w:tcPr>
                  <w:tcW w:w="317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防渗措施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重点防渗区</w:t>
                  </w:r>
                </w:p>
              </w:tc>
              <w:tc>
                <w:tcPr>
                  <w:tcW w:w="443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循环水池</w:t>
                  </w:r>
                </w:p>
              </w:tc>
              <w:tc>
                <w:tcPr>
                  <w:tcW w:w="3171" w:type="dxa"/>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各池底部及池壁防渗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9" w:type="dxa"/>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olor w:val="auto"/>
                      <w:sz w:val="21"/>
                      <w:szCs w:val="21"/>
                    </w:rPr>
                  </w:pPr>
                </w:p>
              </w:tc>
              <w:tc>
                <w:tcPr>
                  <w:tcW w:w="443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生活污水处理站</w:t>
                  </w:r>
                </w:p>
              </w:tc>
              <w:tc>
                <w:tcPr>
                  <w:tcW w:w="3171" w:type="dxa"/>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olor w:val="auto"/>
                      <w:sz w:val="21"/>
                      <w:szCs w:val="21"/>
                    </w:rPr>
                  </w:pPr>
                </w:p>
              </w:tc>
              <w:tc>
                <w:tcPr>
                  <w:tcW w:w="443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碱液储罐区</w:t>
                  </w:r>
                </w:p>
              </w:tc>
              <w:tc>
                <w:tcPr>
                  <w:tcW w:w="3171" w:type="dxa"/>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一般防渗区</w:t>
                  </w:r>
                </w:p>
              </w:tc>
              <w:tc>
                <w:tcPr>
                  <w:tcW w:w="443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color w:val="auto"/>
                      <w:sz w:val="21"/>
                      <w:szCs w:val="21"/>
                      <w:lang w:eastAsia="zh-CN"/>
                    </w:rPr>
                    <w:t>车间场地</w:t>
                  </w:r>
                </w:p>
              </w:tc>
              <w:tc>
                <w:tcPr>
                  <w:tcW w:w="317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硬化</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rPr>
            </w:pPr>
            <w:r>
              <w:rPr>
                <w:rFonts w:hint="eastAsia" w:ascii="Times New Roman" w:hAnsi="Times New Roman" w:eastAsia="宋体"/>
                <w:color w:val="auto"/>
                <w:sz w:val="24"/>
              </w:rPr>
              <w:t>具体防渗要求如下：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一</w:t>
            </w:r>
            <w:r>
              <w:rPr>
                <w:rFonts w:hint="eastAsia" w:ascii="Times New Roman" w:hAnsi="Times New Roman" w:eastAsia="宋体"/>
                <w:color w:val="auto"/>
                <w:sz w:val="24"/>
              </w:rPr>
              <w:t>般防渗区：采用防渗混凝土+环氧树脂进行防渗处理，等效粘土防渗层≥1.5m，防渗系数≤10</w:t>
            </w:r>
            <w:r>
              <w:rPr>
                <w:rFonts w:hint="eastAsia" w:ascii="Times New Roman" w:hAnsi="Times New Roman" w:eastAsia="宋体"/>
                <w:color w:val="auto"/>
                <w:sz w:val="24"/>
                <w:vertAlign w:val="superscript"/>
              </w:rPr>
              <w:t>-7</w:t>
            </w:r>
            <w:r>
              <w:rPr>
                <w:rFonts w:hint="eastAsia" w:ascii="Times New Roman" w:hAnsi="Times New Roman" w:eastAsia="宋体"/>
                <w:color w:val="auto"/>
                <w:sz w:val="24"/>
              </w:rPr>
              <w:t>cm/s或采用防渗混凝土+1.5mm厚高密度聚乙烯(HDPE)土工膜，减少对地下水的影响。</w:t>
            </w:r>
            <w:r>
              <w:rPr>
                <w:rFonts w:hint="eastAsia" w:ascii="Times New Roman" w:hAnsi="Times New Roman" w:eastAsia="宋体"/>
                <w:color w:val="auto"/>
                <w:sz w:val="24"/>
                <w:lang w:val="en-US" w:eastAsia="zh-CN"/>
              </w:rPr>
              <w:t>项目提升泵房、鼓风机房等已做好一般防渗措施。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rPr>
              <w:t>重点防渗区：采用防渗混凝土+环氧树脂进行防渗处理，等效粘土防渗层≥6m，防渗系数&lt;10</w:t>
            </w:r>
            <w:r>
              <w:rPr>
                <w:rFonts w:hint="eastAsia" w:ascii="Times New Roman" w:hAnsi="Times New Roman" w:eastAsia="宋体"/>
                <w:color w:val="auto"/>
                <w:sz w:val="24"/>
                <w:vertAlign w:val="superscript"/>
              </w:rPr>
              <w:t>-6</w:t>
            </w:r>
            <w:r>
              <w:rPr>
                <w:rFonts w:hint="eastAsia" w:ascii="Times New Roman" w:hAnsi="Times New Roman" w:eastAsia="宋体"/>
                <w:color w:val="auto"/>
                <w:sz w:val="24"/>
              </w:rPr>
              <w:t>cm/s或采用防渗混凝土+2.0mm厚高密度聚乙烯(HDPE)土工膜，减少对地下水的影响。</w:t>
            </w:r>
            <w:r>
              <w:rPr>
                <w:rFonts w:hint="eastAsia" w:ascii="Times New Roman" w:hAnsi="Times New Roman" w:eastAsia="宋体"/>
                <w:color w:val="auto"/>
                <w:sz w:val="24"/>
                <w:lang w:val="en-US" w:eastAsia="zh-CN"/>
              </w:rPr>
              <w:t>项目生化池、混凝沉淀池等已做好重点防渗，在技术改造过程中应注意不要破坏池体防渗层，如破坏的应进行修复。</w:t>
            </w:r>
          </w:p>
          <w:p>
            <w:pPr>
              <w:spacing w:line="360" w:lineRule="auto"/>
              <w:ind w:firstLine="480" w:firstLineChars="200"/>
              <w:outlineLvl w:val="3"/>
              <w:rPr>
                <w:rFonts w:hint="eastAsia" w:ascii="Times New Roman" w:hAnsi="Times New Roman" w:eastAsia="宋体"/>
                <w:color w:val="auto"/>
                <w:sz w:val="24"/>
                <w:lang w:eastAsia="zh-CN"/>
              </w:rPr>
            </w:pPr>
            <w:r>
              <w:rPr>
                <w:rFonts w:hint="eastAsia" w:ascii="Times New Roman" w:hAnsi="Times New Roman" w:eastAsia="宋体"/>
                <w:color w:val="auto"/>
                <w:sz w:val="24"/>
              </w:rPr>
              <w:t>综上所述，在采取上述防渗措施后，项目运营不会对地下水环境造成影响</w:t>
            </w:r>
            <w:r>
              <w:rPr>
                <w:rFonts w:hint="eastAsia"/>
                <w:color w:val="auto"/>
                <w:sz w:val="24"/>
                <w:lang w:eastAsia="zh-CN"/>
              </w:rPr>
              <w:t>。</w:t>
            </w:r>
          </w:p>
          <w:p>
            <w:pPr>
              <w:spacing w:line="360" w:lineRule="auto"/>
              <w:ind w:firstLine="480" w:firstLineChars="200"/>
              <w:outlineLvl w:val="3"/>
              <w:rPr>
                <w:rFonts w:hint="default" w:ascii="Times New Roman" w:hAnsi="Times New Roman" w:eastAsia="宋体" w:cs="Times New Roman"/>
                <w:b w:val="0"/>
                <w:bCs w:val="0"/>
                <w:color w:val="auto"/>
                <w:sz w:val="24"/>
                <w:highlight w:val="none"/>
                <w:lang w:eastAsia="zh-CN"/>
              </w:rPr>
            </w:pPr>
            <w:r>
              <w:rPr>
                <w:rFonts w:hint="eastAsia"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3</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cs="Times New Roman"/>
                <w:b w:val="0"/>
                <w:bCs w:val="0"/>
                <w:color w:val="auto"/>
                <w:sz w:val="24"/>
                <w:highlight w:val="none"/>
                <w:lang w:eastAsia="zh-CN"/>
              </w:rPr>
              <w:t>应急响应体系</w:t>
            </w:r>
          </w:p>
          <w:p>
            <w:pPr>
              <w:pStyle w:val="91"/>
              <w:keepNext w:val="0"/>
              <w:keepLines w:val="0"/>
              <w:pageBreakBefore w:val="0"/>
              <w:kinsoku/>
              <w:wordWrap/>
              <w:overflowPunct/>
              <w:topLinePunct w:val="0"/>
              <w:autoSpaceDE/>
              <w:autoSpaceDN/>
              <w:bidi w:val="0"/>
              <w:spacing w:line="360" w:lineRule="auto"/>
              <w:ind w:firstLine="480"/>
              <w:textAlignment w:val="auto"/>
              <w:rPr>
                <w:rFonts w:hint="eastAsia" w:ascii="Times New Roman" w:hAnsi="Times New Roman" w:eastAsia="宋体"/>
                <w:color w:val="auto"/>
              </w:rPr>
            </w:pPr>
            <w:r>
              <w:rPr>
                <w:rFonts w:ascii="Times New Roman" w:hAnsi="Times New Roman" w:eastAsia="宋体"/>
                <w:color w:val="auto"/>
              </w:rPr>
              <w:t>为有效防范突发环境事件的发生，及时、合理处置可能发生的各类重大、特大环境污染事故，保障生产、</w:t>
            </w:r>
            <w:r>
              <w:rPr>
                <w:rFonts w:ascii="Times New Roman" w:hAnsi="Times New Roman" w:eastAsia="宋体"/>
                <w:bCs/>
                <w:color w:val="auto"/>
              </w:rPr>
              <w:t>生活</w:t>
            </w:r>
            <w:r>
              <w:rPr>
                <w:rFonts w:ascii="Times New Roman" w:hAnsi="Times New Roman" w:eastAsia="宋体"/>
                <w:color w:val="auto"/>
              </w:rPr>
              <w:t>正常运行，依据《中华人民共和国环境保护法》的规定，特制定场区环境监测方案。</w:t>
            </w:r>
          </w:p>
          <w:p>
            <w:pPr>
              <w:pStyle w:val="91"/>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eastAsia="宋体"/>
                <w:color w:val="auto"/>
              </w:rPr>
            </w:pPr>
            <w:r>
              <w:rPr>
                <w:rFonts w:hint="eastAsia"/>
                <w:color w:val="auto"/>
                <w:lang w:val="en-US" w:eastAsia="zh-CN"/>
              </w:rPr>
              <w:t>①</w:t>
            </w:r>
            <w:r>
              <w:rPr>
                <w:rFonts w:ascii="Times New Roman" w:hAnsi="Times New Roman" w:eastAsia="宋体"/>
                <w:color w:val="auto"/>
              </w:rPr>
              <w:t>指导思想</w:t>
            </w:r>
          </w:p>
          <w:p>
            <w:pPr>
              <w:pStyle w:val="91"/>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eastAsia="宋体"/>
                <w:color w:val="auto"/>
              </w:rPr>
            </w:pPr>
            <w:r>
              <w:rPr>
                <w:rFonts w:ascii="Times New Roman" w:hAnsi="Times New Roman" w:eastAsia="宋体"/>
                <w:color w:val="auto"/>
              </w:rPr>
              <w:t>环境监测必须贯彻</w:t>
            </w:r>
            <w:r>
              <w:rPr>
                <w:rFonts w:hint="eastAsia" w:ascii="Times New Roman" w:hAnsi="Times New Roman" w:eastAsia="宋体"/>
                <w:color w:val="auto"/>
              </w:rPr>
              <w:t>“</w:t>
            </w:r>
            <w:r>
              <w:rPr>
                <w:rFonts w:ascii="Times New Roman" w:hAnsi="Times New Roman" w:eastAsia="宋体"/>
                <w:color w:val="auto"/>
              </w:rPr>
              <w:t>预防为主、以人为本</w:t>
            </w:r>
            <w:r>
              <w:rPr>
                <w:rFonts w:hint="eastAsia" w:ascii="Times New Roman" w:hAnsi="Times New Roman" w:eastAsia="宋体"/>
                <w:color w:val="auto"/>
              </w:rPr>
              <w:t>”</w:t>
            </w:r>
            <w:r>
              <w:rPr>
                <w:rFonts w:ascii="Times New Roman" w:hAnsi="Times New Roman" w:eastAsia="宋体"/>
                <w:color w:val="auto"/>
              </w:rPr>
              <w:t>的原则，以规范和强化公司整体环境保护系统应对突发环境事件应急处置工作为目标，以预防突发环境事件重点污染源为重点，逐步完善处置突发环境事件的预警、处置及善后工作机制，建立公司级环境保护系统防范有力、指挥有序、快速高效和统一协调的突发环境事件应急处置体系。</w:t>
            </w:r>
          </w:p>
          <w:p>
            <w:pPr>
              <w:pStyle w:val="91"/>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eastAsia="宋体"/>
                <w:color w:val="auto"/>
              </w:rPr>
            </w:pPr>
            <w:r>
              <w:rPr>
                <w:rFonts w:hint="eastAsia"/>
                <w:color w:val="auto"/>
                <w:lang w:val="en-US" w:eastAsia="zh-CN"/>
              </w:rPr>
              <w:t>②</w:t>
            </w:r>
            <w:r>
              <w:rPr>
                <w:rFonts w:ascii="Times New Roman" w:hAnsi="Times New Roman" w:eastAsia="宋体"/>
                <w:color w:val="auto"/>
              </w:rPr>
              <w:t>组织领导</w:t>
            </w:r>
            <w:r>
              <w:rPr>
                <w:rFonts w:ascii="Times New Roman" w:hAnsi="Times New Roman" w:eastAsia="宋体"/>
                <w:bCs/>
                <w:color w:val="auto"/>
              </w:rPr>
              <w:t>机构</w:t>
            </w:r>
          </w:p>
          <w:p>
            <w:pPr>
              <w:pStyle w:val="91"/>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eastAsia="宋体"/>
                <w:color w:val="auto"/>
              </w:rPr>
            </w:pPr>
            <w:r>
              <w:rPr>
                <w:rFonts w:ascii="Times New Roman" w:hAnsi="Times New Roman" w:eastAsia="宋体"/>
                <w:color w:val="auto"/>
              </w:rPr>
              <w:t>环境保护领导小组：</w:t>
            </w:r>
          </w:p>
          <w:p>
            <w:pPr>
              <w:pStyle w:val="91"/>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eastAsia="宋体"/>
                <w:color w:val="auto"/>
              </w:rPr>
            </w:pPr>
            <w:r>
              <w:rPr>
                <w:rFonts w:ascii="Times New Roman" w:hAnsi="Times New Roman" w:eastAsia="宋体"/>
                <w:color w:val="auto"/>
              </w:rPr>
              <w:t>组长：1人；副组长：1人；监测人员：2人。</w:t>
            </w:r>
          </w:p>
          <w:p>
            <w:pPr>
              <w:pStyle w:val="91"/>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eastAsia="宋体"/>
                <w:color w:val="auto"/>
              </w:rPr>
            </w:pPr>
            <w:r>
              <w:rPr>
                <w:rFonts w:hint="eastAsia"/>
                <w:color w:val="auto"/>
                <w:lang w:val="en-US" w:eastAsia="zh-CN"/>
              </w:rPr>
              <w:t>③</w:t>
            </w:r>
            <w:r>
              <w:rPr>
                <w:rFonts w:ascii="Times New Roman" w:hAnsi="Times New Roman" w:eastAsia="宋体"/>
                <w:bCs/>
                <w:color w:val="auto"/>
              </w:rPr>
              <w:t>基本原则</w:t>
            </w:r>
          </w:p>
          <w:p>
            <w:pPr>
              <w:pStyle w:val="91"/>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eastAsia="宋体"/>
                <w:color w:val="auto"/>
              </w:rPr>
            </w:pPr>
            <w:r>
              <w:rPr>
                <w:rFonts w:hint="default" w:ascii="Times New Roman" w:hAnsi="Times New Roman" w:eastAsia="宋体" w:cs="Times New Roman"/>
                <w:b/>
                <w:bCs/>
                <w:color w:val="auto"/>
              </w:rPr>
              <w:t>·</w:t>
            </w:r>
            <w:r>
              <w:rPr>
                <w:rFonts w:ascii="Times New Roman" w:hAnsi="Times New Roman" w:eastAsia="宋体"/>
                <w:color w:val="auto"/>
              </w:rPr>
              <w:t>必须依据环境保护法规和环境质量标准、污染物排放标准中国家、行业和地方的相关规定；</w:t>
            </w:r>
          </w:p>
          <w:p>
            <w:pPr>
              <w:pStyle w:val="91"/>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eastAsia="宋体"/>
                <w:color w:val="auto"/>
              </w:rPr>
            </w:pPr>
            <w:r>
              <w:rPr>
                <w:rFonts w:hint="default" w:ascii="Times New Roman" w:hAnsi="Times New Roman" w:eastAsia="宋体" w:cs="Times New Roman"/>
                <w:b/>
                <w:bCs/>
                <w:color w:val="auto"/>
              </w:rPr>
              <w:t>·</w:t>
            </w:r>
            <w:r>
              <w:rPr>
                <w:rFonts w:ascii="Times New Roman" w:hAnsi="Times New Roman" w:eastAsia="宋体"/>
                <w:color w:val="auto"/>
              </w:rPr>
              <w:t>必须遵循</w:t>
            </w:r>
            <w:r>
              <w:rPr>
                <w:rFonts w:ascii="Times New Roman" w:hAnsi="Times New Roman" w:eastAsia="宋体"/>
                <w:bCs/>
                <w:color w:val="auto"/>
              </w:rPr>
              <w:t>科学性</w:t>
            </w:r>
            <w:r>
              <w:rPr>
                <w:rFonts w:ascii="Times New Roman" w:hAnsi="Times New Roman" w:eastAsia="宋体"/>
                <w:color w:val="auto"/>
              </w:rPr>
              <w:t>、实用性的原则；</w:t>
            </w:r>
          </w:p>
          <w:p>
            <w:pPr>
              <w:pStyle w:val="91"/>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bCs/>
                <w:color w:val="auto"/>
              </w:rPr>
            </w:pPr>
            <w:r>
              <w:rPr>
                <w:rFonts w:hint="default" w:ascii="Times New Roman" w:hAnsi="Times New Roman" w:eastAsia="宋体" w:cs="Times New Roman"/>
                <w:b/>
                <w:bCs/>
                <w:color w:val="auto"/>
              </w:rPr>
              <w:t>·</w:t>
            </w:r>
            <w:r>
              <w:rPr>
                <w:rFonts w:ascii="Times New Roman" w:hAnsi="Times New Roman" w:eastAsia="宋体"/>
                <w:color w:val="auto"/>
              </w:rPr>
              <w:t>优先污染物优先监测。优先污染物包括：毒性大、危害严重、影响范围广的污染物质；污染呈上升趋势，对环境具有潜在危险的污染物质；具有广泛代表性的污染因子。另外</w:t>
            </w:r>
            <w:r>
              <w:rPr>
                <w:rFonts w:ascii="Times New Roman" w:hAnsi="Times New Roman" w:eastAsia="宋体"/>
                <w:bCs/>
                <w:color w:val="auto"/>
              </w:rPr>
              <w:t>，优先监测的污染物一般应具有相对可靠的测试手段和分析方法，或者有可等效性采用的监测分析方法，能获得比较准确的测试数据</w:t>
            </w:r>
            <w:r>
              <w:rPr>
                <w:rFonts w:hint="default" w:ascii="Times New Roman" w:hAnsi="Times New Roman" w:eastAsia="宋体"/>
                <w:bCs/>
                <w:color w:val="auto"/>
              </w:rPr>
              <w:t>，</w:t>
            </w:r>
            <w:r>
              <w:rPr>
                <w:rFonts w:ascii="Times New Roman" w:hAnsi="Times New Roman" w:eastAsia="宋体"/>
                <w:bCs/>
                <w:color w:val="auto"/>
              </w:rPr>
              <w:t>能对监测数据做出正确的解释和判断。</w:t>
            </w:r>
          </w:p>
          <w:p>
            <w:pPr>
              <w:pStyle w:val="91"/>
              <w:spacing w:line="360" w:lineRule="auto"/>
              <w:ind w:firstLine="480"/>
              <w:rPr>
                <w:rFonts w:hint="default" w:ascii="Times New Roman" w:hAnsi="Times New Roman" w:cs="Times New Roman"/>
                <w:b w:val="0"/>
                <w:bCs/>
                <w:color w:val="auto"/>
                <w:sz w:val="24"/>
                <w:highlight w:val="none"/>
              </w:rPr>
            </w:pPr>
            <w:r>
              <w:rPr>
                <w:rFonts w:hint="default" w:ascii="Times New Roman" w:hAnsi="Times New Roman" w:eastAsia="宋体" w:cs="Times New Roman"/>
                <w:b/>
                <w:bCs w:val="0"/>
                <w:color w:val="auto"/>
              </w:rPr>
              <w:t>·</w:t>
            </w:r>
            <w:r>
              <w:rPr>
                <w:rFonts w:ascii="Times New Roman" w:hAnsi="Times New Roman" w:eastAsia="宋体" w:cs="Times New Roman"/>
                <w:bCs/>
                <w:color w:val="auto"/>
              </w:rPr>
              <w:t>全面规划、合理布局。环境问题的复杂性决定了环境监测的多样性，要对监测布点、采样、分析测试及数据处理做出合理安排</w:t>
            </w:r>
            <w:r>
              <w:rPr>
                <w:rFonts w:hint="default" w:ascii="Times New Roman" w:hAnsi="Times New Roman" w:cs="Times New Roman"/>
                <w:b w:val="0"/>
                <w:bCs/>
                <w:color w:val="auto"/>
                <w:sz w:val="24"/>
                <w:highlight w:val="none"/>
              </w:rPr>
              <w:t>。</w:t>
            </w:r>
          </w:p>
          <w:p>
            <w:pPr>
              <w:numPr>
                <w:ilvl w:val="0"/>
                <w:numId w:val="0"/>
              </w:numPr>
              <w:spacing w:line="480" w:lineRule="exact"/>
              <w:ind w:firstLine="480" w:firstLineChars="200"/>
              <w:outlineLvl w:val="9"/>
              <w:rPr>
                <w:rFonts w:hint="default" w:ascii="Times New Roman" w:hAnsi="Times New Roman" w:eastAsia="宋体" w:cs="Times New Roman"/>
                <w:b w:val="0"/>
                <w:bCs w:val="0"/>
                <w:color w:val="auto"/>
                <w:kern w:val="0"/>
                <w:sz w:val="24"/>
                <w:szCs w:val="24"/>
                <w:highlight w:val="none"/>
                <w:lang w:val="en-US" w:eastAsia="zh-CN"/>
              </w:rPr>
            </w:pPr>
            <w:bookmarkStart w:id="27" w:name="_Toc461455145"/>
            <w:bookmarkStart w:id="28" w:name="_Toc17383"/>
            <w:bookmarkStart w:id="29" w:name="_Toc470341856"/>
            <w:bookmarkStart w:id="30" w:name="_Toc11567"/>
            <w:bookmarkStart w:id="31" w:name="_Toc471313691"/>
            <w:r>
              <w:rPr>
                <w:rFonts w:hint="eastAsia" w:ascii="Times New Roman" w:hAnsi="Times New Roman" w:eastAsia="宋体" w:cs="Times New Roman"/>
                <w:b w:val="0"/>
                <w:bCs w:val="0"/>
                <w:color w:val="auto"/>
                <w:kern w:val="0"/>
                <w:sz w:val="24"/>
                <w:szCs w:val="24"/>
                <w:highlight w:val="none"/>
                <w:lang w:val="en-US" w:eastAsia="zh-CN"/>
              </w:rPr>
              <w:t>（</w:t>
            </w:r>
            <w:r>
              <w:rPr>
                <w:rFonts w:hint="eastAsia" w:cs="Times New Roman"/>
                <w:b w:val="0"/>
                <w:bCs w:val="0"/>
                <w:color w:val="auto"/>
                <w:kern w:val="0"/>
                <w:sz w:val="24"/>
                <w:szCs w:val="24"/>
                <w:highlight w:val="none"/>
                <w:lang w:val="en-US" w:eastAsia="zh-CN"/>
              </w:rPr>
              <w:t>4</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小结</w:t>
            </w:r>
            <w:bookmarkEnd w:id="19"/>
            <w:bookmarkEnd w:id="20"/>
            <w:bookmarkEnd w:id="21"/>
            <w:bookmarkEnd w:id="22"/>
            <w:bookmarkEnd w:id="23"/>
            <w:bookmarkEnd w:id="24"/>
            <w:bookmarkEnd w:id="25"/>
            <w:bookmarkEnd w:id="26"/>
            <w:bookmarkEnd w:id="27"/>
            <w:bookmarkEnd w:id="28"/>
            <w:bookmarkEnd w:id="29"/>
            <w:bookmarkEnd w:id="30"/>
            <w:bookmarkEnd w:id="31"/>
          </w:p>
          <w:p>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eastAsia="宋体"/>
                <w:color w:val="auto"/>
                <w:sz w:val="24"/>
                <w:highlight w:val="none"/>
              </w:rPr>
              <w:t>厂区内</w:t>
            </w:r>
            <w:r>
              <w:rPr>
                <w:rFonts w:ascii="Times New Roman" w:hAnsi="Times New Roman" w:eastAsia="宋体"/>
                <w:color w:val="auto"/>
                <w:sz w:val="24"/>
                <w:highlight w:val="none"/>
              </w:rPr>
              <w:t>对可能产生地下水影响的各项途径均进行有效预防，确保各项防渗措施得以落实，并</w:t>
            </w:r>
            <w:r>
              <w:rPr>
                <w:rFonts w:hint="eastAsia" w:ascii="Times New Roman" w:hAnsi="Times New Roman" w:eastAsia="宋体"/>
                <w:color w:val="auto"/>
                <w:sz w:val="24"/>
                <w:highlight w:val="none"/>
              </w:rPr>
              <w:t>在</w:t>
            </w:r>
            <w:r>
              <w:rPr>
                <w:rFonts w:ascii="Times New Roman" w:hAnsi="Times New Roman" w:eastAsia="宋体"/>
                <w:color w:val="auto"/>
                <w:sz w:val="24"/>
                <w:highlight w:val="none"/>
              </w:rPr>
              <w:t>加强维护和</w:t>
            </w:r>
            <w:r>
              <w:rPr>
                <w:rFonts w:hint="eastAsia" w:ascii="Times New Roman" w:hAnsi="Times New Roman" w:eastAsia="宋体"/>
                <w:color w:val="auto"/>
                <w:sz w:val="24"/>
                <w:highlight w:val="none"/>
              </w:rPr>
              <w:t>厂区</w:t>
            </w:r>
            <w:r>
              <w:rPr>
                <w:rFonts w:ascii="Times New Roman" w:hAnsi="Times New Roman" w:eastAsia="宋体"/>
                <w:color w:val="auto"/>
                <w:sz w:val="24"/>
                <w:highlight w:val="none"/>
              </w:rPr>
              <w:t>环境管理的前提下，可有效控制</w:t>
            </w:r>
            <w:r>
              <w:rPr>
                <w:rFonts w:hint="eastAsia" w:ascii="Times New Roman" w:hAnsi="Times New Roman" w:eastAsia="宋体"/>
                <w:color w:val="auto"/>
                <w:sz w:val="24"/>
                <w:highlight w:val="none"/>
              </w:rPr>
              <w:t>厂区</w:t>
            </w:r>
            <w:r>
              <w:rPr>
                <w:rFonts w:ascii="Times New Roman" w:hAnsi="Times New Roman" w:eastAsia="宋体"/>
                <w:color w:val="auto"/>
                <w:sz w:val="24"/>
                <w:highlight w:val="none"/>
              </w:rPr>
              <w:t>内的废水污染物下渗现象，避免</w:t>
            </w:r>
            <w:r>
              <w:rPr>
                <w:rFonts w:hint="eastAsia" w:ascii="Times New Roman" w:hAnsi="Times New Roman" w:eastAsia="宋体"/>
                <w:color w:val="auto"/>
                <w:sz w:val="24"/>
                <w:highlight w:val="none"/>
              </w:rPr>
              <w:t>因污水与地下水发生水力联系而</w:t>
            </w:r>
            <w:r>
              <w:rPr>
                <w:rFonts w:ascii="Times New Roman" w:hAnsi="Times New Roman" w:eastAsia="宋体"/>
                <w:color w:val="auto"/>
                <w:sz w:val="24"/>
                <w:highlight w:val="none"/>
              </w:rPr>
              <w:t>污染地下水，因此项目</w:t>
            </w:r>
            <w:r>
              <w:rPr>
                <w:rFonts w:hint="eastAsia" w:ascii="Times New Roman" w:hAnsi="Times New Roman" w:eastAsia="宋体"/>
                <w:color w:val="auto"/>
                <w:sz w:val="24"/>
                <w:highlight w:val="none"/>
              </w:rPr>
              <w:t>建设</w:t>
            </w:r>
            <w:r>
              <w:rPr>
                <w:rFonts w:ascii="Times New Roman" w:hAnsi="Times New Roman" w:eastAsia="宋体"/>
                <w:color w:val="auto"/>
                <w:sz w:val="24"/>
                <w:highlight w:val="none"/>
              </w:rPr>
              <w:t>对</w:t>
            </w:r>
            <w:r>
              <w:rPr>
                <w:rFonts w:hint="eastAsia" w:ascii="Times New Roman" w:hAnsi="Times New Roman" w:eastAsia="宋体"/>
                <w:color w:val="auto"/>
                <w:sz w:val="24"/>
                <w:highlight w:val="none"/>
              </w:rPr>
              <w:t>区域</w:t>
            </w:r>
            <w:r>
              <w:rPr>
                <w:rFonts w:ascii="Times New Roman" w:hAnsi="Times New Roman" w:eastAsia="宋体"/>
                <w:color w:val="auto"/>
                <w:sz w:val="24"/>
                <w:highlight w:val="none"/>
              </w:rPr>
              <w:t>地下水</w:t>
            </w:r>
            <w:r>
              <w:rPr>
                <w:rFonts w:hint="eastAsia" w:ascii="Times New Roman" w:hAnsi="Times New Roman" w:eastAsia="宋体"/>
                <w:color w:val="auto"/>
                <w:sz w:val="24"/>
                <w:highlight w:val="none"/>
              </w:rPr>
              <w:t>环境产生的</w:t>
            </w:r>
            <w:r>
              <w:rPr>
                <w:rFonts w:ascii="Times New Roman" w:hAnsi="Times New Roman" w:eastAsia="宋体"/>
                <w:color w:val="auto"/>
                <w:sz w:val="24"/>
                <w:highlight w:val="none"/>
              </w:rPr>
              <w:t>影响</w:t>
            </w:r>
            <w:r>
              <w:rPr>
                <w:rFonts w:hint="eastAsia" w:ascii="Times New Roman" w:hAnsi="Times New Roman" w:eastAsia="宋体"/>
                <w:color w:val="auto"/>
                <w:sz w:val="24"/>
                <w:highlight w:val="none"/>
              </w:rPr>
              <w:t>很小</w:t>
            </w:r>
            <w:r>
              <w:rPr>
                <w:rFonts w:hint="default" w:ascii="Times New Roman" w:hAnsi="Times New Roman" w:cs="Times New Roman"/>
                <w:color w:val="auto"/>
                <w:sz w:val="24"/>
                <w:highlight w:val="none"/>
              </w:rPr>
              <w:t>。</w:t>
            </w:r>
          </w:p>
          <w:p>
            <w:pPr>
              <w:keepNext w:val="0"/>
              <w:keepLines w:val="0"/>
              <w:pageBreakBefore w:val="0"/>
              <w:widowControl w:val="0"/>
              <w:tabs>
                <w:tab w:val="left" w:pos="5400"/>
              </w:tabs>
              <w:kinsoku/>
              <w:wordWrap/>
              <w:overflowPunct/>
              <w:topLinePunct w:val="0"/>
              <w:autoSpaceDE/>
              <w:autoSpaceDN/>
              <w:bidi w:val="0"/>
              <w:adjustRightInd/>
              <w:snapToGrid w:val="0"/>
              <w:spacing w:beforeLines="0" w:afterLines="0"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3</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声环境影响分析</w:t>
            </w:r>
          </w:p>
          <w:p>
            <w:pPr>
              <w:keepNext w:val="0"/>
              <w:keepLines w:val="0"/>
              <w:pageBreakBefore w:val="0"/>
              <w:kinsoku/>
              <w:wordWrap/>
              <w:overflowPunct/>
              <w:topLinePunct w:val="0"/>
              <w:bidi w:val="0"/>
              <w:adjustRightInd w:val="0"/>
              <w:snapToGrid/>
              <w:spacing w:beforeLines="0" w:afterLines="0" w:line="360" w:lineRule="auto"/>
              <w:ind w:firstLine="480" w:firstLineChars="200"/>
              <w:outlineLvl w:val="9"/>
              <w:rPr>
                <w:rFonts w:hint="eastAsia" w:ascii="Times New Roman" w:hAnsi="Times New Roman" w:eastAsia="宋体"/>
                <w:color w:val="auto"/>
                <w:sz w:val="24"/>
                <w:szCs w:val="24"/>
                <w:vertAlign w:val="baseline"/>
                <w:lang w:val="en-US" w:eastAsia="zh-CN"/>
              </w:rPr>
            </w:pPr>
            <w:r>
              <w:rPr>
                <w:rFonts w:hint="eastAsia" w:ascii="Times New Roman" w:hAnsi="Times New Roman" w:eastAsia="宋体"/>
                <w:color w:val="auto"/>
                <w:sz w:val="24"/>
                <w:szCs w:val="24"/>
                <w:vertAlign w:val="baseline"/>
                <w:lang w:val="en-US" w:eastAsia="zh-CN"/>
              </w:rPr>
              <w:t>3.1评价等级确定</w:t>
            </w:r>
          </w:p>
          <w:p>
            <w:pPr>
              <w:keepNext w:val="0"/>
              <w:keepLines w:val="0"/>
              <w:pageBreakBefore w:val="0"/>
              <w:kinsoku/>
              <w:wordWrap/>
              <w:overflowPunct/>
              <w:topLinePunct w:val="0"/>
              <w:bidi w:val="0"/>
              <w:adjustRightInd w:val="0"/>
              <w:snapToGrid/>
              <w:spacing w:beforeLines="0" w:afterLines="0" w:line="360" w:lineRule="auto"/>
              <w:ind w:firstLine="480" w:firstLineChars="200"/>
              <w:outlineLvl w:val="9"/>
              <w:rPr>
                <w:rFonts w:hint="eastAsia" w:ascii="Times New Roman" w:hAnsi="Times New Roman" w:eastAsia="宋体"/>
                <w:color w:val="auto"/>
                <w:sz w:val="24"/>
                <w:szCs w:val="24"/>
                <w:vertAlign w:val="baseline"/>
                <w:lang w:val="en-US" w:eastAsia="zh-CN"/>
              </w:rPr>
            </w:pPr>
            <w:r>
              <w:rPr>
                <w:rFonts w:hint="eastAsia" w:ascii="Times New Roman" w:hAnsi="Times New Roman" w:eastAsia="宋体"/>
                <w:color w:val="auto"/>
                <w:sz w:val="24"/>
                <w:szCs w:val="24"/>
                <w:vertAlign w:val="baseline"/>
                <w:lang w:val="en-US" w:eastAsia="zh-CN"/>
              </w:rPr>
              <w:t>项目所在区域属于《声环境质量标准》（GB3096-2008）2类区，项目建设前后噪声的增加值较小，受影响人口变化不大，按照《环境影响评价技术导则  声环境》（HJ2.4-2009）中相关要求，</w:t>
            </w:r>
            <w:r>
              <w:rPr>
                <w:rFonts w:hint="eastAsia" w:ascii="Times New Roman" w:hAnsi="Times New Roman" w:eastAsia="宋体"/>
                <w:b/>
                <w:bCs/>
                <w:color w:val="auto"/>
                <w:sz w:val="24"/>
                <w:szCs w:val="24"/>
                <w:vertAlign w:val="baseline"/>
                <w:lang w:val="en-US" w:eastAsia="zh-CN"/>
              </w:rPr>
              <w:t>确定本项目噪声评价为三级。</w:t>
            </w:r>
          </w:p>
          <w:p>
            <w:pPr>
              <w:keepNext w:val="0"/>
              <w:keepLines w:val="0"/>
              <w:pageBreakBefore w:val="0"/>
              <w:kinsoku/>
              <w:wordWrap/>
              <w:overflowPunct/>
              <w:topLinePunct w:val="0"/>
              <w:bidi w:val="0"/>
              <w:adjustRightInd w:val="0"/>
              <w:snapToGrid/>
              <w:spacing w:beforeLines="0" w:afterLines="0" w:line="360" w:lineRule="auto"/>
              <w:ind w:firstLine="480" w:firstLineChars="200"/>
              <w:outlineLvl w:val="9"/>
              <w:rPr>
                <w:rFonts w:hint="eastAsia" w:ascii="Times New Roman" w:hAnsi="Times New Roman" w:cs="Times New Roman" w:eastAsiaTheme="minorEastAsia"/>
                <w:b w:val="0"/>
                <w:bCs/>
                <w:color w:val="auto"/>
                <w:sz w:val="24"/>
                <w:lang w:eastAsia="zh-CN"/>
              </w:rPr>
            </w:pPr>
            <w:r>
              <w:rPr>
                <w:rFonts w:hint="eastAsia" w:ascii="Times New Roman" w:hAnsi="Times New Roman" w:cs="Times New Roman"/>
                <w:b w:val="0"/>
                <w:bCs/>
                <w:color w:val="auto"/>
                <w:sz w:val="24"/>
                <w:lang w:val="en-US" w:eastAsia="zh-CN"/>
              </w:rPr>
              <w:t>3.2</w:t>
            </w:r>
            <w:r>
              <w:rPr>
                <w:rFonts w:hint="eastAsia" w:ascii="Times New Roman" w:hAnsi="Times New Roman" w:cs="Times New Roman"/>
                <w:b w:val="0"/>
                <w:bCs/>
                <w:color w:val="auto"/>
                <w:sz w:val="24"/>
                <w:lang w:eastAsia="zh-CN"/>
              </w:rPr>
              <w:t>声环境影响分析</w:t>
            </w:r>
          </w:p>
          <w:p>
            <w:pPr>
              <w:keepNext w:val="0"/>
              <w:keepLines w:val="0"/>
              <w:pageBreakBefore w:val="0"/>
              <w:numPr>
                <w:ilvl w:val="0"/>
                <w:numId w:val="0"/>
              </w:numPr>
              <w:kinsoku/>
              <w:wordWrap/>
              <w:overflowPunct/>
              <w:topLinePunct w:val="0"/>
              <w:bidi w:val="0"/>
              <w:adjustRightInd/>
              <w:snapToGrid/>
              <w:spacing w:beforeLines="-2147483648" w:afterLines="-2147483648" w:line="360" w:lineRule="auto"/>
              <w:ind w:firstLine="480" w:firstLineChars="200"/>
              <w:outlineLvl w:val="9"/>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Cs/>
                <w:color w:val="auto"/>
                <w:sz w:val="24"/>
                <w:szCs w:val="24"/>
                <w:lang w:val="en-US" w:eastAsia="zh-CN"/>
              </w:rPr>
              <w:t>项目生产过程中主要噪声源为</w:t>
            </w:r>
            <w:r>
              <w:rPr>
                <w:rFonts w:hint="default" w:cs="Times New Roman"/>
                <w:bCs/>
                <w:color w:val="auto"/>
                <w:sz w:val="24"/>
                <w:szCs w:val="24"/>
                <w:lang w:val="en-US" w:eastAsia="zh-CN"/>
              </w:rPr>
              <w:t>轧机、机加工设备</w:t>
            </w:r>
            <w:r>
              <w:rPr>
                <w:rFonts w:hint="default" w:ascii="Times New Roman" w:hAnsi="Times New Roman" w:cs="Times New Roman"/>
                <w:bCs/>
                <w:color w:val="auto"/>
                <w:sz w:val="24"/>
                <w:szCs w:val="24"/>
                <w:lang w:val="en-US" w:eastAsia="zh-CN"/>
              </w:rPr>
              <w:t>等</w:t>
            </w:r>
            <w:r>
              <w:rPr>
                <w:rFonts w:hint="default" w:ascii="Times New Roman" w:hAnsi="Times New Roman" w:eastAsia="宋体" w:cs="Times New Roman"/>
                <w:bCs/>
                <w:color w:val="auto"/>
                <w:sz w:val="24"/>
                <w:szCs w:val="24"/>
                <w:lang w:val="en-US" w:eastAsia="zh-CN"/>
              </w:rPr>
              <w:t>运行产生的噪声，其声源级值在70-90 dB(A)之间</w:t>
            </w:r>
            <w:r>
              <w:rPr>
                <w:rFonts w:hint="eastAsia" w:cs="Times New Roman"/>
                <w:bCs/>
                <w:color w:val="auto"/>
                <w:sz w:val="24"/>
                <w:szCs w:val="24"/>
                <w:lang w:val="en-US" w:eastAsia="zh-CN"/>
              </w:rPr>
              <w:t>，项目距离周围声环境敏感目标较远，通过距离衰减对周边声环境敏感目标的影响较小</w:t>
            </w:r>
            <w:r>
              <w:rPr>
                <w:rFonts w:hint="default" w:ascii="Times New Roman" w:hAnsi="Times New Roman" w:cs="Times New Roman"/>
                <w:b w:val="0"/>
                <w:bCs/>
                <w:color w:val="auto"/>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根据实际经验，</w:t>
            </w:r>
            <w:r>
              <w:rPr>
                <w:rFonts w:hint="eastAsia" w:ascii="Times New Roman" w:hAnsi="Times New Roman" w:eastAsia="宋体" w:cs="Times New Roman"/>
                <w:b w:val="0"/>
                <w:bCs/>
                <w:color w:val="auto"/>
                <w:sz w:val="24"/>
                <w:lang w:val="en-US" w:eastAsia="zh-CN"/>
              </w:rPr>
              <w:t>为进一步降低噪声对周围环境的影响，</w:t>
            </w:r>
            <w:r>
              <w:rPr>
                <w:rFonts w:hint="default" w:ascii="Times New Roman" w:hAnsi="Times New Roman" w:eastAsia="宋体" w:cs="Times New Roman"/>
                <w:b w:val="0"/>
                <w:bCs/>
                <w:color w:val="auto"/>
                <w:sz w:val="24"/>
              </w:rPr>
              <w:t>采取以下治理措施</w:t>
            </w:r>
            <w:r>
              <w:rPr>
                <w:rFonts w:hint="eastAsia" w:ascii="Times New Roman" w:hAnsi="Times New Roman" w:eastAsia="宋体" w:cs="Times New Roman"/>
                <w:b w:val="0"/>
                <w:bCs/>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①</w:t>
            </w:r>
            <w:r>
              <w:rPr>
                <w:rFonts w:hint="eastAsia" w:ascii="Times New Roman" w:hAnsi="Times New Roman" w:eastAsia="宋体" w:cs="Times New Roman"/>
                <w:b w:val="0"/>
                <w:bCs/>
                <w:color w:val="auto"/>
                <w:sz w:val="24"/>
                <w:lang w:val="en-US" w:eastAsia="zh-CN"/>
              </w:rPr>
              <w:t xml:space="preserve"> </w:t>
            </w:r>
            <w:r>
              <w:rPr>
                <w:rFonts w:hint="default" w:ascii="Times New Roman" w:hAnsi="Times New Roman" w:eastAsia="宋体" w:cs="Times New Roman"/>
                <w:b w:val="0"/>
                <w:bCs/>
                <w:color w:val="auto"/>
                <w:sz w:val="24"/>
              </w:rPr>
              <w:t>在满足</w:t>
            </w:r>
            <w:r>
              <w:rPr>
                <w:rFonts w:hint="eastAsia" w:cs="Times New Roman"/>
                <w:b w:val="0"/>
                <w:bCs/>
                <w:color w:val="auto"/>
                <w:sz w:val="24"/>
                <w:lang w:val="en-US" w:eastAsia="zh-CN"/>
              </w:rPr>
              <w:t>生产</w:t>
            </w:r>
            <w:r>
              <w:rPr>
                <w:rFonts w:hint="default" w:ascii="Times New Roman" w:hAnsi="Times New Roman" w:eastAsia="宋体" w:cs="Times New Roman"/>
                <w:b w:val="0"/>
                <w:bCs/>
                <w:color w:val="auto"/>
                <w:sz w:val="24"/>
              </w:rPr>
              <w:t>要求的前提下，尽量选用低噪声设备。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②</w:t>
            </w:r>
            <w:r>
              <w:rPr>
                <w:rFonts w:hint="eastAsia" w:ascii="Times New Roman" w:hAnsi="Times New Roman" w:eastAsia="宋体" w:cs="Times New Roman"/>
                <w:b w:val="0"/>
                <w:bCs/>
                <w:color w:val="auto"/>
                <w:sz w:val="24"/>
                <w:lang w:val="en-US" w:eastAsia="zh-CN"/>
              </w:rPr>
              <w:t xml:space="preserve"> </w:t>
            </w:r>
            <w:r>
              <w:rPr>
                <w:rFonts w:hint="default" w:ascii="Times New Roman" w:hAnsi="Times New Roman" w:eastAsia="宋体" w:cs="Times New Roman"/>
                <w:b w:val="0"/>
                <w:bCs/>
                <w:color w:val="auto"/>
                <w:sz w:val="24"/>
              </w:rPr>
              <w:t>提高零部件的装配精度，加强运转部件的润滑，降低磨擦力，对各连接部位安装弹性钢垫或橡胶衬垫，以减少传动装置间的振动。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③</w:t>
            </w:r>
            <w:r>
              <w:rPr>
                <w:rFonts w:hint="eastAsia" w:ascii="Times New Roman" w:hAnsi="Times New Roman" w:eastAsia="宋体" w:cs="Times New Roman"/>
                <w:b w:val="0"/>
                <w:bCs/>
                <w:color w:val="auto"/>
                <w:sz w:val="24"/>
                <w:lang w:val="en-US" w:eastAsia="zh-CN"/>
              </w:rPr>
              <w:t xml:space="preserve"> </w:t>
            </w:r>
            <w:r>
              <w:rPr>
                <w:rFonts w:hint="default" w:ascii="Times New Roman" w:hAnsi="Times New Roman" w:eastAsia="宋体" w:cs="Times New Roman"/>
                <w:b w:val="0"/>
                <w:bCs/>
                <w:color w:val="auto"/>
                <w:sz w:val="24"/>
              </w:rPr>
              <w:t>维持各设备处于良好的运转状态。</w:t>
            </w:r>
            <w:bookmarkStart w:id="34" w:name="_GoBack"/>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综上所述，该项目产生的噪声在建设单位落实各噪声治理措施和经过传播至厂界以及厂界外的衰减作用后，预测厂界噪声能够达到《工业企业厂界环境噪声排放标准》（GB12348-2008）2类标准要求，对周围环境影响不大</w:t>
            </w:r>
            <w:r>
              <w:rPr>
                <w:rFonts w:hint="default" w:ascii="Times New Roman" w:hAnsi="Times New Roman" w:eastAsia="宋体" w:cs="Times New Roman"/>
                <w:color w:val="auto"/>
                <w:sz w:val="24"/>
                <w:szCs w:val="24"/>
              </w:rPr>
              <w:t>。</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4</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固体废物影响分析</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本项目产生的固体废物主要为</w:t>
            </w:r>
            <w:r>
              <w:rPr>
                <w:rFonts w:hint="default" w:cs="Times New Roman"/>
                <w:color w:val="auto"/>
                <w:sz w:val="24"/>
                <w:szCs w:val="24"/>
                <w:highlight w:val="none"/>
                <w:lang w:val="en-US" w:eastAsia="zh-CN"/>
              </w:rPr>
              <w:t>氧化铁皮、废钢料头、</w:t>
            </w:r>
            <w:r>
              <w:rPr>
                <w:rFonts w:hint="eastAsia" w:cs="Times New Roman"/>
                <w:color w:val="auto"/>
                <w:sz w:val="24"/>
                <w:szCs w:val="24"/>
                <w:highlight w:val="none"/>
                <w:lang w:val="en-US" w:eastAsia="zh-CN"/>
              </w:rPr>
              <w:t>废油桶、</w:t>
            </w:r>
            <w:r>
              <w:rPr>
                <w:rFonts w:hint="default" w:cs="Times New Roman"/>
                <w:color w:val="auto"/>
                <w:sz w:val="24"/>
                <w:szCs w:val="24"/>
                <w:highlight w:val="none"/>
                <w:lang w:val="en-US" w:eastAsia="zh-CN"/>
              </w:rPr>
              <w:t>脱硫石膏、废催化剂、</w:t>
            </w:r>
            <w:r>
              <w:rPr>
                <w:rFonts w:hint="default" w:ascii="Times New Roman" w:hAnsi="Times New Roman" w:eastAsia="宋体" w:cs="Times New Roman"/>
                <w:color w:val="auto"/>
                <w:sz w:val="24"/>
                <w:szCs w:val="24"/>
                <w:highlight w:val="none"/>
                <w:lang w:val="en-US" w:eastAsia="zh-CN"/>
              </w:rPr>
              <w:t>职工生活垃圾。</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w:t>
            </w:r>
            <w:r>
              <w:rPr>
                <w:rFonts w:hint="default" w:cs="Times New Roman"/>
                <w:color w:val="auto"/>
                <w:sz w:val="24"/>
                <w:szCs w:val="24"/>
                <w:highlight w:val="none"/>
                <w:lang w:val="en-US" w:eastAsia="zh-CN"/>
              </w:rPr>
              <w:t>氧化铁皮</w:t>
            </w:r>
            <w:r>
              <w:rPr>
                <w:rFonts w:hint="eastAsia" w:cs="Times New Roman"/>
                <w:color w:val="auto"/>
                <w:sz w:val="24"/>
                <w:szCs w:val="24"/>
                <w:highlight w:val="none"/>
                <w:lang w:val="en-US" w:eastAsia="zh-CN"/>
              </w:rPr>
              <w:t>产生量1.5t/a，</w:t>
            </w:r>
            <w:r>
              <w:rPr>
                <w:rFonts w:hint="default" w:cs="Times New Roman"/>
                <w:color w:val="auto"/>
                <w:sz w:val="24"/>
                <w:szCs w:val="24"/>
                <w:highlight w:val="none"/>
                <w:lang w:val="en-US" w:eastAsia="zh-CN"/>
              </w:rPr>
              <w:t>废钢料头</w:t>
            </w:r>
            <w:r>
              <w:rPr>
                <w:rFonts w:hint="eastAsia" w:cs="Times New Roman"/>
                <w:color w:val="auto"/>
                <w:sz w:val="24"/>
                <w:szCs w:val="24"/>
                <w:highlight w:val="none"/>
                <w:lang w:val="en-US" w:eastAsia="zh-CN"/>
              </w:rPr>
              <w:t>2.5t/a，</w:t>
            </w:r>
            <w:r>
              <w:rPr>
                <w:rFonts w:hint="eastAsia" w:cs="Times New Roman"/>
                <w:color w:val="FF0000"/>
                <w:sz w:val="24"/>
                <w:szCs w:val="24"/>
                <w:highlight w:val="none"/>
                <w:lang w:val="en-US" w:eastAsia="zh-CN"/>
              </w:rPr>
              <w:t>废铁屑1.5t/a，</w:t>
            </w:r>
            <w:r>
              <w:rPr>
                <w:rFonts w:hint="default" w:cs="Times New Roman"/>
                <w:color w:val="auto"/>
                <w:sz w:val="24"/>
                <w:szCs w:val="24"/>
                <w:highlight w:val="none"/>
                <w:lang w:val="en-US" w:eastAsia="zh-CN"/>
              </w:rPr>
              <w:t>脱硫石膏</w:t>
            </w:r>
            <w:r>
              <w:rPr>
                <w:rFonts w:hint="eastAsia" w:cs="Times New Roman"/>
                <w:color w:val="auto"/>
                <w:sz w:val="24"/>
                <w:szCs w:val="24"/>
                <w:highlight w:val="none"/>
                <w:lang w:val="en-US" w:eastAsia="zh-CN"/>
              </w:rPr>
              <w:t>产生量约为32t/a均外售综合利用。</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default" w:cs="Times New Roman"/>
                <w:color w:val="auto"/>
                <w:sz w:val="24"/>
                <w:szCs w:val="24"/>
                <w:highlight w:val="none"/>
                <w:lang w:val="en-US" w:eastAsia="zh-CN"/>
              </w:rPr>
              <w:t>废催化剂</w:t>
            </w:r>
            <w:r>
              <w:rPr>
                <w:rFonts w:hint="eastAsia" w:cs="Times New Roman"/>
                <w:color w:val="auto"/>
                <w:sz w:val="24"/>
                <w:szCs w:val="24"/>
                <w:highlight w:val="none"/>
                <w:lang w:val="en-US" w:eastAsia="zh-CN"/>
              </w:rPr>
              <w:t>产生量约为3t/3a，废油桶产生量约为1t/a，均属于危险废物，应暂存入</w:t>
            </w:r>
            <w:r>
              <w:rPr>
                <w:rFonts w:hint="default" w:cs="Times New Roman"/>
                <w:color w:val="auto"/>
                <w:sz w:val="24"/>
                <w:szCs w:val="24"/>
                <w:highlight w:val="none"/>
                <w:lang w:val="en-US" w:eastAsia="zh-CN"/>
              </w:rPr>
              <w:t>危废暂存间，委托有资质单位处置</w:t>
            </w:r>
            <w:r>
              <w:rPr>
                <w:rFonts w:hint="eastAsia"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生活垃圾产生量为32t/a</w:t>
            </w:r>
            <w:r>
              <w:rPr>
                <w:rFonts w:hint="default" w:cs="Times New Roman"/>
                <w:color w:val="auto"/>
                <w:sz w:val="24"/>
                <w:szCs w:val="24"/>
                <w:highlight w:val="none"/>
                <w:lang w:val="en-US" w:eastAsia="zh-CN"/>
              </w:rPr>
              <w:t>委托</w:t>
            </w:r>
            <w:r>
              <w:rPr>
                <w:rFonts w:hint="eastAsia" w:cs="Times New Roman"/>
                <w:color w:val="auto"/>
                <w:sz w:val="24"/>
                <w:szCs w:val="24"/>
                <w:highlight w:val="none"/>
                <w:lang w:val="en-US" w:eastAsia="zh-CN"/>
              </w:rPr>
              <w:t>环卫</w:t>
            </w:r>
            <w:r>
              <w:rPr>
                <w:rFonts w:hint="default" w:cs="Times New Roman"/>
                <w:color w:val="auto"/>
                <w:sz w:val="24"/>
                <w:szCs w:val="24"/>
                <w:highlight w:val="none"/>
                <w:lang w:val="en-US" w:eastAsia="zh-CN"/>
              </w:rPr>
              <w:t>部门定期清运</w:t>
            </w:r>
            <w:r>
              <w:rPr>
                <w:rFonts w:hint="default" w:ascii="Times New Roman" w:hAnsi="Times New Roman" w:cs="Times New Roman"/>
                <w:color w:val="auto"/>
                <w:sz w:val="24"/>
                <w:szCs w:val="24"/>
                <w:highlight w:val="none"/>
              </w:rPr>
              <w:t>。</w:t>
            </w:r>
          </w:p>
          <w:p>
            <w:pPr>
              <w:spacing w:beforeLines="0" w:afterLines="0" w:line="360" w:lineRule="auto"/>
              <w:ind w:firstLine="480" w:firstLineChars="200"/>
              <w:rPr>
                <w:rFonts w:hint="default" w:ascii="Times New Roman" w:hAnsi="Times New Roman" w:eastAsia="宋体"/>
                <w:b/>
                <w:bCs w:val="0"/>
                <w:color w:val="auto"/>
                <w:sz w:val="21"/>
                <w:szCs w:val="21"/>
                <w:lang w:val="en-US" w:eastAsia="zh-CN"/>
              </w:rPr>
            </w:pPr>
            <w:r>
              <w:rPr>
                <w:rFonts w:hint="eastAsia" w:ascii="Times New Roman" w:hAnsi="Times New Roman" w:eastAsia="宋体"/>
                <w:color w:val="auto"/>
                <w:sz w:val="24"/>
                <w:lang w:eastAsia="zh-CN"/>
              </w:rPr>
              <w:t>本项目危险废物汇总表和危险废物储存场所（设施）基本情况表见</w:t>
            </w:r>
            <w:r>
              <w:rPr>
                <w:rFonts w:hint="eastAsia" w:ascii="Times New Roman" w:hAnsi="Times New Roman" w:eastAsia="宋体"/>
                <w:color w:val="auto"/>
                <w:sz w:val="24"/>
                <w:lang w:val="en-US" w:eastAsia="zh-CN"/>
              </w:rPr>
              <w:t>7-</w:t>
            </w:r>
            <w:r>
              <w:rPr>
                <w:rFonts w:hint="eastAsia"/>
                <w:color w:val="auto"/>
                <w:sz w:val="24"/>
                <w:lang w:val="en-US" w:eastAsia="zh-CN"/>
              </w:rPr>
              <w:t>13</w:t>
            </w:r>
            <w:r>
              <w:rPr>
                <w:rFonts w:hint="eastAsia" w:ascii="Times New Roman" w:hAnsi="Times New Roman" w:eastAsia="宋体"/>
                <w:color w:val="auto"/>
                <w:sz w:val="24"/>
                <w:lang w:val="en-US" w:eastAsia="zh-CN"/>
              </w:rPr>
              <w:t>和表7-</w:t>
            </w:r>
            <w:r>
              <w:rPr>
                <w:rFonts w:hint="eastAsia"/>
                <w:color w:val="auto"/>
                <w:sz w:val="24"/>
                <w:lang w:val="en-US" w:eastAsia="zh-CN"/>
              </w:rPr>
              <w:t>14</w:t>
            </w:r>
            <w:r>
              <w:rPr>
                <w:rFonts w:hint="eastAsia" w:ascii="Times New Roman" w:hAnsi="Times New Roman" w:eastAsia="宋体"/>
                <w:color w:val="auto"/>
                <w:sz w:val="24"/>
                <w:lang w:val="en-US" w:eastAsia="zh-CN"/>
              </w:rPr>
              <w:t>。</w:t>
            </w:r>
          </w:p>
          <w:p>
            <w:pPr>
              <w:spacing w:line="360" w:lineRule="auto"/>
              <w:jc w:val="center"/>
              <w:rPr>
                <w:rFonts w:hint="default" w:ascii="Times New Roman" w:hAnsi="Times New Roman" w:eastAsia="宋体"/>
                <w:b/>
                <w:bCs w:val="0"/>
                <w:color w:val="auto"/>
                <w:sz w:val="21"/>
                <w:szCs w:val="21"/>
                <w:lang w:val="en-US" w:eastAsia="zh-CN"/>
              </w:rPr>
            </w:pPr>
            <w:r>
              <w:rPr>
                <w:rFonts w:hint="default" w:ascii="Times New Roman" w:hAnsi="Times New Roman" w:eastAsia="宋体"/>
                <w:b/>
                <w:bCs w:val="0"/>
                <w:color w:val="auto"/>
                <w:sz w:val="21"/>
                <w:szCs w:val="21"/>
                <w:lang w:val="en-US" w:eastAsia="zh-CN"/>
              </w:rPr>
              <w:t>表</w:t>
            </w:r>
            <w:r>
              <w:rPr>
                <w:rFonts w:hint="eastAsia" w:ascii="Times New Roman" w:hAnsi="Times New Roman" w:eastAsia="宋体"/>
                <w:b/>
                <w:bCs w:val="0"/>
                <w:color w:val="auto"/>
                <w:sz w:val="21"/>
                <w:szCs w:val="21"/>
                <w:lang w:val="en-US" w:eastAsia="zh-CN"/>
              </w:rPr>
              <w:t>7-</w:t>
            </w:r>
            <w:r>
              <w:rPr>
                <w:rFonts w:hint="eastAsia"/>
                <w:b/>
                <w:bCs w:val="0"/>
                <w:color w:val="auto"/>
                <w:sz w:val="21"/>
                <w:szCs w:val="21"/>
                <w:lang w:val="en-US" w:eastAsia="zh-CN"/>
              </w:rPr>
              <w:t>13</w:t>
            </w:r>
            <w:r>
              <w:rPr>
                <w:rFonts w:hint="eastAsia" w:ascii="Times New Roman" w:hAnsi="Times New Roman" w:eastAsia="宋体"/>
                <w:b/>
                <w:bCs w:val="0"/>
                <w:color w:val="auto"/>
                <w:sz w:val="21"/>
                <w:szCs w:val="21"/>
                <w:lang w:val="en-US" w:eastAsia="zh-CN"/>
              </w:rPr>
              <w:t xml:space="preserve"> </w:t>
            </w:r>
            <w:r>
              <w:rPr>
                <w:rFonts w:hint="default" w:ascii="Times New Roman" w:hAnsi="Times New Roman" w:eastAsia="宋体"/>
                <w:b/>
                <w:bCs w:val="0"/>
                <w:color w:val="auto"/>
                <w:sz w:val="21"/>
                <w:szCs w:val="21"/>
                <w:lang w:val="en-US" w:eastAsia="zh-CN"/>
              </w:rPr>
              <w:t xml:space="preserve"> 危险废物汇总表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13"/>
              <w:gridCol w:w="924"/>
              <w:gridCol w:w="912"/>
              <w:gridCol w:w="943"/>
              <w:gridCol w:w="775"/>
              <w:gridCol w:w="1209"/>
              <w:gridCol w:w="511"/>
              <w:gridCol w:w="678"/>
              <w:gridCol w:w="670"/>
              <w:gridCol w:w="519"/>
              <w:gridCol w:w="901"/>
              <w:gridCol w:w="89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36" w:hRule="atLeast"/>
                <w:jc w:val="center"/>
              </w:trPr>
              <w:tc>
                <w:tcPr>
                  <w:tcW w:w="4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序号</w:t>
                  </w:r>
                </w:p>
              </w:tc>
              <w:tc>
                <w:tcPr>
                  <w:tcW w:w="9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危险废物名称</w:t>
                  </w:r>
                </w:p>
              </w:tc>
              <w:tc>
                <w:tcPr>
                  <w:tcW w:w="9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危险废物类别</w:t>
                  </w:r>
                </w:p>
              </w:tc>
              <w:tc>
                <w:tcPr>
                  <w:tcW w:w="9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危险废物代码</w:t>
                  </w:r>
                </w:p>
              </w:tc>
              <w:tc>
                <w:tcPr>
                  <w:tcW w:w="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产生量</w:t>
                  </w:r>
                </w:p>
              </w:tc>
              <w:tc>
                <w:tcPr>
                  <w:tcW w:w="12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产生工序及装置</w:t>
                  </w:r>
                </w:p>
              </w:tc>
              <w:tc>
                <w:tcPr>
                  <w:tcW w:w="5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形态</w:t>
                  </w: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主要成分</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有害成分</w:t>
                  </w:r>
                </w:p>
              </w:tc>
              <w:tc>
                <w:tcPr>
                  <w:tcW w:w="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产废周期</w:t>
                  </w:r>
                </w:p>
              </w:tc>
              <w:tc>
                <w:tcPr>
                  <w:tcW w:w="9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危险特性</w:t>
                  </w:r>
                </w:p>
              </w:tc>
              <w:tc>
                <w:tcPr>
                  <w:tcW w:w="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bCs/>
                      <w:color w:val="auto"/>
                      <w:w w:val="103"/>
                      <w:sz w:val="21"/>
                      <w:szCs w:val="21"/>
                      <w:lang w:bidi="ar"/>
                    </w:rPr>
                  </w:pPr>
                  <w:r>
                    <w:rPr>
                      <w:rFonts w:hint="default" w:ascii="Times New Roman" w:hAnsi="Times New Roman" w:eastAsia="宋体"/>
                      <w:b/>
                      <w:bCs/>
                      <w:color w:val="auto"/>
                      <w:w w:val="103"/>
                      <w:sz w:val="21"/>
                      <w:szCs w:val="21"/>
                      <w:lang w:bidi="ar"/>
                    </w:rPr>
                    <w:t>污染防治措施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413"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1</w:t>
                  </w:r>
                </w:p>
              </w:tc>
              <w:tc>
                <w:tcPr>
                  <w:tcW w:w="924"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废催化剂</w:t>
                  </w:r>
                </w:p>
              </w:tc>
              <w:tc>
                <w:tcPr>
                  <w:tcW w:w="912" w:type="dxa"/>
                  <w:tcBorders>
                    <w:tl2br w:val="nil"/>
                    <w:tr2bl w:val="nil"/>
                  </w:tcBorders>
                  <w:vAlign w:val="center"/>
                </w:tcPr>
                <w:p>
                  <w:pPr>
                    <w:pStyle w:val="22"/>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heme="minorBidi"/>
                      <w:color w:val="auto"/>
                      <w:w w:val="103"/>
                      <w:kern w:val="2"/>
                      <w:sz w:val="21"/>
                      <w:szCs w:val="21"/>
                      <w:lang w:val="en-US" w:eastAsia="zh-CN" w:bidi="ar"/>
                    </w:rPr>
                  </w:pPr>
                  <w:r>
                    <w:rPr>
                      <w:rFonts w:hint="eastAsia" w:ascii="Times New Roman" w:hAnsi="Times New Roman" w:cstheme="minorBidi"/>
                      <w:color w:val="auto"/>
                      <w:w w:val="103"/>
                      <w:kern w:val="2"/>
                      <w:sz w:val="21"/>
                      <w:szCs w:val="21"/>
                      <w:lang w:val="en-US" w:eastAsia="zh-CN" w:bidi="ar"/>
                    </w:rPr>
                    <w:t>HW50</w:t>
                  </w:r>
                </w:p>
              </w:tc>
              <w:tc>
                <w:tcPr>
                  <w:tcW w:w="9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772-007-50</w:t>
                  </w:r>
                </w:p>
              </w:tc>
              <w:tc>
                <w:tcPr>
                  <w:tcW w:w="775"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3t/3a</w:t>
                  </w:r>
                </w:p>
              </w:tc>
              <w:tc>
                <w:tcPr>
                  <w:tcW w:w="1209"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SCR</w:t>
                  </w:r>
                </w:p>
              </w:tc>
              <w:tc>
                <w:tcPr>
                  <w:tcW w:w="511"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固态</w:t>
                  </w:r>
                </w:p>
              </w:tc>
              <w:tc>
                <w:tcPr>
                  <w:tcW w:w="678"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催化剂</w:t>
                  </w:r>
                </w:p>
              </w:tc>
              <w:tc>
                <w:tcPr>
                  <w:tcW w:w="670"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钒钛等</w:t>
                  </w:r>
                </w:p>
              </w:tc>
              <w:tc>
                <w:tcPr>
                  <w:tcW w:w="519"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3a</w:t>
                  </w:r>
                </w:p>
              </w:tc>
              <w:tc>
                <w:tcPr>
                  <w:tcW w:w="901"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T</w:t>
                  </w:r>
                </w:p>
              </w:tc>
              <w:tc>
                <w:tcPr>
                  <w:tcW w:w="899" w:type="dxa"/>
                  <w:vMerge w:val="restart"/>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413"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2</w:t>
                  </w:r>
                </w:p>
              </w:tc>
              <w:tc>
                <w:tcPr>
                  <w:tcW w:w="924"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废油桶</w:t>
                  </w:r>
                </w:p>
              </w:tc>
              <w:tc>
                <w:tcPr>
                  <w:tcW w:w="912" w:type="dxa"/>
                  <w:tcBorders>
                    <w:tl2br w:val="nil"/>
                    <w:tr2bl w:val="nil"/>
                  </w:tcBorders>
                  <w:vAlign w:val="center"/>
                </w:tcPr>
                <w:p>
                  <w:pPr>
                    <w:pStyle w:val="22"/>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heme="minorBidi"/>
                      <w:color w:val="auto"/>
                      <w:w w:val="103"/>
                      <w:kern w:val="2"/>
                      <w:sz w:val="21"/>
                      <w:szCs w:val="21"/>
                      <w:lang w:val="en-US" w:eastAsia="zh-CN" w:bidi="ar"/>
                    </w:rPr>
                  </w:pPr>
                  <w:r>
                    <w:rPr>
                      <w:rFonts w:hint="eastAsia" w:ascii="Times New Roman" w:hAnsi="Times New Roman" w:cstheme="minorBidi"/>
                      <w:color w:val="auto"/>
                      <w:w w:val="103"/>
                      <w:kern w:val="2"/>
                      <w:sz w:val="21"/>
                      <w:szCs w:val="21"/>
                      <w:lang w:val="en-US" w:eastAsia="zh-CN" w:bidi="ar"/>
                    </w:rPr>
                    <w:t>HW49</w:t>
                  </w:r>
                </w:p>
              </w:tc>
              <w:tc>
                <w:tcPr>
                  <w:tcW w:w="9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900-041-49</w:t>
                  </w:r>
                </w:p>
              </w:tc>
              <w:tc>
                <w:tcPr>
                  <w:tcW w:w="775"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1t/a</w:t>
                  </w:r>
                </w:p>
              </w:tc>
              <w:tc>
                <w:tcPr>
                  <w:tcW w:w="1209"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ascii="Times New Roman" w:hAnsi="Times New Roman" w:eastAsia="宋体"/>
                      <w:color w:val="auto"/>
                      <w:w w:val="103"/>
                      <w:sz w:val="21"/>
                      <w:szCs w:val="21"/>
                      <w:lang w:val="en-US" w:eastAsia="zh-CN" w:bidi="ar"/>
                    </w:rPr>
                    <w:t>设备维护</w:t>
                  </w:r>
                </w:p>
              </w:tc>
              <w:tc>
                <w:tcPr>
                  <w:tcW w:w="511"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固态</w:t>
                  </w:r>
                </w:p>
              </w:tc>
              <w:tc>
                <w:tcPr>
                  <w:tcW w:w="678"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金属</w:t>
                  </w:r>
                </w:p>
              </w:tc>
              <w:tc>
                <w:tcPr>
                  <w:tcW w:w="670"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矿物油</w:t>
                  </w:r>
                </w:p>
              </w:tc>
              <w:tc>
                <w:tcPr>
                  <w:tcW w:w="519"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1a</w:t>
                  </w:r>
                </w:p>
              </w:tc>
              <w:tc>
                <w:tcPr>
                  <w:tcW w:w="901"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ascii="Times New Roman" w:hAnsi="Times New Roman" w:eastAsia="宋体"/>
                      <w:color w:val="auto"/>
                      <w:w w:val="103"/>
                      <w:sz w:val="21"/>
                      <w:szCs w:val="21"/>
                      <w:lang w:val="en-US" w:eastAsia="zh-CN" w:bidi="ar"/>
                    </w:rPr>
                    <w:t>T/In</w:t>
                  </w:r>
                </w:p>
              </w:tc>
              <w:tc>
                <w:tcPr>
                  <w:tcW w:w="899" w:type="dxa"/>
                  <w:vMerge w:val="continue"/>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p>
              </w:tc>
            </w:tr>
          </w:tbl>
          <w:p>
            <w:pPr>
              <w:spacing w:line="360" w:lineRule="auto"/>
              <w:jc w:val="center"/>
              <w:rPr>
                <w:rFonts w:ascii="Times New Roman" w:hAnsi="Times New Roman" w:eastAsia="宋体"/>
                <w:b/>
                <w:bCs w:val="0"/>
                <w:color w:val="auto"/>
                <w:sz w:val="21"/>
              </w:rPr>
            </w:pPr>
            <w:r>
              <w:rPr>
                <w:rFonts w:hint="eastAsia" w:ascii="Times New Roman" w:hAnsi="Times New Roman" w:eastAsia="宋体"/>
                <w:b/>
                <w:bCs w:val="0"/>
                <w:color w:val="auto"/>
                <w:sz w:val="21"/>
              </w:rPr>
              <w:t>表</w:t>
            </w:r>
            <w:r>
              <w:rPr>
                <w:rFonts w:hint="eastAsia" w:ascii="Times New Roman" w:hAnsi="Times New Roman" w:eastAsia="宋体"/>
                <w:b/>
                <w:bCs w:val="0"/>
                <w:color w:val="auto"/>
                <w:sz w:val="21"/>
                <w:lang w:val="en-US" w:eastAsia="zh-CN"/>
              </w:rPr>
              <w:t>7-</w:t>
            </w:r>
            <w:r>
              <w:rPr>
                <w:rFonts w:hint="eastAsia"/>
                <w:b/>
                <w:bCs w:val="0"/>
                <w:color w:val="auto"/>
                <w:sz w:val="21"/>
                <w:lang w:val="en-US" w:eastAsia="zh-CN"/>
              </w:rPr>
              <w:t>14</w:t>
            </w:r>
            <w:r>
              <w:rPr>
                <w:rFonts w:hint="eastAsia" w:ascii="Times New Roman" w:hAnsi="Times New Roman" w:eastAsia="宋体"/>
                <w:b/>
                <w:bCs w:val="0"/>
                <w:color w:val="auto"/>
                <w:sz w:val="21"/>
              </w:rPr>
              <w:t xml:space="preserve"> 建设项目危险废物贮存场所（设施）基本情况表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84"/>
              <w:gridCol w:w="1087"/>
              <w:gridCol w:w="935"/>
              <w:gridCol w:w="935"/>
              <w:gridCol w:w="1015"/>
              <w:gridCol w:w="855"/>
              <w:gridCol w:w="935"/>
              <w:gridCol w:w="935"/>
              <w:gridCol w:w="936"/>
              <w:gridCol w:w="9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1" w:hRule="atLeast"/>
                <w:jc w:val="center"/>
              </w:trPr>
              <w:tc>
                <w:tcPr>
                  <w:tcW w:w="784"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序号</w:t>
                  </w:r>
                </w:p>
              </w:tc>
              <w:tc>
                <w:tcPr>
                  <w:tcW w:w="1087"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贮存场所名称</w:t>
                  </w:r>
                </w:p>
              </w:tc>
              <w:tc>
                <w:tcPr>
                  <w:tcW w:w="935"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危险废物名称</w:t>
                  </w:r>
                </w:p>
              </w:tc>
              <w:tc>
                <w:tcPr>
                  <w:tcW w:w="935"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危险废物类别</w:t>
                  </w:r>
                </w:p>
              </w:tc>
              <w:tc>
                <w:tcPr>
                  <w:tcW w:w="1015"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危险废物代码</w:t>
                  </w:r>
                </w:p>
              </w:tc>
              <w:tc>
                <w:tcPr>
                  <w:tcW w:w="855"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位置</w:t>
                  </w:r>
                </w:p>
              </w:tc>
              <w:tc>
                <w:tcPr>
                  <w:tcW w:w="935"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占地面积</w:t>
                  </w:r>
                </w:p>
              </w:tc>
              <w:tc>
                <w:tcPr>
                  <w:tcW w:w="935"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贮存方式</w:t>
                  </w:r>
                </w:p>
              </w:tc>
              <w:tc>
                <w:tcPr>
                  <w:tcW w:w="936"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贮存能力</w:t>
                  </w:r>
                </w:p>
              </w:tc>
              <w:tc>
                <w:tcPr>
                  <w:tcW w:w="937" w:type="dxa"/>
                  <w:tcBorders>
                    <w:tl2br w:val="nil"/>
                    <w:tr2bl w:val="nil"/>
                  </w:tcBorders>
                  <w:vAlign w:val="center"/>
                </w:tcPr>
                <w:p>
                  <w:pPr>
                    <w:jc w:val="center"/>
                    <w:rPr>
                      <w:rFonts w:ascii="Times New Roman" w:hAnsi="Times New Roman" w:eastAsia="宋体"/>
                      <w:b/>
                      <w:bCs/>
                      <w:color w:val="auto"/>
                      <w:w w:val="103"/>
                      <w:sz w:val="21"/>
                      <w:szCs w:val="21"/>
                    </w:rPr>
                  </w:pPr>
                  <w:r>
                    <w:rPr>
                      <w:rFonts w:ascii="Times New Roman" w:hAnsi="Times New Roman" w:eastAsia="宋体"/>
                      <w:b/>
                      <w:bCs/>
                      <w:color w:val="auto"/>
                      <w:w w:val="103"/>
                      <w:sz w:val="21"/>
                      <w:szCs w:val="21"/>
                      <w:lang w:bidi="ar"/>
                    </w:rPr>
                    <w:t>贮存周期</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1" w:hRule="atLeast"/>
                <w:jc w:val="center"/>
              </w:trPr>
              <w:tc>
                <w:tcPr>
                  <w:tcW w:w="784"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ascii="Times New Roman" w:hAnsi="Times New Roman" w:eastAsia="宋体"/>
                      <w:color w:val="auto"/>
                      <w:w w:val="103"/>
                      <w:sz w:val="21"/>
                      <w:szCs w:val="21"/>
                      <w:lang w:val="en-US" w:eastAsia="zh-CN" w:bidi="ar"/>
                    </w:rPr>
                    <w:t>1</w:t>
                  </w:r>
                </w:p>
              </w:tc>
              <w:tc>
                <w:tcPr>
                  <w:tcW w:w="1087" w:type="dxa"/>
                  <w:vMerge w:val="restart"/>
                  <w:tcBorders>
                    <w:tl2br w:val="nil"/>
                    <w:tr2bl w:val="nil"/>
                  </w:tcBorders>
                  <w:vAlign w:val="center"/>
                </w:tcPr>
                <w:p>
                  <w:pPr>
                    <w:jc w:val="center"/>
                    <w:rPr>
                      <w:rFonts w:ascii="Times New Roman" w:hAnsi="Times New Roman" w:eastAsia="宋体"/>
                      <w:color w:val="auto"/>
                      <w:w w:val="103"/>
                      <w:sz w:val="21"/>
                      <w:szCs w:val="21"/>
                      <w:lang w:bidi="ar"/>
                    </w:rPr>
                  </w:pPr>
                  <w:r>
                    <w:rPr>
                      <w:rFonts w:ascii="Times New Roman" w:hAnsi="Times New Roman" w:eastAsia="宋体"/>
                      <w:color w:val="auto"/>
                      <w:w w:val="103"/>
                      <w:sz w:val="21"/>
                      <w:szCs w:val="21"/>
                      <w:lang w:bidi="ar"/>
                    </w:rPr>
                    <w:t>危废暂存间</w:t>
                  </w:r>
                </w:p>
              </w:tc>
              <w:tc>
                <w:tcPr>
                  <w:tcW w:w="935"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废催化剂</w:t>
                  </w:r>
                </w:p>
              </w:tc>
              <w:tc>
                <w:tcPr>
                  <w:tcW w:w="935" w:type="dxa"/>
                  <w:tcBorders>
                    <w:tl2br w:val="nil"/>
                    <w:tr2bl w:val="nil"/>
                  </w:tcBorders>
                  <w:vAlign w:val="center"/>
                </w:tcPr>
                <w:p>
                  <w:pPr>
                    <w:pStyle w:val="22"/>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heme="minorBidi"/>
                      <w:color w:val="auto"/>
                      <w:w w:val="103"/>
                      <w:kern w:val="2"/>
                      <w:sz w:val="21"/>
                      <w:szCs w:val="21"/>
                      <w:lang w:bidi="ar"/>
                    </w:rPr>
                  </w:pPr>
                  <w:r>
                    <w:rPr>
                      <w:rFonts w:hint="eastAsia" w:ascii="Times New Roman" w:hAnsi="Times New Roman" w:cstheme="minorBidi"/>
                      <w:color w:val="auto"/>
                      <w:w w:val="103"/>
                      <w:kern w:val="2"/>
                      <w:sz w:val="21"/>
                      <w:szCs w:val="21"/>
                      <w:lang w:val="en-US" w:eastAsia="zh-CN" w:bidi="ar"/>
                    </w:rPr>
                    <w:t>HW50</w:t>
                  </w:r>
                </w:p>
              </w:tc>
              <w:tc>
                <w:tcPr>
                  <w:tcW w:w="10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772-007-50</w:t>
                  </w:r>
                </w:p>
              </w:tc>
              <w:tc>
                <w:tcPr>
                  <w:tcW w:w="855" w:type="dxa"/>
                  <w:vMerge w:val="restart"/>
                  <w:tcBorders>
                    <w:tl2br w:val="nil"/>
                    <w:tr2bl w:val="nil"/>
                  </w:tcBorders>
                  <w:vAlign w:val="center"/>
                </w:tcPr>
                <w:p>
                  <w:pPr>
                    <w:jc w:val="center"/>
                    <w:rPr>
                      <w:rFonts w:hint="default" w:ascii="Times New Roman" w:hAnsi="Times New Roman" w:eastAsia="宋体"/>
                      <w:color w:val="auto"/>
                      <w:w w:val="103"/>
                      <w:sz w:val="21"/>
                      <w:szCs w:val="21"/>
                      <w:lang w:val="en-US"/>
                    </w:rPr>
                  </w:pPr>
                  <w:r>
                    <w:rPr>
                      <w:rFonts w:hint="eastAsia" w:ascii="Times New Roman" w:hAnsi="Times New Roman" w:eastAsia="宋体"/>
                      <w:color w:val="auto"/>
                      <w:w w:val="103"/>
                      <w:sz w:val="21"/>
                      <w:szCs w:val="21"/>
                      <w:highlight w:val="none"/>
                      <w:lang w:val="en-US" w:eastAsia="zh-CN"/>
                    </w:rPr>
                    <w:t>厂区</w:t>
                  </w:r>
                  <w:r>
                    <w:rPr>
                      <w:rFonts w:hint="eastAsia"/>
                      <w:color w:val="auto"/>
                      <w:w w:val="103"/>
                      <w:sz w:val="21"/>
                      <w:szCs w:val="21"/>
                      <w:highlight w:val="none"/>
                      <w:lang w:val="en-US" w:eastAsia="zh-CN"/>
                    </w:rPr>
                    <w:t>南</w:t>
                  </w:r>
                  <w:r>
                    <w:rPr>
                      <w:rFonts w:hint="eastAsia" w:ascii="Times New Roman" w:hAnsi="Times New Roman" w:eastAsia="宋体"/>
                      <w:color w:val="auto"/>
                      <w:w w:val="103"/>
                      <w:sz w:val="21"/>
                      <w:szCs w:val="21"/>
                      <w:highlight w:val="none"/>
                      <w:lang w:val="en-US" w:eastAsia="zh-CN"/>
                    </w:rPr>
                    <w:t>部</w:t>
                  </w:r>
                </w:p>
              </w:tc>
              <w:tc>
                <w:tcPr>
                  <w:tcW w:w="935" w:type="dxa"/>
                  <w:vMerge w:val="restart"/>
                  <w:tcBorders>
                    <w:tl2br w:val="nil"/>
                    <w:tr2bl w:val="nil"/>
                  </w:tcBorders>
                  <w:vAlign w:val="center"/>
                </w:tcPr>
                <w:p>
                  <w:pPr>
                    <w:jc w:val="center"/>
                    <w:rPr>
                      <w:rFonts w:ascii="Times New Roman" w:hAnsi="Times New Roman" w:eastAsia="宋体"/>
                      <w:color w:val="auto"/>
                      <w:w w:val="103"/>
                      <w:sz w:val="21"/>
                      <w:szCs w:val="21"/>
                      <w:highlight w:val="none"/>
                      <w:lang w:bidi="ar"/>
                    </w:rPr>
                  </w:pPr>
                  <w:r>
                    <w:rPr>
                      <w:rFonts w:hint="eastAsia" w:ascii="Times New Roman" w:hAnsi="Times New Roman" w:eastAsia="宋体"/>
                      <w:color w:val="auto"/>
                      <w:w w:val="103"/>
                      <w:sz w:val="21"/>
                      <w:szCs w:val="21"/>
                      <w:highlight w:val="none"/>
                      <w:lang w:val="en-US" w:eastAsia="zh-CN" w:bidi="ar"/>
                    </w:rPr>
                    <w:t>20</w:t>
                  </w:r>
                  <w:r>
                    <w:rPr>
                      <w:rFonts w:ascii="Times New Roman" w:hAnsi="Times New Roman" w:eastAsia="宋体"/>
                      <w:color w:val="auto"/>
                      <w:w w:val="103"/>
                      <w:sz w:val="21"/>
                      <w:szCs w:val="21"/>
                      <w:highlight w:val="none"/>
                      <w:lang w:bidi="ar"/>
                    </w:rPr>
                    <w:t xml:space="preserve"> m</w:t>
                  </w:r>
                  <w:r>
                    <w:rPr>
                      <w:rFonts w:ascii="Times New Roman" w:hAnsi="Times New Roman" w:eastAsia="宋体"/>
                      <w:color w:val="auto"/>
                      <w:w w:val="103"/>
                      <w:sz w:val="21"/>
                      <w:szCs w:val="21"/>
                      <w:highlight w:val="none"/>
                      <w:vertAlign w:val="superscript"/>
                      <w:lang w:bidi="ar"/>
                    </w:rPr>
                    <w:t>2</w:t>
                  </w:r>
                </w:p>
              </w:tc>
              <w:tc>
                <w:tcPr>
                  <w:tcW w:w="935"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ascii="Times New Roman" w:hAnsi="Times New Roman" w:eastAsia="宋体"/>
                      <w:color w:val="auto"/>
                      <w:w w:val="103"/>
                      <w:sz w:val="21"/>
                      <w:szCs w:val="21"/>
                      <w:lang w:val="en-US" w:eastAsia="zh-CN" w:bidi="ar"/>
                    </w:rPr>
                    <w:t>密闭桶装</w:t>
                  </w:r>
                </w:p>
              </w:tc>
              <w:tc>
                <w:tcPr>
                  <w:tcW w:w="936"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3t/3a</w:t>
                  </w:r>
                </w:p>
              </w:tc>
              <w:tc>
                <w:tcPr>
                  <w:tcW w:w="937"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ascii="Times New Roman" w:hAnsi="Times New Roman" w:eastAsia="宋体"/>
                      <w:color w:val="auto"/>
                      <w:w w:val="103"/>
                      <w:sz w:val="21"/>
                      <w:szCs w:val="21"/>
                      <w:lang w:val="en-US" w:eastAsia="zh-CN" w:bidi="ar"/>
                    </w:rPr>
                    <w:t>1a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1" w:hRule="atLeast"/>
                <w:jc w:val="center"/>
              </w:trPr>
              <w:tc>
                <w:tcPr>
                  <w:tcW w:w="784" w:type="dxa"/>
                  <w:tcBorders>
                    <w:tl2br w:val="nil"/>
                    <w:tr2bl w:val="nil"/>
                  </w:tcBorders>
                  <w:vAlign w:val="center"/>
                </w:tcPr>
                <w:p>
                  <w:pPr>
                    <w:jc w:val="center"/>
                    <w:rPr>
                      <w:rFonts w:hint="default"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2</w:t>
                  </w:r>
                </w:p>
              </w:tc>
              <w:tc>
                <w:tcPr>
                  <w:tcW w:w="1087" w:type="dxa"/>
                  <w:vMerge w:val="continue"/>
                  <w:tcBorders>
                    <w:tl2br w:val="nil"/>
                    <w:tr2bl w:val="nil"/>
                  </w:tcBorders>
                  <w:vAlign w:val="center"/>
                </w:tcPr>
                <w:p>
                  <w:pPr>
                    <w:jc w:val="center"/>
                    <w:rPr>
                      <w:rFonts w:ascii="Times New Roman" w:hAnsi="Times New Roman" w:eastAsia="宋体"/>
                      <w:color w:val="auto"/>
                      <w:w w:val="103"/>
                      <w:sz w:val="21"/>
                      <w:szCs w:val="21"/>
                      <w:lang w:bidi="ar"/>
                    </w:rPr>
                  </w:pPr>
                </w:p>
              </w:tc>
              <w:tc>
                <w:tcPr>
                  <w:tcW w:w="935"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废油桶</w:t>
                  </w:r>
                </w:p>
              </w:tc>
              <w:tc>
                <w:tcPr>
                  <w:tcW w:w="935" w:type="dxa"/>
                  <w:tcBorders>
                    <w:tl2br w:val="nil"/>
                    <w:tr2bl w:val="nil"/>
                  </w:tcBorders>
                  <w:vAlign w:val="center"/>
                </w:tcPr>
                <w:p>
                  <w:pPr>
                    <w:pStyle w:val="22"/>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heme="minorBidi"/>
                      <w:color w:val="auto"/>
                      <w:w w:val="103"/>
                      <w:kern w:val="2"/>
                      <w:sz w:val="21"/>
                      <w:szCs w:val="21"/>
                      <w:lang w:bidi="ar"/>
                    </w:rPr>
                  </w:pPr>
                  <w:r>
                    <w:rPr>
                      <w:rFonts w:hint="eastAsia" w:ascii="Times New Roman" w:hAnsi="Times New Roman" w:cstheme="minorBidi"/>
                      <w:color w:val="auto"/>
                      <w:w w:val="103"/>
                      <w:kern w:val="2"/>
                      <w:sz w:val="21"/>
                      <w:szCs w:val="21"/>
                      <w:lang w:val="en-US" w:eastAsia="zh-CN" w:bidi="ar"/>
                    </w:rPr>
                    <w:t>HW49</w:t>
                  </w:r>
                </w:p>
              </w:tc>
              <w:tc>
                <w:tcPr>
                  <w:tcW w:w="10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900-041-49</w:t>
                  </w:r>
                </w:p>
              </w:tc>
              <w:tc>
                <w:tcPr>
                  <w:tcW w:w="855" w:type="dxa"/>
                  <w:vMerge w:val="continue"/>
                  <w:tcBorders>
                    <w:tl2br w:val="nil"/>
                    <w:tr2bl w:val="nil"/>
                  </w:tcBorders>
                  <w:vAlign w:val="center"/>
                </w:tcPr>
                <w:p>
                  <w:pPr>
                    <w:jc w:val="center"/>
                    <w:rPr>
                      <w:rFonts w:hint="eastAsia" w:ascii="Times New Roman" w:hAnsi="Times New Roman" w:eastAsia="宋体"/>
                      <w:color w:val="auto"/>
                      <w:w w:val="103"/>
                      <w:sz w:val="21"/>
                      <w:szCs w:val="21"/>
                      <w:highlight w:val="none"/>
                      <w:lang w:val="en-US" w:eastAsia="zh-CN"/>
                    </w:rPr>
                  </w:pPr>
                </w:p>
              </w:tc>
              <w:tc>
                <w:tcPr>
                  <w:tcW w:w="935" w:type="dxa"/>
                  <w:vMerge w:val="continue"/>
                  <w:tcBorders>
                    <w:tl2br w:val="nil"/>
                    <w:tr2bl w:val="nil"/>
                  </w:tcBorders>
                  <w:vAlign w:val="center"/>
                </w:tcPr>
                <w:p>
                  <w:pPr>
                    <w:jc w:val="center"/>
                    <w:rPr>
                      <w:rFonts w:hint="eastAsia" w:ascii="Times New Roman" w:hAnsi="Times New Roman" w:eastAsia="宋体"/>
                      <w:color w:val="auto"/>
                      <w:w w:val="103"/>
                      <w:sz w:val="21"/>
                      <w:szCs w:val="21"/>
                      <w:highlight w:val="none"/>
                      <w:lang w:val="en-US" w:eastAsia="zh-CN" w:bidi="ar"/>
                    </w:rPr>
                  </w:pPr>
                </w:p>
              </w:tc>
              <w:tc>
                <w:tcPr>
                  <w:tcW w:w="935"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ascii="Times New Roman" w:hAnsi="Times New Roman" w:eastAsia="宋体"/>
                      <w:color w:val="auto"/>
                      <w:w w:val="103"/>
                      <w:sz w:val="21"/>
                      <w:szCs w:val="21"/>
                      <w:lang w:val="en-US" w:eastAsia="zh-CN" w:bidi="ar"/>
                    </w:rPr>
                    <w:t>密闭桶装</w:t>
                  </w:r>
                </w:p>
              </w:tc>
              <w:tc>
                <w:tcPr>
                  <w:tcW w:w="936"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color w:val="auto"/>
                      <w:w w:val="103"/>
                      <w:sz w:val="21"/>
                      <w:szCs w:val="21"/>
                      <w:lang w:val="en-US" w:eastAsia="zh-CN" w:bidi="ar"/>
                    </w:rPr>
                    <w:t>1t/a</w:t>
                  </w:r>
                </w:p>
              </w:tc>
              <w:tc>
                <w:tcPr>
                  <w:tcW w:w="937" w:type="dxa"/>
                  <w:tcBorders>
                    <w:tl2br w:val="nil"/>
                    <w:tr2bl w:val="nil"/>
                  </w:tcBorders>
                  <w:vAlign w:val="center"/>
                </w:tcPr>
                <w:p>
                  <w:pPr>
                    <w:jc w:val="center"/>
                    <w:rPr>
                      <w:rFonts w:hint="eastAsia" w:ascii="Times New Roman" w:hAnsi="Times New Roman" w:eastAsia="宋体"/>
                      <w:color w:val="auto"/>
                      <w:w w:val="103"/>
                      <w:sz w:val="21"/>
                      <w:szCs w:val="21"/>
                      <w:lang w:val="en-US" w:eastAsia="zh-CN" w:bidi="ar"/>
                    </w:rPr>
                  </w:pPr>
                  <w:r>
                    <w:rPr>
                      <w:rFonts w:hint="eastAsia" w:ascii="Times New Roman" w:hAnsi="Times New Roman" w:eastAsia="宋体"/>
                      <w:color w:val="auto"/>
                      <w:w w:val="103"/>
                      <w:sz w:val="21"/>
                      <w:szCs w:val="21"/>
                      <w:lang w:val="en-US" w:eastAsia="zh-CN" w:bidi="ar"/>
                    </w:rPr>
                    <w:t>1a</w:t>
                  </w:r>
                </w:p>
              </w:tc>
            </w:tr>
          </w:tbl>
          <w:p>
            <w:pPr>
              <w:spacing w:line="360" w:lineRule="auto"/>
              <w:ind w:firstLine="480" w:firstLineChars="200"/>
              <w:rPr>
                <w:rFonts w:hint="eastAsia"/>
                <w:color w:val="auto"/>
                <w:sz w:val="24"/>
                <w:highlight w:val="none"/>
              </w:rPr>
            </w:pPr>
            <w:r>
              <w:rPr>
                <w:rFonts w:hint="eastAsia"/>
                <w:color w:val="auto"/>
                <w:sz w:val="24"/>
                <w:highlight w:val="none"/>
                <w:lang w:val="en-US" w:eastAsia="zh-CN"/>
              </w:rPr>
              <w:t>项目</w:t>
            </w:r>
            <w:r>
              <w:rPr>
                <w:rFonts w:hint="eastAsia"/>
                <w:color w:val="auto"/>
                <w:sz w:val="24"/>
                <w:highlight w:val="none"/>
              </w:rPr>
              <w:t xml:space="preserve">危险废物存放要求：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①</w:t>
            </w:r>
            <w:r>
              <w:rPr>
                <w:rFonts w:hint="eastAsia"/>
                <w:color w:val="auto"/>
                <w:sz w:val="24"/>
                <w:highlight w:val="none"/>
              </w:rPr>
              <w:t xml:space="preserve">在常温常压下不水解、不挥发的固体危险废物可在贮存设施内分别堆放；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②</w:t>
            </w:r>
            <w:r>
              <w:rPr>
                <w:rFonts w:hint="eastAsia"/>
                <w:color w:val="auto"/>
                <w:sz w:val="24"/>
                <w:highlight w:val="none"/>
              </w:rPr>
              <w:t xml:space="preserve">易挥发、液体、半固体的危险废物须按规定装入容器内存放；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③</w:t>
            </w:r>
            <w:r>
              <w:rPr>
                <w:rFonts w:hint="eastAsia"/>
                <w:color w:val="auto"/>
                <w:sz w:val="24"/>
                <w:highlight w:val="none"/>
              </w:rPr>
              <w:t xml:space="preserve">应当使用符合标准的容器盛装危险废物，容器必须完好无损；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④</w:t>
            </w:r>
            <w:r>
              <w:rPr>
                <w:rFonts w:hint="eastAsia"/>
                <w:color w:val="auto"/>
                <w:sz w:val="24"/>
                <w:highlight w:val="none"/>
              </w:rPr>
              <w:t xml:space="preserve">无法装入常用容器的危险废物可用防漏胶袋等盛装；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⑤</w:t>
            </w:r>
            <w:r>
              <w:rPr>
                <w:rFonts w:hint="eastAsia"/>
                <w:color w:val="auto"/>
                <w:sz w:val="24"/>
                <w:highlight w:val="none"/>
              </w:rPr>
              <w:t xml:space="preserve">禁止将不相容（相互反应）的危险废物在同一容器内混装；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⑥</w:t>
            </w:r>
            <w:r>
              <w:rPr>
                <w:rFonts w:hint="eastAsia"/>
                <w:color w:val="auto"/>
                <w:sz w:val="24"/>
                <w:highlight w:val="none"/>
              </w:rPr>
              <w:t xml:space="preserve">装载液体、半固体危险废物的容器内须留足够空间，容器顶部与液体表面之间保留100毫米以上的空间；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⑦</w:t>
            </w:r>
            <w:r>
              <w:rPr>
                <w:rFonts w:hint="eastAsia"/>
                <w:color w:val="auto"/>
                <w:sz w:val="24"/>
                <w:highlight w:val="none"/>
              </w:rPr>
              <w:t xml:space="preserve">盛装危险废物的容器上必须粘贴标签注明危险废物的名称和识别标志；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⑧</w:t>
            </w:r>
            <w:r>
              <w:rPr>
                <w:rFonts w:hint="eastAsia"/>
                <w:color w:val="auto"/>
                <w:sz w:val="24"/>
                <w:highlight w:val="none"/>
              </w:rPr>
              <w:t>禁止露天存放危险废物。</w:t>
            </w:r>
          </w:p>
          <w:p>
            <w:pPr>
              <w:spacing w:line="360" w:lineRule="auto"/>
              <w:ind w:firstLine="480" w:firstLineChars="200"/>
              <w:rPr>
                <w:rFonts w:hint="eastAsia"/>
                <w:color w:val="auto"/>
                <w:sz w:val="24"/>
                <w:highlight w:val="none"/>
              </w:rPr>
            </w:pPr>
            <w:r>
              <w:rPr>
                <w:rFonts w:hint="eastAsia"/>
                <w:color w:val="auto"/>
                <w:sz w:val="24"/>
                <w:highlight w:val="none"/>
              </w:rPr>
              <w:t xml:space="preserve">危险废物贮存（库房）场所要求：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①</w:t>
            </w:r>
            <w:r>
              <w:rPr>
                <w:rFonts w:hint="eastAsia"/>
                <w:color w:val="auto"/>
                <w:sz w:val="24"/>
                <w:highlight w:val="none"/>
              </w:rPr>
              <w:t xml:space="preserve">应在人员活动密集区及易燃、易爆等危险品仓库、高压输电线路防护区域以外；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②</w:t>
            </w:r>
            <w:r>
              <w:rPr>
                <w:rFonts w:hint="eastAsia"/>
                <w:color w:val="auto"/>
                <w:sz w:val="24"/>
                <w:highlight w:val="none"/>
              </w:rPr>
              <w:t>设施的地面必须用坚固、防渗的材料建造， 具有防雨淋、防雨洪冲击或浸泡功能；</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③</w:t>
            </w:r>
            <w:r>
              <w:rPr>
                <w:rFonts w:hint="eastAsia"/>
                <w:color w:val="auto"/>
                <w:sz w:val="24"/>
                <w:highlight w:val="none"/>
              </w:rPr>
              <w:t xml:space="preserve">用以存放装载液体、半固体危险废物容器的地方，必须有耐腐蚀的硬化地面，且表面无裂隙,周边设置导流渠，并有收集系统；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lang w:val="en-US" w:eastAsia="zh-CN"/>
              </w:rPr>
              <w:t>④</w:t>
            </w:r>
            <w:r>
              <w:rPr>
                <w:rFonts w:hint="eastAsia"/>
                <w:color w:val="auto"/>
                <w:sz w:val="24"/>
                <w:highlight w:val="none"/>
              </w:rPr>
              <w:t xml:space="preserve">贮存（库房）场所有良好的通风和照明设施； </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lang w:val="en-US" w:eastAsia="zh-CN"/>
              </w:rPr>
              <w:t>⑤</w:t>
            </w:r>
            <w:r>
              <w:rPr>
                <w:rFonts w:hint="eastAsia"/>
                <w:color w:val="auto"/>
                <w:sz w:val="24"/>
                <w:highlight w:val="none"/>
              </w:rPr>
              <w:t>有消防设施，并粘贴禁止“吸烟、饮食”告示牌。</w:t>
            </w:r>
          </w:p>
          <w:p>
            <w:pPr>
              <w:keepNext w:val="0"/>
              <w:keepLines w:val="0"/>
              <w:pageBreakBefore w:val="0"/>
              <w:widowControl w:val="0"/>
              <w:shd w:val="clear" w:color="auto" w:fill="auto"/>
              <w:kinsoku/>
              <w:wordWrap/>
              <w:overflowPunct/>
              <w:topLinePunct w:val="0"/>
              <w:autoSpaceDE/>
              <w:autoSpaceDN/>
              <w:bidi w:val="0"/>
              <w:adjustRightInd/>
              <w:spacing w:beforeLines="0" w:afterLines="0" w:line="360" w:lineRule="auto"/>
              <w:ind w:left="0" w:leftChars="0" w:right="0" w:rightChars="0" w:firstLine="480" w:firstLineChars="200"/>
              <w:jc w:val="both"/>
              <w:textAlignment w:val="auto"/>
              <w:outlineLvl w:val="9"/>
              <w:rPr>
                <w:rFonts w:hint="eastAsia" w:ascii="Times New Roman" w:hAnsi="Times New Roman" w:eastAsia="宋体"/>
                <w:color w:val="auto"/>
                <w:sz w:val="24"/>
                <w:highlight w:val="none"/>
              </w:rPr>
            </w:pPr>
            <w:r>
              <w:rPr>
                <w:rFonts w:hint="eastAsia"/>
                <w:color w:val="auto"/>
                <w:sz w:val="24"/>
                <w:highlight w:val="none"/>
                <w:lang w:val="en-US" w:eastAsia="zh-CN"/>
              </w:rPr>
              <w:t>本</w:t>
            </w:r>
            <w:r>
              <w:rPr>
                <w:rFonts w:hint="eastAsia"/>
                <w:color w:val="auto"/>
                <w:sz w:val="24"/>
                <w:highlight w:val="none"/>
              </w:rPr>
              <w:t>项目固体废弃物的处理和处置措施</w:t>
            </w:r>
            <w:r>
              <w:rPr>
                <w:color w:val="auto"/>
                <w:sz w:val="24"/>
                <w:highlight w:val="none"/>
              </w:rPr>
              <w:t>符合</w:t>
            </w:r>
            <w:r>
              <w:rPr>
                <w:rFonts w:hint="eastAsia"/>
                <w:color w:val="auto"/>
                <w:sz w:val="24"/>
                <w:lang w:val="en-US" w:eastAsia="zh-CN"/>
              </w:rPr>
              <w:t>《一般工业固体废物贮存、处置场污染控制标准》（GB18599-2001）</w:t>
            </w:r>
            <w:r>
              <w:rPr>
                <w:rFonts w:hint="default" w:ascii="Times New Roman" w:hAnsi="Times New Roman" w:eastAsia="宋体"/>
                <w:color w:val="auto"/>
                <w:sz w:val="24"/>
                <w:lang w:val="en-US" w:eastAsia="zh-CN"/>
              </w:rPr>
              <w:t>及修</w:t>
            </w:r>
            <w:r>
              <w:rPr>
                <w:rFonts w:hint="default" w:ascii="Times New Roman" w:hAnsi="Times New Roman" w:eastAsia="宋体" w:cs="Times New Roman"/>
                <w:color w:val="auto"/>
                <w:sz w:val="24"/>
                <w:lang w:eastAsia="zh-CN"/>
              </w:rPr>
              <w:t>改单要求</w:t>
            </w:r>
            <w:r>
              <w:rPr>
                <w:rFonts w:hint="eastAsia" w:cs="Times New Roman"/>
                <w:color w:val="auto"/>
                <w:sz w:val="24"/>
                <w:lang w:val="en-US" w:eastAsia="zh-CN"/>
              </w:rPr>
              <w:t>以及</w:t>
            </w:r>
            <w:r>
              <w:rPr>
                <w:rFonts w:hint="default" w:ascii="Times New Roman" w:hAnsi="Times New Roman" w:eastAsia="宋体"/>
                <w:color w:val="auto"/>
                <w:sz w:val="24"/>
                <w:lang w:val="en-US" w:eastAsia="zh-CN"/>
              </w:rPr>
              <w:t>《危险废物贮存污染控制标准》</w:t>
            </w:r>
            <w:r>
              <w:rPr>
                <w:rFonts w:hint="eastAsia" w:ascii="Times New Roman" w:hAnsi="Times New Roman"/>
                <w:color w:val="auto"/>
                <w:sz w:val="24"/>
                <w:lang w:val="en-US" w:eastAsia="zh-CN"/>
              </w:rPr>
              <w:t>（GB18597-2001）及修改单要求</w:t>
            </w:r>
            <w:r>
              <w:rPr>
                <w:rFonts w:hint="eastAsia"/>
                <w:color w:val="auto"/>
                <w:sz w:val="24"/>
                <w:highlight w:val="none"/>
              </w:rPr>
              <w:t>，对周围</w:t>
            </w:r>
            <w:r>
              <w:rPr>
                <w:color w:val="auto"/>
                <w:sz w:val="24"/>
                <w:highlight w:val="none"/>
              </w:rPr>
              <w:t>环境影响很小</w:t>
            </w:r>
            <w:r>
              <w:rPr>
                <w:rFonts w:hint="eastAsia" w:ascii="Times New Roman" w:hAnsi="Times New Roman" w:eastAsia="宋体"/>
                <w:color w:val="auto"/>
                <w:sz w:val="24"/>
                <w:highlight w:val="none"/>
              </w:rPr>
              <w:t>。</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b/>
                <w:bCs/>
                <w:color w:val="auto"/>
                <w:sz w:val="24"/>
                <w:szCs w:val="24"/>
              </w:rPr>
            </w:pPr>
            <w:r>
              <w:rPr>
                <w:rFonts w:hint="default"/>
                <w:b/>
                <w:bCs/>
                <w:color w:val="auto"/>
                <w:sz w:val="24"/>
                <w:szCs w:val="24"/>
                <w:lang w:val="en-US" w:eastAsia="zh-CN"/>
              </w:rPr>
              <w:t>5、</w:t>
            </w:r>
            <w:r>
              <w:rPr>
                <w:rFonts w:hint="default"/>
                <w:b/>
                <w:bCs/>
                <w:color w:val="auto"/>
                <w:sz w:val="24"/>
                <w:szCs w:val="24"/>
              </w:rPr>
              <w:t>土壤环境影响分析</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宋体"/>
                <w:color w:val="auto"/>
                <w:sz w:val="24"/>
                <w:szCs w:val="32"/>
                <w:lang w:val="en-US" w:eastAsia="zh-CN"/>
              </w:rPr>
            </w:pPr>
            <w:r>
              <w:rPr>
                <w:rFonts w:hint="eastAsia" w:ascii="Times New Roman" w:hAnsi="Times New Roman" w:eastAsia="宋体"/>
                <w:color w:val="auto"/>
                <w:sz w:val="24"/>
                <w:szCs w:val="32"/>
              </w:rPr>
              <w:t>根据《环境影响评价技术导则 土壤环境（试行）》（HJ964-2018）附录A，项目属于“制造业</w:t>
            </w:r>
            <w:r>
              <w:rPr>
                <w:rFonts w:hint="eastAsia" w:ascii="Times New Roman" w:hAnsi="Times New Roman" w:eastAsia="宋体"/>
                <w:color w:val="auto"/>
                <w:sz w:val="24"/>
                <w:szCs w:val="32"/>
                <w:lang w:val="en-US" w:eastAsia="zh-CN"/>
              </w:rPr>
              <w:t xml:space="preserve">  金属冶炼和压延加工及非金属矿物制品</w:t>
            </w:r>
            <w:r>
              <w:rPr>
                <w:rFonts w:hint="eastAsia" w:ascii="Times New Roman" w:hAnsi="Times New Roman" w:eastAsia="宋体"/>
                <w:color w:val="auto"/>
                <w:sz w:val="24"/>
                <w:szCs w:val="32"/>
              </w:rPr>
              <w:t>”类，本项目属Ⅲ类建设项目，</w:t>
            </w:r>
            <w:r>
              <w:rPr>
                <w:rFonts w:hint="eastAsia" w:ascii="Times New Roman" w:hAnsi="Times New Roman" w:eastAsia="宋体"/>
                <w:color w:val="auto"/>
                <w:sz w:val="24"/>
                <w:szCs w:val="32"/>
                <w:lang w:val="en-US" w:eastAsia="zh-CN"/>
              </w:rPr>
              <w:t>项目</w:t>
            </w:r>
            <w:r>
              <w:rPr>
                <w:rFonts w:hint="eastAsia"/>
                <w:color w:val="auto"/>
                <w:sz w:val="24"/>
                <w:szCs w:val="32"/>
                <w:lang w:val="en-US" w:eastAsia="zh-CN"/>
              </w:rPr>
              <w:t>周边无土壤环境敏感目标</w:t>
            </w:r>
            <w:r>
              <w:rPr>
                <w:rFonts w:hint="eastAsia" w:ascii="Times New Roman" w:hAnsi="Times New Roman" w:eastAsia="宋体"/>
                <w:color w:val="auto"/>
                <w:sz w:val="24"/>
                <w:szCs w:val="32"/>
                <w:lang w:val="en-US" w:eastAsia="zh-CN"/>
              </w:rPr>
              <w:t>，占地面积</w:t>
            </w:r>
            <w:r>
              <w:rPr>
                <w:rFonts w:hint="eastAsia"/>
                <w:color w:val="auto"/>
                <w:sz w:val="24"/>
                <w:szCs w:val="32"/>
                <w:lang w:val="en-US" w:eastAsia="zh-CN"/>
              </w:rPr>
              <w:t>28000</w:t>
            </w:r>
            <w:r>
              <w:rPr>
                <w:rFonts w:hint="eastAsia" w:ascii="Times New Roman" w:hAnsi="Times New Roman" w:eastAsia="宋体"/>
                <w:color w:val="auto"/>
                <w:sz w:val="24"/>
                <w:szCs w:val="32"/>
                <w:lang w:val="en-US" w:eastAsia="zh-CN"/>
              </w:rPr>
              <w:t>m</w:t>
            </w:r>
            <w:r>
              <w:rPr>
                <w:rFonts w:hint="eastAsia" w:ascii="Times New Roman" w:hAnsi="Times New Roman" w:eastAsia="宋体"/>
                <w:color w:val="auto"/>
                <w:sz w:val="24"/>
                <w:szCs w:val="32"/>
                <w:vertAlign w:val="superscript"/>
                <w:lang w:val="en-US" w:eastAsia="zh-CN"/>
              </w:rPr>
              <w:t>2</w:t>
            </w:r>
            <w:r>
              <w:rPr>
                <w:rFonts w:hint="eastAsia" w:ascii="Times New Roman" w:hAnsi="Times New Roman" w:eastAsia="宋体"/>
                <w:color w:val="auto"/>
                <w:sz w:val="24"/>
                <w:szCs w:val="32"/>
                <w:lang w:val="en-US" w:eastAsia="zh-CN"/>
              </w:rPr>
              <w:t>，占地规模为</w:t>
            </w:r>
            <w:r>
              <w:rPr>
                <w:rFonts w:hint="eastAsia"/>
                <w:color w:val="auto"/>
                <w:sz w:val="24"/>
                <w:szCs w:val="32"/>
                <w:lang w:val="en-US" w:eastAsia="zh-CN"/>
              </w:rPr>
              <w:t>小</w:t>
            </w:r>
            <w:r>
              <w:rPr>
                <w:rFonts w:hint="eastAsia" w:ascii="Times New Roman" w:hAnsi="Times New Roman" w:eastAsia="宋体"/>
                <w:color w:val="auto"/>
                <w:sz w:val="24"/>
                <w:szCs w:val="32"/>
                <w:lang w:val="en-US" w:eastAsia="zh-CN"/>
              </w:rPr>
              <w:t>型</w:t>
            </w:r>
            <w:r>
              <w:rPr>
                <w:rFonts w:hint="eastAsia" w:ascii="Times New Roman" w:hAnsi="Times New Roman" w:eastAsia="宋体"/>
                <w:color w:val="auto"/>
                <w:sz w:val="24"/>
                <w:szCs w:val="32"/>
              </w:rPr>
              <w:t>。</w:t>
            </w:r>
            <w:r>
              <w:rPr>
                <w:rFonts w:hint="eastAsia" w:ascii="Times New Roman" w:hAnsi="Times New Roman" w:eastAsia="宋体"/>
                <w:color w:val="auto"/>
                <w:sz w:val="24"/>
                <w:szCs w:val="32"/>
                <w:lang w:val="en-US" w:eastAsia="zh-CN"/>
              </w:rPr>
              <w:t>根据</w:t>
            </w:r>
            <w:r>
              <w:rPr>
                <w:rFonts w:hint="eastAsia" w:ascii="Times New Roman" w:hAnsi="Times New Roman" w:eastAsia="宋体"/>
                <w:color w:val="auto"/>
                <w:sz w:val="24"/>
                <w:szCs w:val="32"/>
              </w:rPr>
              <w:t>《环境影响评价技术导则 土壤环境（试行）》（HJ964-2018）</w:t>
            </w:r>
            <w:r>
              <w:rPr>
                <w:rFonts w:hint="eastAsia" w:ascii="Times New Roman" w:hAnsi="Times New Roman" w:eastAsia="宋体"/>
                <w:color w:val="auto"/>
                <w:sz w:val="24"/>
                <w:szCs w:val="32"/>
                <w:lang w:val="en-US" w:eastAsia="zh-CN"/>
              </w:rPr>
              <w:t>污染影响型评价工作等级划分表，项目</w:t>
            </w:r>
            <w:r>
              <w:rPr>
                <w:rFonts w:hint="eastAsia"/>
                <w:color w:val="auto"/>
                <w:sz w:val="24"/>
                <w:szCs w:val="32"/>
                <w:lang w:val="en-US" w:eastAsia="zh-CN"/>
              </w:rPr>
              <w:t>可不开展土壤环境影响评价工作</w:t>
            </w:r>
            <w:r>
              <w:rPr>
                <w:rFonts w:hint="eastAsia" w:ascii="Times New Roman" w:hAnsi="Times New Roman" w:eastAsia="宋体"/>
                <w:color w:val="auto"/>
                <w:sz w:val="24"/>
                <w:szCs w:val="32"/>
                <w:lang w:val="en-US" w:eastAsia="zh-CN"/>
              </w:rPr>
              <w:t>。</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eastAsia" w:cs="Times New Roman"/>
                <w:b/>
                <w:bCs/>
                <w:color w:val="auto"/>
                <w:sz w:val="24"/>
                <w:lang w:val="en-US" w:eastAsia="zh-CN"/>
              </w:rPr>
              <w:t>6</w:t>
            </w:r>
            <w:r>
              <w:rPr>
                <w:rFonts w:hint="default" w:ascii="Times New Roman" w:hAnsi="Times New Roman" w:cs="Times New Roman"/>
                <w:b/>
                <w:bCs/>
                <w:color w:val="auto"/>
                <w:sz w:val="24"/>
                <w:lang w:val="en-US" w:eastAsia="zh-CN"/>
              </w:rPr>
              <w:t>、</w:t>
            </w:r>
            <w:r>
              <w:rPr>
                <w:rFonts w:hint="default" w:ascii="Times New Roman" w:hAnsi="Times New Roman" w:cs="Times New Roman"/>
                <w:b/>
                <w:bCs/>
                <w:color w:val="auto"/>
                <w:sz w:val="24"/>
              </w:rPr>
              <w:t>环境风险分析</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b/>
                <w:bCs w:val="0"/>
                <w:color w:val="auto"/>
                <w:lang w:val="en-US" w:eastAsia="zh-CN"/>
              </w:rPr>
            </w:pPr>
            <w:r>
              <w:rPr>
                <w:rFonts w:hint="eastAsia" w:ascii="Times New Roman" w:hAnsi="Times New Roman" w:cs="Times New Roman"/>
                <w:b/>
                <w:bCs w:val="0"/>
                <w:color w:val="auto"/>
                <w:lang w:val="en-US" w:eastAsia="zh-CN"/>
              </w:rPr>
              <w:t>6.1评价依据</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lang w:val="en-US" w:eastAsia="zh-CN"/>
              </w:rPr>
              <w:t>风险调查：项目</w:t>
            </w:r>
            <w:r>
              <w:rPr>
                <w:rFonts w:hint="eastAsia" w:ascii="Times New Roman" w:hAnsi="Times New Roman" w:cs="Times New Roman"/>
                <w:color w:val="auto"/>
                <w:highlight w:val="none"/>
                <w:lang w:val="en-US" w:eastAsia="zh-CN"/>
              </w:rPr>
              <w:t>运营过程中涉及的危险物质主要为焦炉煤气、片碱等。</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风险潜势初判：根据《建设项目环境风险评价导则》（HJ169-2018）附录B，本项目运营期涉及环境风险物质为焦炉煤气。项目采用管道焦炉煤气，厂区内不设储罐，全部建成后管道内存余量约为0.5t，焦炉煤气临界量为7.5t，Q=0.07。</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危险物质数量与临界量比值</w:t>
            </w:r>
            <w:r>
              <w:rPr>
                <w:rFonts w:hint="eastAsia" w:ascii="Times New Roman" w:hAnsi="Times New Roman" w:cs="Times New Roman"/>
                <w:color w:val="auto"/>
                <w:highlight w:val="none"/>
                <w:lang w:val="en-US" w:eastAsia="zh-CN"/>
              </w:rPr>
              <w:t>Q=0.07</w:t>
            </w:r>
            <w:r>
              <w:rPr>
                <w:rFonts w:hint="eastAsia" w:ascii="Times New Roman" w:hAnsi="Times New Roman" w:cs="Times New Roman"/>
                <w:color w:val="auto"/>
                <w:lang w:val="en-US" w:eastAsia="zh-CN"/>
              </w:rPr>
              <w:t>＜1，即项目环境风险潜势为Ⅰ。</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lang w:val="en-US" w:eastAsia="zh-CN"/>
              </w:rPr>
            </w:pPr>
            <w:r>
              <w:rPr>
                <w:rFonts w:hint="eastAsia" w:ascii="Times New Roman" w:hAnsi="Times New Roman" w:cs="Times New Roman"/>
                <w:color w:val="auto"/>
                <w:lang w:val="en-US" w:eastAsia="zh-CN"/>
              </w:rPr>
              <w:t>评价等级：项目环境风险潜势为Ⅰ，按照评价等级划分的依据，本项目环境风险进行简要分析。</w:t>
            </w:r>
          </w:p>
          <w:p>
            <w:pPr>
              <w:pStyle w:val="32"/>
              <w:jc w:val="center"/>
              <w:rPr>
                <w:rFonts w:hint="eastAsia"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7-</w:t>
            </w:r>
            <w:r>
              <w:rPr>
                <w:rFonts w:hint="eastAsia" w:ascii="Times New Roman" w:cs="Times New Roman"/>
                <w:b/>
                <w:bCs/>
                <w:color w:val="auto"/>
                <w:kern w:val="0"/>
                <w:sz w:val="21"/>
                <w:szCs w:val="21"/>
                <w:highlight w:val="none"/>
                <w:lang w:val="en-US" w:eastAsia="zh-CN"/>
              </w:rPr>
              <w:t>15</w:t>
            </w:r>
            <w:r>
              <w:rPr>
                <w:rFonts w:hint="default" w:ascii="Times New Roman" w:hAnsi="Times New Roman" w:eastAsia="宋体" w:cs="Times New Roman"/>
                <w:b/>
                <w:bCs/>
                <w:color w:val="auto"/>
                <w:kern w:val="0"/>
                <w:sz w:val="21"/>
                <w:szCs w:val="21"/>
                <w:highlight w:val="none"/>
                <w:lang w:val="en-US" w:eastAsia="zh-CN"/>
              </w:rPr>
              <w:t xml:space="preserve"> 环境风险评价等级划分依据一览表</w:t>
            </w: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870"/>
              <w:gridCol w:w="1871"/>
              <w:gridCol w:w="1868"/>
              <w:gridCol w:w="1872"/>
              <w:gridCol w:w="187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2" w:hRule="atLeast"/>
                <w:jc w:val="center"/>
              </w:trPr>
              <w:tc>
                <w:tcPr>
                  <w:tcW w:w="1878" w:type="dxa"/>
                  <w:noWrap w:val="0"/>
                  <w:vAlign w:val="center"/>
                </w:tcPr>
                <w:p>
                  <w:pPr>
                    <w:spacing w:line="340" w:lineRule="exact"/>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环境风险潜势</w:t>
                  </w:r>
                </w:p>
              </w:tc>
              <w:tc>
                <w:tcPr>
                  <w:tcW w:w="1879" w:type="dxa"/>
                  <w:noWrap w:val="0"/>
                  <w:vAlign w:val="center"/>
                </w:tcPr>
                <w:p>
                  <w:pPr>
                    <w:spacing w:line="340" w:lineRule="exact"/>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rPr>
                    <w:fldChar w:fldCharType="begin"/>
                  </w:r>
                  <w:r>
                    <w:rPr>
                      <w:rFonts w:hint="default" w:ascii="Times New Roman" w:hAnsi="Times New Roman" w:cs="Times New Roman"/>
                      <w:b/>
                      <w:bCs w:val="0"/>
                      <w:color w:val="auto"/>
                      <w:sz w:val="21"/>
                      <w:szCs w:val="21"/>
                      <w:highlight w:val="none"/>
                    </w:rPr>
                    <w:instrText xml:space="preserve"> = 4 \* ROMAN \* MERGEFORMAT </w:instrText>
                  </w:r>
                  <w:r>
                    <w:rPr>
                      <w:rFonts w:hint="default" w:ascii="Times New Roman" w:hAnsi="Times New Roman" w:cs="Times New Roman"/>
                      <w:b/>
                      <w:bCs w:val="0"/>
                      <w:color w:val="auto"/>
                      <w:sz w:val="21"/>
                      <w:szCs w:val="21"/>
                      <w:highlight w:val="none"/>
                    </w:rPr>
                    <w:fldChar w:fldCharType="separate"/>
                  </w:r>
                  <w:r>
                    <w:rPr>
                      <w:rFonts w:hint="default" w:ascii="Times New Roman" w:hAnsi="Times New Roman" w:cs="Times New Roman"/>
                      <w:b/>
                      <w:bCs w:val="0"/>
                      <w:color w:val="auto"/>
                      <w:sz w:val="21"/>
                      <w:szCs w:val="21"/>
                    </w:rPr>
                    <w:t>IV</w:t>
                  </w:r>
                  <w:r>
                    <w:rPr>
                      <w:rFonts w:hint="default" w:ascii="Times New Roman" w:hAnsi="Times New Roman" w:cs="Times New Roman"/>
                      <w:b/>
                      <w:bCs w:val="0"/>
                      <w:color w:val="auto"/>
                      <w:sz w:val="21"/>
                      <w:szCs w:val="21"/>
                      <w:highlight w:val="none"/>
                    </w:rPr>
                    <w:fldChar w:fldCharType="end"/>
                  </w:r>
                  <w:r>
                    <w:rPr>
                      <w:rFonts w:hint="default" w:ascii="Times New Roman" w:hAnsi="Times New Roman" w:cs="Times New Roman"/>
                      <w:b/>
                      <w:bCs w:val="0"/>
                      <w:color w:val="auto"/>
                      <w:sz w:val="21"/>
                      <w:szCs w:val="21"/>
                      <w:highlight w:val="none"/>
                      <w:lang w:eastAsia="zh-CN"/>
                    </w:rPr>
                    <w:t>、</w:t>
                  </w:r>
                  <w:r>
                    <w:rPr>
                      <w:rFonts w:hint="default" w:ascii="Times New Roman" w:hAnsi="Times New Roman" w:cs="Times New Roman"/>
                      <w:b/>
                      <w:bCs w:val="0"/>
                      <w:color w:val="auto"/>
                      <w:sz w:val="21"/>
                      <w:szCs w:val="21"/>
                      <w:highlight w:val="none"/>
                    </w:rPr>
                    <w:fldChar w:fldCharType="begin"/>
                  </w:r>
                  <w:r>
                    <w:rPr>
                      <w:rFonts w:hint="default" w:ascii="Times New Roman" w:hAnsi="Times New Roman" w:cs="Times New Roman"/>
                      <w:b/>
                      <w:bCs w:val="0"/>
                      <w:color w:val="auto"/>
                      <w:sz w:val="21"/>
                      <w:szCs w:val="21"/>
                      <w:highlight w:val="none"/>
                    </w:rPr>
                    <w:instrText xml:space="preserve"> = 4 \* ROMAN \* MERGEFORMAT </w:instrText>
                  </w:r>
                  <w:r>
                    <w:rPr>
                      <w:rFonts w:hint="default" w:ascii="Times New Roman" w:hAnsi="Times New Roman" w:cs="Times New Roman"/>
                      <w:b/>
                      <w:bCs w:val="0"/>
                      <w:color w:val="auto"/>
                      <w:sz w:val="21"/>
                      <w:szCs w:val="21"/>
                      <w:highlight w:val="none"/>
                    </w:rPr>
                    <w:fldChar w:fldCharType="separate"/>
                  </w:r>
                  <w:r>
                    <w:rPr>
                      <w:rFonts w:hint="default" w:ascii="Times New Roman" w:hAnsi="Times New Roman" w:cs="Times New Roman"/>
                      <w:b/>
                      <w:bCs w:val="0"/>
                      <w:color w:val="auto"/>
                      <w:sz w:val="21"/>
                      <w:szCs w:val="21"/>
                    </w:rPr>
                    <w:t>IV</w:t>
                  </w:r>
                  <w:r>
                    <w:rPr>
                      <w:rFonts w:hint="default" w:ascii="Times New Roman" w:hAnsi="Times New Roman" w:cs="Times New Roman"/>
                      <w:b/>
                      <w:bCs w:val="0"/>
                      <w:color w:val="auto"/>
                      <w:sz w:val="21"/>
                      <w:szCs w:val="21"/>
                      <w:highlight w:val="none"/>
                    </w:rPr>
                    <w:fldChar w:fldCharType="end"/>
                  </w:r>
                  <w:r>
                    <w:rPr>
                      <w:rFonts w:hint="default" w:ascii="Times New Roman" w:hAnsi="Times New Roman" w:cs="Times New Roman"/>
                      <w:b/>
                      <w:bCs w:val="0"/>
                      <w:color w:val="auto"/>
                      <w:sz w:val="21"/>
                      <w:szCs w:val="21"/>
                      <w:highlight w:val="none"/>
                      <w:vertAlign w:val="superscript"/>
                      <w:lang w:val="en-US" w:eastAsia="zh-CN"/>
                    </w:rPr>
                    <w:t>+</w:t>
                  </w:r>
                </w:p>
              </w:tc>
              <w:tc>
                <w:tcPr>
                  <w:tcW w:w="1876" w:type="dxa"/>
                  <w:noWrap w:val="0"/>
                  <w:vAlign w:val="center"/>
                </w:tcPr>
                <w:p>
                  <w:pPr>
                    <w:spacing w:line="340" w:lineRule="exact"/>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fldChar w:fldCharType="begin"/>
                  </w:r>
                  <w:r>
                    <w:rPr>
                      <w:rFonts w:hint="default" w:ascii="Times New Roman" w:hAnsi="Times New Roman" w:cs="Times New Roman"/>
                      <w:b/>
                      <w:bCs w:val="0"/>
                      <w:color w:val="auto"/>
                      <w:sz w:val="21"/>
                      <w:szCs w:val="21"/>
                      <w:highlight w:val="none"/>
                    </w:rPr>
                    <w:instrText xml:space="preserve"> = 3 \* ROMAN \* MERGEFORMAT </w:instrText>
                  </w:r>
                  <w:r>
                    <w:rPr>
                      <w:rFonts w:hint="default" w:ascii="Times New Roman" w:hAnsi="Times New Roman" w:cs="Times New Roman"/>
                      <w:b/>
                      <w:bCs w:val="0"/>
                      <w:color w:val="auto"/>
                      <w:sz w:val="21"/>
                      <w:szCs w:val="21"/>
                      <w:highlight w:val="none"/>
                    </w:rPr>
                    <w:fldChar w:fldCharType="separate"/>
                  </w:r>
                  <w:r>
                    <w:rPr>
                      <w:rFonts w:hint="default" w:ascii="Times New Roman" w:hAnsi="Times New Roman" w:cs="Times New Roman"/>
                      <w:b/>
                      <w:bCs w:val="0"/>
                      <w:color w:val="auto"/>
                      <w:sz w:val="21"/>
                      <w:szCs w:val="21"/>
                    </w:rPr>
                    <w:t>III</w:t>
                  </w:r>
                  <w:r>
                    <w:rPr>
                      <w:rFonts w:hint="default" w:ascii="Times New Roman" w:hAnsi="Times New Roman" w:cs="Times New Roman"/>
                      <w:b/>
                      <w:bCs w:val="0"/>
                      <w:color w:val="auto"/>
                      <w:sz w:val="21"/>
                      <w:szCs w:val="21"/>
                      <w:highlight w:val="none"/>
                    </w:rPr>
                    <w:fldChar w:fldCharType="end"/>
                  </w:r>
                </w:p>
              </w:tc>
              <w:tc>
                <w:tcPr>
                  <w:tcW w:w="1879" w:type="dxa"/>
                  <w:noWrap w:val="0"/>
                  <w:vAlign w:val="center"/>
                </w:tcPr>
                <w:p>
                  <w:pPr>
                    <w:pStyle w:val="45"/>
                    <w:widowControl w:val="0"/>
                    <w:numPr>
                      <w:ilvl w:val="0"/>
                      <w:numId w:val="0"/>
                    </w:numPr>
                    <w:spacing w:before="0" w:line="340" w:lineRule="exact"/>
                    <w:ind w:left="207" w:hanging="207" w:hangingChars="98"/>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fldChar w:fldCharType="begin"/>
                  </w:r>
                  <w:r>
                    <w:rPr>
                      <w:rFonts w:hint="default" w:ascii="Times New Roman" w:hAnsi="Times New Roman" w:cs="Times New Roman"/>
                      <w:b/>
                      <w:bCs w:val="0"/>
                      <w:color w:val="auto"/>
                      <w:kern w:val="2"/>
                      <w:sz w:val="21"/>
                      <w:szCs w:val="21"/>
                      <w:highlight w:val="none"/>
                    </w:rPr>
                    <w:instrText xml:space="preserve"> = 2 \* ROMAN \* MERGEFORMAT </w:instrText>
                  </w:r>
                  <w:r>
                    <w:rPr>
                      <w:rFonts w:hint="default" w:ascii="Times New Roman" w:hAnsi="Times New Roman" w:cs="Times New Roman"/>
                      <w:b/>
                      <w:bCs w:val="0"/>
                      <w:color w:val="auto"/>
                      <w:kern w:val="2"/>
                      <w:sz w:val="21"/>
                      <w:szCs w:val="21"/>
                      <w:highlight w:val="none"/>
                    </w:rPr>
                    <w:fldChar w:fldCharType="separate"/>
                  </w:r>
                  <w:r>
                    <w:rPr>
                      <w:rFonts w:hint="default" w:ascii="Times New Roman" w:hAnsi="Times New Roman" w:cs="Times New Roman"/>
                      <w:b/>
                      <w:bCs w:val="0"/>
                      <w:color w:val="auto"/>
                      <w:sz w:val="21"/>
                      <w:szCs w:val="21"/>
                    </w:rPr>
                    <w:t>II</w:t>
                  </w:r>
                  <w:r>
                    <w:rPr>
                      <w:rFonts w:hint="default" w:ascii="Times New Roman" w:hAnsi="Times New Roman" w:cs="Times New Roman"/>
                      <w:b/>
                      <w:bCs w:val="0"/>
                      <w:color w:val="auto"/>
                      <w:kern w:val="2"/>
                      <w:sz w:val="21"/>
                      <w:szCs w:val="21"/>
                      <w:highlight w:val="none"/>
                    </w:rPr>
                    <w:fldChar w:fldCharType="end"/>
                  </w:r>
                </w:p>
              </w:tc>
              <w:tc>
                <w:tcPr>
                  <w:tcW w:w="1880" w:type="dxa"/>
                  <w:noWrap w:val="0"/>
                  <w:vAlign w:val="center"/>
                </w:tcPr>
                <w:p>
                  <w:pPr>
                    <w:spacing w:line="340" w:lineRule="exact"/>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fldChar w:fldCharType="begin"/>
                  </w:r>
                  <w:r>
                    <w:rPr>
                      <w:rFonts w:hint="default" w:ascii="Times New Roman" w:hAnsi="Times New Roman" w:cs="Times New Roman"/>
                      <w:b/>
                      <w:bCs w:val="0"/>
                      <w:color w:val="auto"/>
                      <w:sz w:val="21"/>
                      <w:szCs w:val="21"/>
                      <w:highlight w:val="none"/>
                    </w:rPr>
                    <w:instrText xml:space="preserve"> = 1 \* ROMAN \* MERGEFORMAT </w:instrText>
                  </w:r>
                  <w:r>
                    <w:rPr>
                      <w:rFonts w:hint="default" w:ascii="Times New Roman" w:hAnsi="Times New Roman" w:cs="Times New Roman"/>
                      <w:b/>
                      <w:bCs w:val="0"/>
                      <w:color w:val="auto"/>
                      <w:sz w:val="21"/>
                      <w:szCs w:val="21"/>
                      <w:highlight w:val="none"/>
                    </w:rPr>
                    <w:fldChar w:fldCharType="separate"/>
                  </w:r>
                  <w:r>
                    <w:rPr>
                      <w:rFonts w:hint="default" w:ascii="Times New Roman" w:hAnsi="Times New Roman" w:cs="Times New Roman"/>
                      <w:b/>
                      <w:bCs w:val="0"/>
                      <w:color w:val="auto"/>
                      <w:sz w:val="21"/>
                      <w:szCs w:val="21"/>
                    </w:rPr>
                    <w:t>I</w:t>
                  </w:r>
                  <w:r>
                    <w:rPr>
                      <w:rFonts w:hint="default" w:ascii="Times New Roman" w:hAnsi="Times New Roman" w:cs="Times New Roman"/>
                      <w:b/>
                      <w:bCs w:val="0"/>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878" w:type="dxa"/>
                  <w:noWrap w:val="0"/>
                  <w:vAlign w:val="center"/>
                </w:tcPr>
                <w:p>
                  <w:pPr>
                    <w:pStyle w:val="45"/>
                    <w:widowControl w:val="0"/>
                    <w:numPr>
                      <w:ilvl w:val="0"/>
                      <w:numId w:val="0"/>
                    </w:numPr>
                    <w:spacing w:before="0" w:line="340" w:lineRule="exact"/>
                    <w:rPr>
                      <w:rFonts w:hint="default" w:ascii="Times New Roman" w:hAnsi="Times New Roman" w:eastAsia="宋体" w:cs="Times New Roman"/>
                      <w:b w:val="0"/>
                      <w:bCs/>
                      <w:color w:val="auto"/>
                      <w:kern w:val="2"/>
                      <w:sz w:val="21"/>
                      <w:szCs w:val="21"/>
                      <w:highlight w:val="none"/>
                      <w:lang w:eastAsia="zh-CN"/>
                    </w:rPr>
                  </w:pPr>
                  <w:r>
                    <w:rPr>
                      <w:rFonts w:hint="default" w:ascii="Times New Roman" w:hAnsi="Times New Roman" w:cs="Times New Roman"/>
                      <w:b w:val="0"/>
                      <w:bCs/>
                      <w:color w:val="auto"/>
                      <w:kern w:val="2"/>
                      <w:sz w:val="21"/>
                      <w:szCs w:val="21"/>
                      <w:highlight w:val="none"/>
                      <w:lang w:eastAsia="zh-CN"/>
                    </w:rPr>
                    <w:t>评价工作等级</w:t>
                  </w:r>
                </w:p>
              </w:tc>
              <w:tc>
                <w:tcPr>
                  <w:tcW w:w="1879" w:type="dxa"/>
                  <w:noWrap w:val="0"/>
                  <w:vAlign w:val="center"/>
                </w:tcPr>
                <w:p>
                  <w:pPr>
                    <w:pStyle w:val="42"/>
                    <w:spacing w:line="340" w:lineRule="exact"/>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一级</w:t>
                  </w:r>
                </w:p>
              </w:tc>
              <w:tc>
                <w:tcPr>
                  <w:tcW w:w="1876" w:type="dxa"/>
                  <w:noWrap w:val="0"/>
                  <w:vAlign w:val="center"/>
                </w:tcPr>
                <w:p>
                  <w:pPr>
                    <w:pStyle w:val="42"/>
                    <w:spacing w:line="340" w:lineRule="exact"/>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二级</w:t>
                  </w:r>
                </w:p>
              </w:tc>
              <w:tc>
                <w:tcPr>
                  <w:tcW w:w="1879" w:type="dxa"/>
                  <w:noWrap w:val="0"/>
                  <w:vAlign w:val="center"/>
                </w:tcPr>
                <w:p>
                  <w:pPr>
                    <w:spacing w:line="340" w:lineRule="exact"/>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三级</w:t>
                  </w:r>
                </w:p>
              </w:tc>
              <w:tc>
                <w:tcPr>
                  <w:tcW w:w="1880" w:type="dxa"/>
                  <w:noWrap w:val="0"/>
                  <w:vAlign w:val="center"/>
                </w:tcPr>
                <w:p>
                  <w:pPr>
                    <w:spacing w:line="340" w:lineRule="exact"/>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简要分析</w:t>
                  </w:r>
                </w:p>
              </w:tc>
            </w:tr>
          </w:tbl>
          <w:p>
            <w:pPr>
              <w:pStyle w:val="49"/>
              <w:ind w:right="0" w:rightChars="0" w:firstLine="480"/>
              <w:jc w:val="both"/>
              <w:rPr>
                <w:rFonts w:hint="eastAsia" w:ascii="Times New Roman" w:hAnsi="Times New Roman" w:cs="Times New Roman"/>
                <w:b/>
                <w:bCs w:val="0"/>
                <w:color w:val="auto"/>
                <w:highlight w:val="none"/>
                <w:lang w:val="en-US" w:eastAsia="zh-CN"/>
              </w:rPr>
            </w:pPr>
            <w:r>
              <w:rPr>
                <w:rFonts w:hint="eastAsia" w:ascii="Times New Roman" w:hAnsi="Times New Roman" w:cs="Times New Roman"/>
                <w:b/>
                <w:bCs w:val="0"/>
                <w:color w:val="auto"/>
                <w:highlight w:val="none"/>
                <w:lang w:val="en-US" w:eastAsia="zh-CN"/>
              </w:rPr>
              <w:t>6.2环境敏感目标调查</w:t>
            </w:r>
          </w:p>
          <w:p>
            <w:pPr>
              <w:pStyle w:val="49"/>
              <w:ind w:right="0" w:rightChars="0" w:firstLine="48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拟建项目选址于</w:t>
            </w:r>
            <w:r>
              <w:rPr>
                <w:rFonts w:hint="eastAsia" w:ascii="Times New Roman" w:hAnsi="Times New Roman"/>
                <w:color w:val="auto"/>
                <w:sz w:val="24"/>
                <w:lang w:val="en-US" w:eastAsia="zh-CN"/>
              </w:rPr>
              <w:t>济南市钢城区里辛街道北赵村</w:t>
            </w:r>
            <w:r>
              <w:rPr>
                <w:rFonts w:hint="eastAsia" w:ascii="Times New Roman" w:hAnsi="Times New Roman" w:cs="Times New Roman"/>
                <w:color w:val="auto"/>
                <w:highlight w:val="none"/>
                <w:lang w:val="en-US" w:eastAsia="zh-CN"/>
              </w:rPr>
              <w:t>。</w:t>
            </w:r>
          </w:p>
          <w:p>
            <w:pPr>
              <w:pStyle w:val="32"/>
              <w:jc w:val="center"/>
              <w:rPr>
                <w:rFonts w:hint="default" w:ascii="Times New Roman" w:hAnsi="Times New Roman" w:eastAsia="宋体" w:cs="Times New Roman"/>
                <w:b/>
                <w:bCs/>
                <w:color w:val="auto"/>
                <w:kern w:val="0"/>
                <w:sz w:val="21"/>
                <w:szCs w:val="21"/>
                <w:highlight w:val="none"/>
                <w:lang w:val="en-US" w:eastAsia="zh-CN"/>
              </w:rPr>
            </w:pPr>
            <w:r>
              <w:rPr>
                <w:rFonts w:hint="eastAsia" w:ascii="Times New Roman" w:eastAsia="宋体" w:cs="Times New Roman"/>
                <w:b/>
                <w:bCs/>
                <w:color w:val="auto"/>
                <w:kern w:val="0"/>
                <w:sz w:val="21"/>
                <w:szCs w:val="21"/>
                <w:highlight w:val="none"/>
                <w:lang w:val="en-US" w:eastAsia="zh-CN"/>
              </w:rPr>
              <w:t>7-</w:t>
            </w:r>
            <w:r>
              <w:rPr>
                <w:rFonts w:hint="eastAsia" w:ascii="Times New Roman" w:cs="Times New Roman"/>
                <w:b/>
                <w:bCs/>
                <w:color w:val="auto"/>
                <w:kern w:val="0"/>
                <w:sz w:val="21"/>
                <w:szCs w:val="21"/>
                <w:highlight w:val="none"/>
                <w:lang w:val="en-US" w:eastAsia="zh-CN"/>
              </w:rPr>
              <w:t>16</w:t>
            </w:r>
            <w:r>
              <w:rPr>
                <w:rFonts w:hint="eastAsia" w:ascii="Times New Roman" w:eastAsia="宋体" w:cs="Times New Roman"/>
                <w:b/>
                <w:bCs/>
                <w:color w:val="auto"/>
                <w:kern w:val="0"/>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lang w:val="en-US" w:eastAsia="zh-CN"/>
              </w:rPr>
              <w:t>敏感目标分布表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772"/>
              <w:gridCol w:w="1488"/>
              <w:gridCol w:w="99"/>
              <w:gridCol w:w="502"/>
              <w:gridCol w:w="1065"/>
              <w:gridCol w:w="364"/>
              <w:gridCol w:w="1206"/>
              <w:gridCol w:w="224"/>
              <w:gridCol w:w="449"/>
              <w:gridCol w:w="67"/>
              <w:gridCol w:w="915"/>
              <w:gridCol w:w="14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l2br w:val="nil"/>
                    <w:tr2bl w:val="nil"/>
                  </w:tcBorders>
                  <w:noWrap w:val="0"/>
                  <w:vAlign w:val="center"/>
                </w:tcPr>
                <w:p>
                  <w:pPr>
                    <w:pStyle w:val="32"/>
                    <w:jc w:val="center"/>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bCs/>
                      <w:color w:val="auto"/>
                      <w:kern w:val="0"/>
                      <w:sz w:val="21"/>
                      <w:szCs w:val="21"/>
                      <w:highlight w:val="none"/>
                      <w:vertAlign w:val="baseline"/>
                      <w:lang w:eastAsia="zh-CN"/>
                    </w:rPr>
                    <w:t>类别</w:t>
                  </w:r>
                </w:p>
              </w:tc>
              <w:tc>
                <w:tcPr>
                  <w:tcW w:w="8582" w:type="dxa"/>
                  <w:gridSpan w:val="12"/>
                  <w:tcBorders>
                    <w:tl2br w:val="nil"/>
                    <w:tr2bl w:val="nil"/>
                  </w:tcBorders>
                  <w:noWrap w:val="0"/>
                  <w:vAlign w:val="center"/>
                </w:tcPr>
                <w:p>
                  <w:pPr>
                    <w:pStyle w:val="32"/>
                    <w:jc w:val="center"/>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bCs/>
                      <w:color w:val="auto"/>
                      <w:kern w:val="0"/>
                      <w:sz w:val="21"/>
                      <w:szCs w:val="21"/>
                      <w:highlight w:val="none"/>
                      <w:vertAlign w:val="baseline"/>
                      <w:lang w:eastAsia="zh-CN"/>
                    </w:rPr>
                    <w:t>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restart"/>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环境空气</w:t>
                  </w:r>
                </w:p>
              </w:tc>
              <w:tc>
                <w:tcPr>
                  <w:tcW w:w="8582" w:type="dxa"/>
                  <w:gridSpan w:val="12"/>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eastAsia="zh-CN"/>
                    </w:rPr>
                    <w:t>厂址周边</w:t>
                  </w:r>
                  <w:r>
                    <w:rPr>
                      <w:rFonts w:hint="default" w:ascii="Times New Roman" w:hAnsi="Times New Roman" w:eastAsia="宋体" w:cs="Times New Roman"/>
                      <w:color w:val="auto"/>
                      <w:kern w:val="0"/>
                      <w:sz w:val="21"/>
                      <w:szCs w:val="21"/>
                      <w:highlight w:val="none"/>
                      <w:vertAlign w:val="baseline"/>
                      <w:lang w:val="en-US" w:eastAsia="zh-CN"/>
                    </w:rPr>
                    <w:t>5km范围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序号</w:t>
                  </w:r>
                </w:p>
              </w:tc>
              <w:tc>
                <w:tcPr>
                  <w:tcW w:w="2089" w:type="dxa"/>
                  <w:gridSpan w:val="3"/>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敏感目标名称</w:t>
                  </w:r>
                </w:p>
              </w:tc>
              <w:tc>
                <w:tcPr>
                  <w:tcW w:w="1429" w:type="dxa"/>
                  <w:gridSpan w:val="2"/>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相对方位</w:t>
                  </w:r>
                </w:p>
              </w:tc>
              <w:tc>
                <w:tcPr>
                  <w:tcW w:w="1430" w:type="dxa"/>
                  <w:gridSpan w:val="2"/>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距离</w:t>
                  </w:r>
                  <w:r>
                    <w:rPr>
                      <w:rFonts w:hint="default" w:ascii="Times New Roman" w:hAnsi="Times New Roman" w:eastAsia="宋体" w:cs="Times New Roman"/>
                      <w:color w:val="auto"/>
                      <w:kern w:val="0"/>
                      <w:sz w:val="21"/>
                      <w:szCs w:val="21"/>
                      <w:highlight w:val="none"/>
                      <w:vertAlign w:val="baseline"/>
                      <w:lang w:val="en-US" w:eastAsia="zh-CN"/>
                    </w:rPr>
                    <w:t>/m</w:t>
                  </w:r>
                </w:p>
              </w:tc>
              <w:tc>
                <w:tcPr>
                  <w:tcW w:w="1431" w:type="dxa"/>
                  <w:gridSpan w:val="3"/>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属性</w:t>
                  </w:r>
                </w:p>
              </w:tc>
              <w:tc>
                <w:tcPr>
                  <w:tcW w:w="1431"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人口数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w:t>
                  </w:r>
                </w:p>
              </w:tc>
              <w:tc>
                <w:tcPr>
                  <w:tcW w:w="2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南赵社区</w:t>
                  </w:r>
                </w:p>
              </w:tc>
              <w:tc>
                <w:tcPr>
                  <w:tcW w:w="14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东北</w:t>
                  </w:r>
                </w:p>
              </w:tc>
              <w:tc>
                <w:tcPr>
                  <w:tcW w:w="14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250</w:t>
                  </w:r>
                </w:p>
              </w:tc>
              <w:tc>
                <w:tcPr>
                  <w:tcW w:w="14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社区</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2</w:t>
                  </w:r>
                </w:p>
              </w:tc>
              <w:tc>
                <w:tcPr>
                  <w:tcW w:w="2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北赵西区</w:t>
                  </w:r>
                </w:p>
              </w:tc>
              <w:tc>
                <w:tcPr>
                  <w:tcW w:w="14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东北</w:t>
                  </w:r>
                </w:p>
              </w:tc>
              <w:tc>
                <w:tcPr>
                  <w:tcW w:w="14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685</w:t>
                  </w:r>
                </w:p>
              </w:tc>
              <w:tc>
                <w:tcPr>
                  <w:tcW w:w="14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社区</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cs="Times New Roman"/>
                      <w:color w:val="auto"/>
                      <w:kern w:val="0"/>
                      <w:sz w:val="21"/>
                      <w:szCs w:val="21"/>
                      <w:highlight w:val="none"/>
                      <w:vertAlign w:val="baseline"/>
                      <w:lang w:val="en-US" w:eastAsia="zh-CN"/>
                    </w:rPr>
                    <w:t>3</w:t>
                  </w:r>
                </w:p>
              </w:tc>
              <w:tc>
                <w:tcPr>
                  <w:tcW w:w="2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黄羊山社区幼儿园</w:t>
                  </w:r>
                </w:p>
              </w:tc>
              <w:tc>
                <w:tcPr>
                  <w:tcW w:w="14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东北</w:t>
                  </w:r>
                </w:p>
              </w:tc>
              <w:tc>
                <w:tcPr>
                  <w:tcW w:w="14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620</w:t>
                  </w:r>
                </w:p>
              </w:tc>
              <w:tc>
                <w:tcPr>
                  <w:tcW w:w="14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学校</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cs="Times New Roman"/>
                      <w:color w:val="auto"/>
                      <w:kern w:val="0"/>
                      <w:sz w:val="21"/>
                      <w:szCs w:val="21"/>
                      <w:highlight w:val="none"/>
                      <w:vertAlign w:val="baseline"/>
                      <w:lang w:val="en-US" w:eastAsia="zh-CN"/>
                    </w:rPr>
                    <w:t>4</w:t>
                  </w:r>
                </w:p>
              </w:tc>
              <w:tc>
                <w:tcPr>
                  <w:tcW w:w="2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北赵社区</w:t>
                  </w:r>
                </w:p>
              </w:tc>
              <w:tc>
                <w:tcPr>
                  <w:tcW w:w="14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东北</w:t>
                  </w:r>
                </w:p>
              </w:tc>
              <w:tc>
                <w:tcPr>
                  <w:tcW w:w="14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480</w:t>
                  </w:r>
                </w:p>
              </w:tc>
              <w:tc>
                <w:tcPr>
                  <w:tcW w:w="14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社区</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cs="Times New Roman"/>
                      <w:color w:val="auto"/>
                      <w:kern w:val="0"/>
                      <w:sz w:val="21"/>
                      <w:szCs w:val="21"/>
                      <w:highlight w:val="none"/>
                      <w:vertAlign w:val="baseline"/>
                      <w:lang w:val="en-US" w:eastAsia="zh-CN"/>
                    </w:rPr>
                    <w:t>5</w:t>
                  </w:r>
                </w:p>
              </w:tc>
              <w:tc>
                <w:tcPr>
                  <w:tcW w:w="2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双泉路学校</w:t>
                  </w:r>
                </w:p>
              </w:tc>
              <w:tc>
                <w:tcPr>
                  <w:tcW w:w="14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东北</w:t>
                  </w:r>
                </w:p>
              </w:tc>
              <w:tc>
                <w:tcPr>
                  <w:tcW w:w="14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785</w:t>
                  </w:r>
                </w:p>
              </w:tc>
              <w:tc>
                <w:tcPr>
                  <w:tcW w:w="14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学校</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cs="Times New Roman"/>
                      <w:color w:val="auto"/>
                      <w:kern w:val="0"/>
                      <w:sz w:val="21"/>
                      <w:szCs w:val="21"/>
                      <w:highlight w:val="none"/>
                      <w:vertAlign w:val="baseline"/>
                      <w:lang w:val="en-US" w:eastAsia="zh-CN"/>
                    </w:rPr>
                    <w:t>6</w:t>
                  </w:r>
                </w:p>
              </w:tc>
              <w:tc>
                <w:tcPr>
                  <w:tcW w:w="2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北赵园</w:t>
                  </w:r>
                </w:p>
              </w:tc>
              <w:tc>
                <w:tcPr>
                  <w:tcW w:w="14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东北</w:t>
                  </w:r>
                </w:p>
              </w:tc>
              <w:tc>
                <w:tcPr>
                  <w:tcW w:w="14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920</w:t>
                  </w:r>
                </w:p>
              </w:tc>
              <w:tc>
                <w:tcPr>
                  <w:tcW w:w="14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社区</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cs="Times New Roman"/>
                      <w:color w:val="auto"/>
                      <w:kern w:val="0"/>
                      <w:sz w:val="21"/>
                      <w:szCs w:val="21"/>
                      <w:highlight w:val="none"/>
                      <w:vertAlign w:val="baseline"/>
                      <w:lang w:val="en-US" w:eastAsia="zh-CN"/>
                    </w:rPr>
                    <w:t>7</w:t>
                  </w:r>
                </w:p>
              </w:tc>
              <w:tc>
                <w:tcPr>
                  <w:tcW w:w="2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上河沟</w:t>
                  </w:r>
                </w:p>
              </w:tc>
              <w:tc>
                <w:tcPr>
                  <w:tcW w:w="14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西南</w:t>
                  </w:r>
                </w:p>
              </w:tc>
              <w:tc>
                <w:tcPr>
                  <w:tcW w:w="14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830</w:t>
                  </w:r>
                </w:p>
              </w:tc>
              <w:tc>
                <w:tcPr>
                  <w:tcW w:w="14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村庄</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cs="Times New Roman"/>
                      <w:color w:val="auto"/>
                      <w:kern w:val="0"/>
                      <w:sz w:val="21"/>
                      <w:szCs w:val="21"/>
                      <w:highlight w:val="none"/>
                      <w:vertAlign w:val="baseline"/>
                      <w:lang w:val="en-US" w:eastAsia="zh-CN"/>
                    </w:rPr>
                    <w:t>8</w:t>
                  </w:r>
                </w:p>
              </w:tc>
              <w:tc>
                <w:tcPr>
                  <w:tcW w:w="2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下河沟</w:t>
                  </w:r>
                </w:p>
              </w:tc>
              <w:tc>
                <w:tcPr>
                  <w:tcW w:w="14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西南</w:t>
                  </w:r>
                </w:p>
              </w:tc>
              <w:tc>
                <w:tcPr>
                  <w:tcW w:w="14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930</w:t>
                  </w:r>
                </w:p>
              </w:tc>
              <w:tc>
                <w:tcPr>
                  <w:tcW w:w="14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村庄</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cs="Times New Roman"/>
                      <w:color w:val="auto"/>
                      <w:kern w:val="0"/>
                      <w:sz w:val="21"/>
                      <w:szCs w:val="21"/>
                      <w:highlight w:val="none"/>
                      <w:vertAlign w:val="baseline"/>
                      <w:lang w:val="en-US" w:eastAsia="zh-CN"/>
                    </w:rPr>
                    <w:t>9</w:t>
                  </w:r>
                </w:p>
              </w:tc>
              <w:tc>
                <w:tcPr>
                  <w:tcW w:w="2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特钢社区</w:t>
                  </w:r>
                </w:p>
              </w:tc>
              <w:tc>
                <w:tcPr>
                  <w:tcW w:w="14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东北</w:t>
                  </w:r>
                </w:p>
              </w:tc>
              <w:tc>
                <w:tcPr>
                  <w:tcW w:w="14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630</w:t>
                  </w:r>
                </w:p>
              </w:tc>
              <w:tc>
                <w:tcPr>
                  <w:tcW w:w="14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社区</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cs="Times New Roman"/>
                      <w:color w:val="auto"/>
                      <w:kern w:val="0"/>
                      <w:sz w:val="21"/>
                      <w:szCs w:val="21"/>
                      <w:highlight w:val="none"/>
                      <w:vertAlign w:val="baseline"/>
                      <w:lang w:val="en-US" w:eastAsia="zh-CN"/>
                    </w:rPr>
                    <w:t xml:space="preserve"> </w:t>
                  </w:r>
                </w:p>
              </w:tc>
              <w:tc>
                <w:tcPr>
                  <w:tcW w:w="7151" w:type="dxa"/>
                  <w:gridSpan w:val="11"/>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eastAsia="zh-CN"/>
                    </w:rPr>
                    <w:t>厂址周边</w:t>
                  </w:r>
                  <w:r>
                    <w:rPr>
                      <w:rFonts w:hint="default" w:ascii="Times New Roman" w:hAnsi="Times New Roman" w:eastAsia="宋体" w:cs="Times New Roman"/>
                      <w:color w:val="auto"/>
                      <w:kern w:val="0"/>
                      <w:sz w:val="21"/>
                      <w:szCs w:val="21"/>
                      <w:highlight w:val="none"/>
                      <w:vertAlign w:val="baseline"/>
                      <w:lang w:val="en-US" w:eastAsia="zh-CN"/>
                    </w:rPr>
                    <w:t>500m范围内人口数小计</w:t>
                  </w:r>
                </w:p>
              </w:tc>
              <w:tc>
                <w:tcPr>
                  <w:tcW w:w="1431" w:type="dxa"/>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1498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151" w:type="dxa"/>
                  <w:gridSpan w:val="11"/>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eastAsia="zh-CN"/>
                    </w:rPr>
                    <w:t>厂址周边</w:t>
                  </w:r>
                  <w:r>
                    <w:rPr>
                      <w:rFonts w:hint="default" w:ascii="Times New Roman" w:hAnsi="Times New Roman" w:eastAsia="宋体" w:cs="Times New Roman"/>
                      <w:color w:val="auto"/>
                      <w:kern w:val="0"/>
                      <w:sz w:val="21"/>
                      <w:szCs w:val="21"/>
                      <w:highlight w:val="none"/>
                      <w:vertAlign w:val="baseline"/>
                      <w:lang w:val="en-US" w:eastAsia="zh-CN"/>
                    </w:rPr>
                    <w:t>5km范围内人口数小计</w:t>
                  </w:r>
                </w:p>
              </w:tc>
              <w:tc>
                <w:tcPr>
                  <w:tcW w:w="1431" w:type="dxa"/>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3.93万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6236" w:type="dxa"/>
                  <w:gridSpan w:val="10"/>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eastAsia="zh-CN"/>
                    </w:rPr>
                    <w:t>大气环境敏感程度</w:t>
                  </w:r>
                  <w:r>
                    <w:rPr>
                      <w:rFonts w:hint="default" w:ascii="Times New Roman" w:hAnsi="Times New Roman" w:eastAsia="宋体" w:cs="Times New Roman"/>
                      <w:color w:val="auto"/>
                      <w:kern w:val="0"/>
                      <w:sz w:val="21"/>
                      <w:szCs w:val="21"/>
                      <w:highlight w:val="none"/>
                      <w:vertAlign w:val="baseline"/>
                      <w:lang w:val="en-US" w:eastAsia="zh-CN"/>
                    </w:rPr>
                    <w:t>E值</w:t>
                  </w:r>
                </w:p>
              </w:tc>
              <w:tc>
                <w:tcPr>
                  <w:tcW w:w="2346" w:type="dxa"/>
                  <w:gridSpan w:val="2"/>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E</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环境</w:t>
                  </w:r>
                  <w:r>
                    <w:rPr>
                      <w:rFonts w:hint="eastAsia" w:cs="Times New Roman"/>
                      <w:color w:val="auto"/>
                      <w:szCs w:val="21"/>
                      <w:highlight w:val="none"/>
                      <w:lang w:val="en-US" w:eastAsia="zh-CN"/>
                    </w:rPr>
                    <w:t>中</w:t>
                  </w:r>
                  <w:r>
                    <w:rPr>
                      <w:rFonts w:hint="default" w:ascii="Times New Roman" w:hAnsi="Times New Roman" w:cs="Times New Roman"/>
                      <w:color w:val="auto"/>
                      <w:szCs w:val="21"/>
                      <w:highlight w:val="none"/>
                      <w:lang w:val="en-US" w:eastAsia="zh-CN"/>
                    </w:rPr>
                    <w:t>度敏感区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restart"/>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8582" w:type="dxa"/>
                  <w:gridSpan w:val="12"/>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eastAsia="zh-CN"/>
                    </w:rPr>
                    <w:t>受纳水体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序号</w:t>
                  </w:r>
                </w:p>
              </w:tc>
              <w:tc>
                <w:tcPr>
                  <w:tcW w:w="2089" w:type="dxa"/>
                  <w:gridSpan w:val="3"/>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受纳水体名称</w:t>
                  </w:r>
                </w:p>
              </w:tc>
              <w:tc>
                <w:tcPr>
                  <w:tcW w:w="2635" w:type="dxa"/>
                  <w:gridSpan w:val="3"/>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排水点水域环境功能</w:t>
                  </w:r>
                </w:p>
              </w:tc>
              <w:tc>
                <w:tcPr>
                  <w:tcW w:w="3086" w:type="dxa"/>
                  <w:gridSpan w:val="5"/>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24h内流经范围/km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w:t>
                  </w:r>
                </w:p>
              </w:tc>
              <w:tc>
                <w:tcPr>
                  <w:tcW w:w="2089" w:type="dxa"/>
                  <w:gridSpan w:val="3"/>
                  <w:tcBorders>
                    <w:tl2br w:val="nil"/>
                    <w:tr2bl w:val="nil"/>
                  </w:tcBorders>
                  <w:noWrap w:val="0"/>
                  <w:vAlign w:val="center"/>
                </w:tcPr>
                <w:p>
                  <w:pPr>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牟汶河</w:t>
                  </w:r>
                </w:p>
              </w:tc>
              <w:tc>
                <w:tcPr>
                  <w:tcW w:w="2635" w:type="dxa"/>
                  <w:gridSpan w:val="3"/>
                  <w:tcBorders>
                    <w:tl2br w:val="nil"/>
                    <w:tr2bl w:val="nil"/>
                  </w:tcBorders>
                  <w:noWrap w:val="0"/>
                  <w:vAlign w:val="center"/>
                </w:tcPr>
                <w:p>
                  <w:pPr>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cs="Times New Roman"/>
                      <w:color w:val="auto"/>
                      <w:szCs w:val="21"/>
                      <w:highlight w:val="none"/>
                      <w:lang w:eastAsia="zh-CN"/>
                    </w:rPr>
                    <w:t>Ⅳ类</w:t>
                  </w:r>
                </w:p>
              </w:tc>
              <w:tc>
                <w:tcPr>
                  <w:tcW w:w="3086" w:type="dxa"/>
                  <w:gridSpan w:val="5"/>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2359" w:type="dxa"/>
                  <w:gridSpan w:val="3"/>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内陆水体排水点下游</w:t>
                  </w:r>
                  <w:r>
                    <w:rPr>
                      <w:rFonts w:hint="default" w:ascii="Times New Roman" w:hAnsi="Times New Roman" w:cs="Times New Roman"/>
                      <w:color w:val="auto"/>
                      <w:szCs w:val="21"/>
                      <w:highlight w:val="none"/>
                      <w:lang w:val="en-US" w:eastAsia="zh-CN"/>
                    </w:rPr>
                    <w:t>10km敏感目标</w:t>
                  </w:r>
                </w:p>
              </w:tc>
              <w:tc>
                <w:tcPr>
                  <w:tcW w:w="6223" w:type="dxa"/>
                  <w:gridSpan w:val="9"/>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S2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6169" w:type="dxa"/>
                  <w:gridSpan w:val="9"/>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地表水环境敏感程度</w:t>
                  </w:r>
                  <w:r>
                    <w:rPr>
                      <w:rFonts w:hint="default" w:ascii="Times New Roman" w:hAnsi="Times New Roman" w:cs="Times New Roman"/>
                      <w:color w:val="auto"/>
                      <w:szCs w:val="21"/>
                      <w:highlight w:val="none"/>
                      <w:lang w:val="en-US" w:eastAsia="zh-CN"/>
                    </w:rPr>
                    <w:t>E值</w:t>
                  </w:r>
                </w:p>
              </w:tc>
              <w:tc>
                <w:tcPr>
                  <w:tcW w:w="2413" w:type="dxa"/>
                  <w:gridSpan w:val="3"/>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E</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环境低度敏感区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restart"/>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地下水</w:t>
                  </w:r>
                </w:p>
              </w:tc>
              <w:tc>
                <w:tcPr>
                  <w:tcW w:w="772" w:type="dxa"/>
                  <w:tcBorders>
                    <w:tl2br w:val="nil"/>
                    <w:tr2bl w:val="nil"/>
                  </w:tcBorders>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序号</w:t>
                  </w:r>
                </w:p>
              </w:tc>
              <w:tc>
                <w:tcPr>
                  <w:tcW w:w="1488" w:type="dxa"/>
                  <w:tcBorders>
                    <w:tl2br w:val="nil"/>
                    <w:tr2bl w:val="nil"/>
                  </w:tcBorders>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环境敏感区</w:t>
                  </w:r>
                </w:p>
              </w:tc>
              <w:tc>
                <w:tcPr>
                  <w:tcW w:w="1666" w:type="dxa"/>
                  <w:gridSpan w:val="3"/>
                  <w:tcBorders>
                    <w:tl2br w:val="nil"/>
                    <w:tr2bl w:val="nil"/>
                  </w:tcBorders>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环境敏感特征</w:t>
                  </w:r>
                </w:p>
              </w:tc>
              <w:tc>
                <w:tcPr>
                  <w:tcW w:w="1794" w:type="dxa"/>
                  <w:gridSpan w:val="3"/>
                  <w:tcBorders>
                    <w:tl2br w:val="nil"/>
                    <w:tr2bl w:val="nil"/>
                  </w:tcBorders>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水质目标</w:t>
                  </w:r>
                </w:p>
              </w:tc>
              <w:tc>
                <w:tcPr>
                  <w:tcW w:w="2862" w:type="dxa"/>
                  <w:gridSpan w:val="4"/>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包气带防污性能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72"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488"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666" w:type="dxa"/>
                  <w:gridSpan w:val="3"/>
                  <w:tcBorders>
                    <w:tl2br w:val="nil"/>
                    <w:tr2bl w:val="nil"/>
                  </w:tcBorders>
                  <w:noWrap w:val="0"/>
                  <w:vAlign w:val="center"/>
                </w:tcPr>
                <w:p>
                  <w:pPr>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不涉及</w:t>
                  </w:r>
                </w:p>
              </w:tc>
              <w:tc>
                <w:tcPr>
                  <w:tcW w:w="1794" w:type="dxa"/>
                  <w:gridSpan w:val="3"/>
                  <w:tcBorders>
                    <w:tl2br w:val="nil"/>
                    <w:tr2bl w:val="nil"/>
                  </w:tcBorders>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fldChar w:fldCharType="begin"/>
                  </w:r>
                  <w:r>
                    <w:rPr>
                      <w:rFonts w:hint="default" w:ascii="Times New Roman" w:hAnsi="Times New Roman" w:cs="Times New Roman"/>
                      <w:color w:val="auto"/>
                      <w:szCs w:val="21"/>
                      <w:highlight w:val="none"/>
                      <w:lang w:eastAsia="zh-CN"/>
                    </w:rPr>
                    <w:instrText xml:space="preserve"> = 3 \* ROMAN \* MERGEFORMAT </w:instrText>
                  </w:r>
                  <w:r>
                    <w:rPr>
                      <w:rFonts w:hint="default" w:ascii="Times New Roman" w:hAnsi="Times New Roman" w:cs="Times New Roman"/>
                      <w:color w:val="auto"/>
                      <w:szCs w:val="21"/>
                      <w:highlight w:val="none"/>
                      <w:lang w:eastAsia="zh-CN"/>
                    </w:rPr>
                    <w:fldChar w:fldCharType="separate"/>
                  </w:r>
                  <w:r>
                    <w:rPr>
                      <w:rFonts w:hint="default" w:ascii="Times New Roman" w:hAnsi="Times New Roman" w:cs="Times New Roman"/>
                      <w:color w:val="auto"/>
                      <w:highlight w:val="none"/>
                    </w:rPr>
                    <w:t>III</w:t>
                  </w:r>
                  <w:r>
                    <w:rPr>
                      <w:rFonts w:hint="default" w:ascii="Times New Roman" w:hAnsi="Times New Roman" w:cs="Times New Roman"/>
                      <w:color w:val="auto"/>
                      <w:szCs w:val="21"/>
                      <w:highlight w:val="none"/>
                      <w:lang w:eastAsia="zh-CN"/>
                    </w:rPr>
                    <w:fldChar w:fldCharType="end"/>
                  </w:r>
                  <w:r>
                    <w:rPr>
                      <w:rFonts w:hint="default" w:ascii="Times New Roman" w:hAnsi="Times New Roman" w:cs="Times New Roman"/>
                      <w:color w:val="auto"/>
                      <w:szCs w:val="21"/>
                      <w:highlight w:val="none"/>
                      <w:lang w:eastAsia="zh-CN"/>
                    </w:rPr>
                    <w:t>类</w:t>
                  </w:r>
                </w:p>
              </w:tc>
              <w:tc>
                <w:tcPr>
                  <w:tcW w:w="2862" w:type="dxa"/>
                  <w:gridSpan w:val="4"/>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D2：粉质粘土厚度8.10~10.20m，渗透系数</w:t>
                  </w:r>
                  <w:r>
                    <w:rPr>
                      <w:rFonts w:hint="default" w:ascii="Times New Roman" w:hAnsi="Times New Roman" w:cs="Times New Roman"/>
                      <w:color w:val="auto"/>
                      <w:kern w:val="0"/>
                      <w:sz w:val="21"/>
                      <w:szCs w:val="21"/>
                      <w:highlight w:val="none"/>
                    </w:rPr>
                    <w:t>10</w:t>
                  </w:r>
                  <w:r>
                    <w:rPr>
                      <w:rFonts w:hint="default" w:ascii="Times New Roman" w:hAnsi="Times New Roman" w:cs="Times New Roman"/>
                      <w:color w:val="auto"/>
                      <w:kern w:val="0"/>
                      <w:sz w:val="21"/>
                      <w:szCs w:val="21"/>
                      <w:highlight w:val="none"/>
                      <w:vertAlign w:val="superscript"/>
                    </w:rPr>
                    <w:t>-7</w:t>
                  </w:r>
                  <w:r>
                    <w:rPr>
                      <w:rFonts w:hint="default" w:ascii="Times New Roman" w:hAnsi="Times New Roman" w:cs="Times New Roman"/>
                      <w:color w:val="auto"/>
                      <w:kern w:val="0"/>
                      <w:sz w:val="21"/>
                      <w:szCs w:val="21"/>
                      <w:highlight w:val="none"/>
                    </w:rPr>
                    <w:t>cm/s&lt;K≤10</w:t>
                  </w:r>
                  <w:r>
                    <w:rPr>
                      <w:rFonts w:hint="default" w:ascii="Times New Roman" w:hAnsi="Times New Roman" w:cs="Times New Roman"/>
                      <w:color w:val="auto"/>
                      <w:kern w:val="0"/>
                      <w:sz w:val="21"/>
                      <w:szCs w:val="21"/>
                      <w:highlight w:val="none"/>
                      <w:vertAlign w:val="superscript"/>
                    </w:rPr>
                    <w:t>-4</w:t>
                  </w:r>
                  <w:r>
                    <w:rPr>
                      <w:rFonts w:hint="default" w:ascii="Times New Roman" w:hAnsi="Times New Roman" w:cs="Times New Roman"/>
                      <w:color w:val="auto"/>
                      <w:kern w:val="0"/>
                      <w:sz w:val="21"/>
                      <w:szCs w:val="21"/>
                      <w:highlight w:val="none"/>
                    </w:rPr>
                    <w:t>cm/s</w:t>
                  </w:r>
                  <w:r>
                    <w:rPr>
                      <w:rFonts w:hint="default" w:ascii="Times New Roman" w:hAnsi="Times New Roman" w:cs="Times New Roman"/>
                      <w:color w:val="auto"/>
                      <w:kern w:val="0"/>
                      <w:sz w:val="21"/>
                      <w:szCs w:val="21"/>
                      <w:highlight w:val="none"/>
                      <w:lang w:eastAsia="zh-CN"/>
                    </w:rPr>
                    <w:t>，且分布连续稳定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Merge w:val="continue"/>
                  <w:tcBorders>
                    <w:tl2br w:val="nil"/>
                    <w:tr2bl w:val="nil"/>
                  </w:tcBorders>
                  <w:noWrap w:val="0"/>
                  <w:vAlign w:val="center"/>
                </w:tcPr>
                <w:p>
                  <w:pPr>
                    <w:pStyle w:val="32"/>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6169" w:type="dxa"/>
                  <w:gridSpan w:val="9"/>
                  <w:tcBorders>
                    <w:tl2br w:val="nil"/>
                    <w:tr2bl w:val="nil"/>
                  </w:tcBorders>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地下水环境敏感程度</w:t>
                  </w:r>
                  <w:r>
                    <w:rPr>
                      <w:rFonts w:hint="default" w:ascii="Times New Roman" w:hAnsi="Times New Roman" w:cs="Times New Roman"/>
                      <w:color w:val="auto"/>
                      <w:szCs w:val="21"/>
                      <w:highlight w:val="none"/>
                      <w:lang w:val="en-US" w:eastAsia="zh-CN"/>
                    </w:rPr>
                    <w:t>E值</w:t>
                  </w:r>
                </w:p>
              </w:tc>
              <w:tc>
                <w:tcPr>
                  <w:tcW w:w="2413" w:type="dxa"/>
                  <w:gridSpan w:val="3"/>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E</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环境低度敏感区</w:t>
                  </w:r>
                </w:p>
              </w:tc>
            </w:tr>
          </w:tbl>
          <w:p>
            <w:pPr>
              <w:pStyle w:val="12"/>
              <w:spacing w:line="480" w:lineRule="exact"/>
              <w:ind w:firstLine="482" w:firstLineChars="200"/>
              <w:rPr>
                <w:rFonts w:ascii="Times New Roman" w:cs="Times New Roman"/>
                <w:b/>
                <w:bCs/>
                <w:color w:val="auto"/>
                <w:sz w:val="24"/>
                <w:szCs w:val="24"/>
                <w:highlight w:val="none"/>
              </w:rPr>
            </w:pPr>
            <w:r>
              <w:rPr>
                <w:rFonts w:hint="eastAsia" w:cs="Times New Roman"/>
                <w:b/>
                <w:bCs/>
                <w:color w:val="auto"/>
                <w:sz w:val="24"/>
                <w:szCs w:val="24"/>
                <w:highlight w:val="none"/>
                <w:lang w:val="en-US" w:eastAsia="zh-CN"/>
              </w:rPr>
              <w:t>6</w:t>
            </w:r>
            <w:r>
              <w:rPr>
                <w:rFonts w:ascii="Times New Roman" w:cs="Times New Roman"/>
                <w:b/>
                <w:bCs/>
                <w:color w:val="auto"/>
                <w:sz w:val="24"/>
                <w:szCs w:val="24"/>
                <w:highlight w:val="none"/>
              </w:rPr>
              <w:t>.</w:t>
            </w:r>
            <w:r>
              <w:rPr>
                <w:rFonts w:hint="eastAsia" w:ascii="Times New Roman" w:cs="Times New Roman"/>
                <w:b/>
                <w:bCs/>
                <w:color w:val="auto"/>
                <w:sz w:val="24"/>
                <w:szCs w:val="24"/>
                <w:highlight w:val="none"/>
                <w:lang w:val="en-US" w:eastAsia="zh-CN"/>
              </w:rPr>
              <w:t>3</w:t>
            </w:r>
            <w:r>
              <w:rPr>
                <w:rFonts w:hint="eastAsia" w:ascii="Times New Roman"/>
                <w:b/>
                <w:bCs/>
                <w:color w:val="auto"/>
                <w:sz w:val="24"/>
                <w:szCs w:val="24"/>
                <w:highlight w:val="none"/>
              </w:rPr>
              <w:t>风险识别</w:t>
            </w:r>
          </w:p>
          <w:p>
            <w:pPr>
              <w:pStyle w:val="12"/>
              <w:spacing w:line="480" w:lineRule="exact"/>
              <w:ind w:firstLine="480" w:firstLineChars="200"/>
              <w:rPr>
                <w:rFonts w:hint="eastAsia" w:ascii="Times New Roman"/>
                <w:color w:val="auto"/>
                <w:sz w:val="24"/>
                <w:szCs w:val="24"/>
                <w:highlight w:val="none"/>
              </w:rPr>
            </w:pPr>
            <w:r>
              <w:rPr>
                <w:rFonts w:hint="eastAsia" w:ascii="Times New Roman"/>
                <w:color w:val="auto"/>
                <w:sz w:val="24"/>
                <w:szCs w:val="24"/>
                <w:highlight w:val="none"/>
                <w:lang w:eastAsia="zh-CN"/>
              </w:rPr>
              <w:t>（</w:t>
            </w:r>
            <w:r>
              <w:rPr>
                <w:rFonts w:hint="eastAsia" w:ascii="Times New Roman"/>
                <w:color w:val="auto"/>
                <w:sz w:val="24"/>
                <w:szCs w:val="24"/>
                <w:highlight w:val="none"/>
                <w:lang w:val="en-US" w:eastAsia="zh-CN"/>
              </w:rPr>
              <w:t>1</w:t>
            </w:r>
            <w:r>
              <w:rPr>
                <w:rFonts w:hint="eastAsia" w:ascii="Times New Roman"/>
                <w:color w:val="auto"/>
                <w:sz w:val="24"/>
                <w:szCs w:val="24"/>
                <w:highlight w:val="none"/>
                <w:lang w:eastAsia="zh-CN"/>
              </w:rPr>
              <w:t>）</w:t>
            </w:r>
            <w:r>
              <w:rPr>
                <w:rFonts w:hint="eastAsia" w:ascii="Times New Roman"/>
                <w:color w:val="auto"/>
                <w:sz w:val="24"/>
                <w:szCs w:val="24"/>
                <w:highlight w:val="none"/>
                <w:lang w:val="en-US" w:eastAsia="zh-CN"/>
              </w:rPr>
              <w:t>物质风险识别</w:t>
            </w:r>
            <w:r>
              <w:rPr>
                <w:rFonts w:hint="eastAsia" w:ascii="Times New Roman"/>
                <w:color w:val="auto"/>
                <w:sz w:val="24"/>
                <w:szCs w:val="24"/>
                <w:highlight w:val="none"/>
              </w:rPr>
              <w:t>风险</w:t>
            </w:r>
          </w:p>
          <w:p>
            <w:pPr>
              <w:pStyle w:val="12"/>
              <w:spacing w:line="480" w:lineRule="exact"/>
              <w:ind w:firstLine="480" w:firstLineChars="200"/>
              <w:rPr>
                <w:rFonts w:hint="default" w:ascii="Times New Roman" w:hAnsi="Times New Roman" w:cs="Times New Roman"/>
                <w:color w:val="auto"/>
              </w:rPr>
            </w:pPr>
            <w:r>
              <w:rPr>
                <w:rFonts w:hint="eastAsia" w:ascii="Times New Roman"/>
                <w:color w:val="auto"/>
                <w:sz w:val="24"/>
                <w:szCs w:val="24"/>
                <w:highlight w:val="none"/>
              </w:rPr>
              <w:t>识别范围包括生产设施风险识别和生产过程中所涉及的物质风险识别。项目运营过程中涉及的</w:t>
            </w:r>
            <w:r>
              <w:rPr>
                <w:rFonts w:hint="eastAsia" w:ascii="Times New Roman"/>
                <w:color w:val="auto"/>
                <w:sz w:val="24"/>
                <w:szCs w:val="24"/>
                <w:highlight w:val="none"/>
                <w:lang w:eastAsia="zh-CN"/>
              </w:rPr>
              <w:t>物质</w:t>
            </w:r>
            <w:r>
              <w:rPr>
                <w:rFonts w:hint="eastAsia" w:ascii="Times New Roman"/>
                <w:color w:val="auto"/>
                <w:sz w:val="24"/>
                <w:szCs w:val="24"/>
                <w:highlight w:val="none"/>
              </w:rPr>
              <w:t>主要为</w:t>
            </w:r>
            <w:r>
              <w:rPr>
                <w:rFonts w:hint="eastAsia"/>
                <w:color w:val="auto"/>
                <w:sz w:val="24"/>
                <w:szCs w:val="24"/>
                <w:highlight w:val="none"/>
                <w:lang w:eastAsia="zh-CN"/>
              </w:rPr>
              <w:t>煤气</w:t>
            </w:r>
            <w:r>
              <w:rPr>
                <w:rFonts w:hint="eastAsia" w:ascii="Times New Roman"/>
                <w:color w:val="auto"/>
                <w:sz w:val="24"/>
                <w:szCs w:val="24"/>
                <w:highlight w:val="none"/>
              </w:rPr>
              <w:t>。</w:t>
            </w:r>
            <w:r>
              <w:rPr>
                <w:rFonts w:hint="default" w:ascii="Times New Roman" w:hAnsi="Times New Roman" w:cs="Times New Roman"/>
                <w:color w:val="auto"/>
                <w:sz w:val="24"/>
                <w:szCs w:val="24"/>
              </w:rPr>
              <w:t>其理化性质见下表。</w:t>
            </w:r>
          </w:p>
          <w:p>
            <w:pPr>
              <w:adjustRightInd/>
              <w:snapToGrid/>
              <w:spacing w:line="360" w:lineRule="auto"/>
              <w:jc w:val="center"/>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7-</w:t>
            </w:r>
            <w:r>
              <w:rPr>
                <w:rFonts w:hint="eastAsia" w:cs="Times New Roman"/>
                <w:b/>
                <w:color w:val="auto"/>
                <w:sz w:val="21"/>
                <w:szCs w:val="21"/>
                <w:lang w:val="en-US" w:eastAsia="zh-CN"/>
              </w:rPr>
              <w:t>17</w:t>
            </w:r>
            <w:r>
              <w:rPr>
                <w:rFonts w:hint="eastAsia" w:ascii="Times New Roman" w:hAnsi="Times New Roman" w:eastAsia="宋体" w:cs="Times New Roman"/>
                <w:b/>
                <w:color w:val="auto"/>
                <w:sz w:val="21"/>
                <w:szCs w:val="21"/>
                <w:lang w:val="en-US" w:eastAsia="zh-CN"/>
              </w:rPr>
              <w:t xml:space="preserve"> </w:t>
            </w:r>
            <w:r>
              <w:rPr>
                <w:rFonts w:hint="eastAsia" w:cs="Times New Roman"/>
                <w:b/>
                <w:bCs w:val="0"/>
                <w:color w:val="auto"/>
                <w:sz w:val="21"/>
                <w:szCs w:val="21"/>
                <w:lang w:val="en-US" w:eastAsia="zh-CN"/>
              </w:rPr>
              <w:t>焦炉煤气</w:t>
            </w:r>
            <w:r>
              <w:rPr>
                <w:rFonts w:hint="default" w:ascii="Times New Roman" w:hAnsi="Times New Roman" w:eastAsia="宋体" w:cs="Times New Roman"/>
                <w:b/>
                <w:color w:val="auto"/>
                <w:sz w:val="21"/>
                <w:szCs w:val="21"/>
                <w:lang w:val="zh-CN"/>
              </w:rPr>
              <w:t>理化性质及危险特性表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2044"/>
              <w:gridCol w:w="2044"/>
              <w:gridCol w:w="2044"/>
              <w:gridCol w:w="20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restart"/>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标识</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中文名</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焦炉煤气</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英文名</w:t>
                  </w:r>
                </w:p>
              </w:tc>
              <w:tc>
                <w:tcPr>
                  <w:tcW w:w="2047" w:type="dxa"/>
                  <w:tcBorders>
                    <w:tl2br w:val="nil"/>
                    <w:tr2bl w:val="nil"/>
                  </w:tcBorders>
                  <w:vAlign w:val="center"/>
                </w:tcPr>
                <w:p>
                  <w:pPr>
                    <w:pStyle w:val="12"/>
                    <w:spacing w:line="240" w:lineRule="auto"/>
                    <w:jc w:val="center"/>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Coke oven gas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危险货物编号</w:t>
                  </w:r>
                </w:p>
              </w:tc>
              <w:tc>
                <w:tcPr>
                  <w:tcW w:w="2044" w:type="dxa"/>
                  <w:tcBorders>
                    <w:tl2br w:val="nil"/>
                    <w:tr2bl w:val="nil"/>
                  </w:tcBorders>
                  <w:vAlign w:val="center"/>
                </w:tcPr>
                <w:p>
                  <w:pPr>
                    <w:pStyle w:val="12"/>
                    <w:spacing w:line="240" w:lineRule="auto"/>
                    <w:jc w:val="center"/>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23030</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危险性类别</w:t>
                  </w:r>
                </w:p>
              </w:tc>
              <w:tc>
                <w:tcPr>
                  <w:tcW w:w="2047" w:type="dxa"/>
                  <w:tcBorders>
                    <w:tl2br w:val="nil"/>
                    <w:tr2bl w:val="nil"/>
                  </w:tcBorders>
                  <w:vAlign w:val="center"/>
                </w:tcPr>
                <w:p>
                  <w:pPr>
                    <w:pStyle w:val="12"/>
                    <w:spacing w:line="240" w:lineRule="auto"/>
                    <w:jc w:val="center"/>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第2.3类 有毒气体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比重</w:t>
                  </w:r>
                </w:p>
              </w:tc>
              <w:tc>
                <w:tcPr>
                  <w:tcW w:w="2044" w:type="dxa"/>
                  <w:tcBorders>
                    <w:tl2br w:val="nil"/>
                    <w:tr2bl w:val="nil"/>
                  </w:tcBorders>
                  <w:vAlign w:val="center"/>
                </w:tcPr>
                <w:p>
                  <w:pPr>
                    <w:pStyle w:val="12"/>
                    <w:spacing w:line="240" w:lineRule="auto"/>
                    <w:jc w:val="center"/>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0.43~0.52kg/Nm</w:t>
                  </w:r>
                  <w:r>
                    <w:rPr>
                      <w:rFonts w:hint="eastAsia" w:eastAsia="宋体" w:cs="Times New Roman"/>
                      <w:b w:val="0"/>
                      <w:bCs w:val="0"/>
                      <w:color w:val="auto"/>
                      <w:sz w:val="21"/>
                      <w:szCs w:val="24"/>
                      <w:highlight w:val="none"/>
                      <w:vertAlign w:val="superscript"/>
                      <w:lang w:val="en-US" w:eastAsia="zh-CN"/>
                    </w:rPr>
                    <w:t>3</w:t>
                  </w:r>
                </w:p>
              </w:tc>
              <w:tc>
                <w:tcPr>
                  <w:tcW w:w="2044" w:type="dxa"/>
                  <w:tcBorders>
                    <w:tl2br w:val="nil"/>
                    <w:tr2bl w:val="nil"/>
                  </w:tcBorders>
                  <w:vAlign w:val="center"/>
                </w:tcPr>
                <w:p>
                  <w:pPr>
                    <w:pStyle w:val="12"/>
                    <w:spacing w:line="240" w:lineRule="auto"/>
                    <w:jc w:val="center"/>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燃烧热（kJ/mol）</w:t>
                  </w:r>
                </w:p>
              </w:tc>
              <w:tc>
                <w:tcPr>
                  <w:tcW w:w="2047" w:type="dxa"/>
                  <w:tcBorders>
                    <w:tl2br w:val="nil"/>
                    <w:tr2bl w:val="nil"/>
                  </w:tcBorders>
                  <w:vAlign w:val="center"/>
                </w:tcPr>
                <w:p>
                  <w:pPr>
                    <w:pStyle w:val="12"/>
                    <w:spacing w:line="240" w:lineRule="auto"/>
                    <w:jc w:val="center"/>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13.2~19.2MJ/Nm</w:t>
                  </w:r>
                  <w:r>
                    <w:rPr>
                      <w:rFonts w:hint="eastAsia" w:eastAsia="宋体" w:cs="Times New Roman"/>
                      <w:b w:val="0"/>
                      <w:bCs w:val="0"/>
                      <w:color w:val="auto"/>
                      <w:sz w:val="21"/>
                      <w:szCs w:val="24"/>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外观与性状</w:t>
                  </w:r>
                </w:p>
              </w:tc>
              <w:tc>
                <w:tcPr>
                  <w:tcW w:w="6135" w:type="dxa"/>
                  <w:gridSpan w:val="3"/>
                  <w:tcBorders>
                    <w:tl2br w:val="nil"/>
                    <w:tr2bl w:val="nil"/>
                  </w:tcBorders>
                  <w:vAlign w:val="center"/>
                </w:tcPr>
                <w:p>
                  <w:pPr>
                    <w:pStyle w:val="12"/>
                    <w:spacing w:line="240" w:lineRule="auto"/>
                    <w:jc w:val="left"/>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无色无臭气体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溶解性</w:t>
                  </w:r>
                </w:p>
              </w:tc>
              <w:tc>
                <w:tcPr>
                  <w:tcW w:w="6135" w:type="dxa"/>
                  <w:gridSpan w:val="3"/>
                  <w:tcBorders>
                    <w:tl2br w:val="nil"/>
                    <w:tr2bl w:val="nil"/>
                  </w:tcBorders>
                  <w:vAlign w:val="center"/>
                </w:tcPr>
                <w:p>
                  <w:pPr>
                    <w:pStyle w:val="12"/>
                    <w:spacing w:line="240" w:lineRule="auto"/>
                    <w:jc w:val="left"/>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微溶于水、溶于乙醇、苯等多数有机溶剂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主要用途</w:t>
                  </w:r>
                </w:p>
              </w:tc>
              <w:tc>
                <w:tcPr>
                  <w:tcW w:w="6135" w:type="dxa"/>
                  <w:gridSpan w:val="3"/>
                  <w:tcBorders>
                    <w:tl2br w:val="nil"/>
                    <w:tr2bl w:val="nil"/>
                  </w:tcBorders>
                  <w:vAlign w:val="center"/>
                </w:tcPr>
                <w:p>
                  <w:pPr>
                    <w:pStyle w:val="12"/>
                    <w:spacing w:line="240" w:lineRule="auto"/>
                    <w:jc w:val="left"/>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一种高热值燃料。可用于焦炉、炼钢炉等的加热，用作城市煤气，也可再经加工而成合成氨和有机合成等工作的原料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restart"/>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稳定性和反应活性</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稳定性</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稳定</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聚合危害</w:t>
                  </w:r>
                </w:p>
              </w:tc>
              <w:tc>
                <w:tcPr>
                  <w:tcW w:w="2047"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装配物</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强氧化剂、碱类</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燃烧（分解）产物</w:t>
                  </w:r>
                </w:p>
              </w:tc>
              <w:tc>
                <w:tcPr>
                  <w:tcW w:w="2047"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restart"/>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危险特性</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燃烧性</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易燃</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最小点火能（mJ）</w:t>
                  </w:r>
                </w:p>
              </w:tc>
              <w:tc>
                <w:tcPr>
                  <w:tcW w:w="2047" w:type="dxa"/>
                  <w:tcBorders>
                    <w:tl2br w:val="nil"/>
                    <w:tr2bl w:val="nil"/>
                  </w:tcBorders>
                  <w:vAlign w:val="center"/>
                </w:tcPr>
                <w:p>
                  <w:pPr>
                    <w:pStyle w:val="12"/>
                    <w:spacing w:line="240" w:lineRule="auto"/>
                    <w:jc w:val="center"/>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燃爆危险</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有燃爆危险</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侵入途径</w:t>
                  </w:r>
                </w:p>
              </w:tc>
              <w:tc>
                <w:tcPr>
                  <w:tcW w:w="2047"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危险特性</w:t>
                  </w:r>
                </w:p>
              </w:tc>
              <w:tc>
                <w:tcPr>
                  <w:tcW w:w="6135" w:type="dxa"/>
                  <w:gridSpan w:val="3"/>
                  <w:tcBorders>
                    <w:tl2br w:val="nil"/>
                    <w:tr2bl w:val="nil"/>
                  </w:tcBorders>
                  <w:vAlign w:val="center"/>
                </w:tcPr>
                <w:p>
                  <w:pPr>
                    <w:pStyle w:val="12"/>
                    <w:spacing w:line="240" w:lineRule="auto"/>
                    <w:jc w:val="left"/>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是一种易燃易爆气体，与空气混合能形成爆炸性混合物，遇明火、高热能引起燃烧爆炸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消防措施</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灭火方法及灭火剂</w:t>
                  </w:r>
                </w:p>
              </w:tc>
              <w:tc>
                <w:tcPr>
                  <w:tcW w:w="6135" w:type="dxa"/>
                  <w:gridSpan w:val="3"/>
                  <w:tcBorders>
                    <w:tl2br w:val="nil"/>
                    <w:tr2bl w:val="nil"/>
                  </w:tcBorders>
                  <w:vAlign w:val="center"/>
                </w:tcPr>
                <w:p>
                  <w:pPr>
                    <w:pStyle w:val="12"/>
                    <w:spacing w:line="240" w:lineRule="auto"/>
                    <w:jc w:val="both"/>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雾状水、泡沫、二氧化碳、干粉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restart"/>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健康危害</w:t>
                  </w: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健康危害</w:t>
                  </w:r>
                </w:p>
              </w:tc>
              <w:tc>
                <w:tcPr>
                  <w:tcW w:w="6135" w:type="dxa"/>
                  <w:gridSpan w:val="3"/>
                  <w:tcBorders>
                    <w:tl2br w:val="nil"/>
                    <w:tr2bl w:val="nil"/>
                  </w:tcBorders>
                  <w:vAlign w:val="center"/>
                </w:tcPr>
                <w:p>
                  <w:pPr>
                    <w:pStyle w:val="12"/>
                    <w:spacing w:line="240" w:lineRule="auto"/>
                    <w:jc w:val="both"/>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煤气中的一氧化碳再血液中与血红蛋白结合而造成组织缺氧。急性中毒，轻度中毒者出现头痛、头晕、耳鸣、心悸、恶心、呕吐、无力，血液碳氧血红蛋白浓度可高于10%；中度中毒者除上述症状外，还有皮肤黏膜呈樱红色、脉快、烦躁、步态不稳、浅至中度昏迷，血液碳氧血红蛋白浓度可高于30%；重度患者浓度昏迷、瞳孔缩小、肌张力增强、频繁抽搐、大小便失禁、休克、肺水肿、严重心肌损害等，血液碳氧血红蛋白浓度可高于</w:t>
                  </w:r>
                  <w:r>
                    <w:rPr>
                      <w:rFonts w:hint="eastAsia" w:cs="Times New Roman"/>
                      <w:b w:val="0"/>
                      <w:bCs w:val="0"/>
                      <w:color w:val="auto"/>
                      <w:sz w:val="21"/>
                      <w:szCs w:val="24"/>
                      <w:highlight w:val="none"/>
                      <w:vertAlign w:val="baseline"/>
                      <w:lang w:val="en-US" w:eastAsia="zh-CN"/>
                    </w:rPr>
                    <w:t>5</w:t>
                  </w:r>
                  <w:r>
                    <w:rPr>
                      <w:rFonts w:hint="eastAsia" w:eastAsia="宋体" w:cs="Times New Roman"/>
                      <w:b w:val="0"/>
                      <w:bCs w:val="0"/>
                      <w:color w:val="auto"/>
                      <w:sz w:val="21"/>
                      <w:szCs w:val="24"/>
                      <w:highlight w:val="none"/>
                      <w:vertAlign w:val="baseline"/>
                      <w:lang w:val="en-US" w:eastAsia="zh-CN"/>
                    </w:rPr>
                    <w:t>0%</w:t>
                  </w:r>
                  <w:r>
                    <w:rPr>
                      <w:rFonts w:hint="eastAsia" w:cs="Times New Roman"/>
                      <w:b w:val="0"/>
                      <w:bCs w:val="0"/>
                      <w:color w:val="auto"/>
                      <w:sz w:val="21"/>
                      <w:szCs w:val="24"/>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工程控制</w:t>
                  </w:r>
                </w:p>
              </w:tc>
              <w:tc>
                <w:tcPr>
                  <w:tcW w:w="6135" w:type="dxa"/>
                  <w:gridSpan w:val="3"/>
                  <w:tcBorders>
                    <w:tl2br w:val="nil"/>
                    <w:tr2bl w:val="nil"/>
                  </w:tcBorders>
                  <w:vAlign w:val="center"/>
                </w:tcPr>
                <w:p>
                  <w:pPr>
                    <w:pStyle w:val="12"/>
                    <w:spacing w:line="240" w:lineRule="auto"/>
                    <w:jc w:val="both"/>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严加密闭，提供充分的局部排放和全面通风。生产生活用气必须分路。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呼吸系统防护</w:t>
                  </w:r>
                </w:p>
              </w:tc>
              <w:tc>
                <w:tcPr>
                  <w:tcW w:w="6135" w:type="dxa"/>
                  <w:gridSpan w:val="3"/>
                  <w:tcBorders>
                    <w:tl2br w:val="nil"/>
                    <w:tr2bl w:val="nil"/>
                  </w:tcBorders>
                  <w:vAlign w:val="center"/>
                </w:tcPr>
                <w:p>
                  <w:pPr>
                    <w:pStyle w:val="12"/>
                    <w:spacing w:line="240" w:lineRule="auto"/>
                    <w:jc w:val="both"/>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空气中浓度超标时，佩戴自吸过滤式防毒面具（半面罩）。紧急事态抢救或撤离时，建议佩戴氧气呼吸器、一氧化碳过滤式自救器。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眼睛防护</w:t>
                  </w:r>
                </w:p>
              </w:tc>
              <w:tc>
                <w:tcPr>
                  <w:tcW w:w="6135" w:type="dxa"/>
                  <w:gridSpan w:val="3"/>
                  <w:tcBorders>
                    <w:tl2br w:val="nil"/>
                    <w:tr2bl w:val="nil"/>
                  </w:tcBorders>
                  <w:vAlign w:val="center"/>
                </w:tcPr>
                <w:p>
                  <w:pPr>
                    <w:pStyle w:val="12"/>
                    <w:spacing w:line="240" w:lineRule="auto"/>
                    <w:jc w:val="both"/>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一般不需要特殊防护，高浓度接触时可佩戴安全防护眼镜。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身体防护</w:t>
                  </w:r>
                </w:p>
              </w:tc>
              <w:tc>
                <w:tcPr>
                  <w:tcW w:w="6135" w:type="dxa"/>
                  <w:gridSpan w:val="3"/>
                  <w:tcBorders>
                    <w:tl2br w:val="nil"/>
                    <w:tr2bl w:val="nil"/>
                  </w:tcBorders>
                  <w:vAlign w:val="center"/>
                </w:tcPr>
                <w:p>
                  <w:pPr>
                    <w:pStyle w:val="12"/>
                    <w:spacing w:line="240" w:lineRule="auto"/>
                    <w:jc w:val="both"/>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穿防静电工作服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手防护</w:t>
                  </w:r>
                </w:p>
              </w:tc>
              <w:tc>
                <w:tcPr>
                  <w:tcW w:w="6135" w:type="dxa"/>
                  <w:gridSpan w:val="3"/>
                  <w:tcBorders>
                    <w:tl2br w:val="nil"/>
                    <w:tr2bl w:val="nil"/>
                  </w:tcBorders>
                  <w:vAlign w:val="center"/>
                </w:tcPr>
                <w:p>
                  <w:pPr>
                    <w:pStyle w:val="12"/>
                    <w:spacing w:line="240" w:lineRule="auto"/>
                    <w:jc w:val="both"/>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戴一般作业防护手套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其他防护</w:t>
                  </w:r>
                </w:p>
              </w:tc>
              <w:tc>
                <w:tcPr>
                  <w:tcW w:w="6135" w:type="dxa"/>
                  <w:gridSpan w:val="3"/>
                  <w:tcBorders>
                    <w:tl2br w:val="nil"/>
                    <w:tr2bl w:val="nil"/>
                  </w:tcBorders>
                  <w:vAlign w:val="center"/>
                </w:tcPr>
                <w:p>
                  <w:pPr>
                    <w:pStyle w:val="12"/>
                    <w:spacing w:line="240" w:lineRule="auto"/>
                    <w:jc w:val="both"/>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工作场所禁止吸烟。实行就业前和定期的体检。避免高浓度吸入。进入罐、限制性空间或其他高浓度区作业，须有人监护。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p>
              </w:tc>
              <w:tc>
                <w:tcPr>
                  <w:tcW w:w="2044"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吸入</w:t>
                  </w:r>
                </w:p>
              </w:tc>
              <w:tc>
                <w:tcPr>
                  <w:tcW w:w="6135" w:type="dxa"/>
                  <w:gridSpan w:val="3"/>
                  <w:tcBorders>
                    <w:tl2br w:val="nil"/>
                    <w:tr2bl w:val="nil"/>
                  </w:tcBorders>
                  <w:vAlign w:val="center"/>
                </w:tcPr>
                <w:p>
                  <w:pPr>
                    <w:pStyle w:val="12"/>
                    <w:spacing w:line="240" w:lineRule="auto"/>
                    <w:jc w:val="both"/>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脱离现场至空气新鲜处，保护呼吸道通畅。如呼吸困难，给输氧，呼吸心跳停止时，立即进行人工呼吸和胸外心脏按压术。就医。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tcBorders>
                    <w:tl2br w:val="nil"/>
                    <w:tr2bl w:val="nil"/>
                  </w:tcBorders>
                  <w:vAlign w:val="center"/>
                </w:tcPr>
                <w:p>
                  <w:pPr>
                    <w:pStyle w:val="12"/>
                    <w:spacing w:line="240" w:lineRule="auto"/>
                    <w:jc w:val="center"/>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泄露应急处理</w:t>
                  </w:r>
                </w:p>
              </w:tc>
              <w:tc>
                <w:tcPr>
                  <w:tcW w:w="8179" w:type="dxa"/>
                  <w:gridSpan w:val="4"/>
                  <w:tcBorders>
                    <w:tl2br w:val="nil"/>
                    <w:tr2bl w:val="nil"/>
                  </w:tcBorders>
                  <w:vAlign w:val="center"/>
                </w:tcPr>
                <w:p>
                  <w:pPr>
                    <w:pStyle w:val="12"/>
                    <w:spacing w:line="240" w:lineRule="auto"/>
                    <w:jc w:val="both"/>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eastAsia="宋体" w:cs="Times New Roman"/>
                      <w:b w:val="0"/>
                      <w:bCs w:val="0"/>
                      <w:color w:val="auto"/>
                      <w:sz w:val="21"/>
                      <w:szCs w:val="24"/>
                      <w:highlight w:val="none"/>
                      <w:vertAlign w:val="baseline"/>
                      <w:lang w:val="en-US" w:eastAsia="zh-CN"/>
                    </w:rPr>
                    <w:t>迅速撤离泄露污染区人员至上风处，并立即隔离150m，严格限制出入。切断火源，建议应急处理人员戴自给正压式呼吸器，穿消防防护服。尽可能切断泄漏源。合理通风，加速扩散。喷雾状水稀释，溶解。构筑围堤或挖坑收容生产的大量废水。如有可能，将漏出气用排风机送至空旷地方或装设适当喷头烧掉。也可用管路导致炉中、凹地焚之。漏气容器要妥善处理，检修、检验后再用。</w:t>
                  </w:r>
                </w:p>
              </w:tc>
            </w:tr>
          </w:tbl>
          <w:p>
            <w:pPr>
              <w:pStyle w:val="12"/>
              <w:spacing w:line="480" w:lineRule="exact"/>
              <w:ind w:firstLine="482" w:firstLineChars="20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6.4环境风险分析</w:t>
            </w:r>
          </w:p>
          <w:p>
            <w:pPr>
              <w:pStyle w:val="12"/>
              <w:spacing w:line="480" w:lineRule="exact"/>
              <w:ind w:firstLine="480" w:firstLineChars="200"/>
              <w:rPr>
                <w:rFonts w:ascii="Times New Roman" w:cs="Times New Roman"/>
                <w:color w:val="auto"/>
                <w:sz w:val="24"/>
                <w:szCs w:val="24"/>
                <w:highlight w:val="none"/>
              </w:rPr>
            </w:pPr>
            <w:r>
              <w:rPr>
                <w:rFonts w:hint="eastAsia" w:ascii="Times New Roman"/>
                <w:color w:val="auto"/>
                <w:sz w:val="24"/>
                <w:szCs w:val="24"/>
                <w:highlight w:val="none"/>
                <w:lang w:eastAsia="zh-CN"/>
              </w:rPr>
              <w:t>（</w:t>
            </w:r>
            <w:r>
              <w:rPr>
                <w:rFonts w:hint="eastAsia" w:ascii="Times New Roman"/>
                <w:color w:val="auto"/>
                <w:sz w:val="24"/>
                <w:szCs w:val="24"/>
                <w:highlight w:val="none"/>
                <w:lang w:val="en-US" w:eastAsia="zh-CN"/>
              </w:rPr>
              <w:t>1</w:t>
            </w:r>
            <w:r>
              <w:rPr>
                <w:rFonts w:hint="eastAsia" w:ascii="Times New Roman"/>
                <w:color w:val="auto"/>
                <w:sz w:val="24"/>
                <w:szCs w:val="24"/>
                <w:highlight w:val="none"/>
                <w:lang w:eastAsia="zh-CN"/>
              </w:rPr>
              <w:t>）</w:t>
            </w:r>
            <w:r>
              <w:rPr>
                <w:rFonts w:hint="eastAsia" w:ascii="Times New Roman"/>
                <w:color w:val="auto"/>
                <w:sz w:val="24"/>
                <w:szCs w:val="24"/>
                <w:highlight w:val="none"/>
              </w:rPr>
              <w:t>源项分析</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根据对同类项目类比调查，项目事故风险类型确定为</w:t>
            </w:r>
            <w:r>
              <w:rPr>
                <w:rFonts w:hint="eastAsia" w:cs="Times New Roman"/>
                <w:color w:val="auto"/>
                <w:kern w:val="0"/>
                <w:sz w:val="24"/>
                <w:lang w:val="en-US" w:eastAsia="zh-CN"/>
              </w:rPr>
              <w:t>焦炉煤气</w:t>
            </w:r>
            <w:r>
              <w:rPr>
                <w:rFonts w:hint="default" w:ascii="Times New Roman" w:hAnsi="Times New Roman" w:cs="Times New Roman"/>
                <w:color w:val="auto"/>
                <w:kern w:val="0"/>
                <w:sz w:val="24"/>
                <w:lang w:val="zh-CN"/>
              </w:rPr>
              <w:t>泄漏</w:t>
            </w:r>
            <w:r>
              <w:rPr>
                <w:rFonts w:hint="eastAsia" w:cs="Times New Roman"/>
                <w:color w:val="auto"/>
                <w:kern w:val="0"/>
                <w:sz w:val="24"/>
                <w:lang w:val="zh-CN"/>
              </w:rPr>
              <w:t>，</w:t>
            </w:r>
            <w:r>
              <w:rPr>
                <w:rFonts w:hint="default" w:ascii="Times New Roman" w:hAnsi="Times New Roman" w:cs="Times New Roman"/>
                <w:color w:val="auto"/>
                <w:kern w:val="0"/>
                <w:sz w:val="24"/>
                <w:lang w:val="zh-CN"/>
              </w:rPr>
              <w:t>火灾、爆炸</w:t>
            </w:r>
            <w:r>
              <w:rPr>
                <w:rFonts w:hint="eastAsia" w:cs="Times New Roman"/>
                <w:color w:val="auto"/>
                <w:kern w:val="0"/>
                <w:sz w:val="24"/>
                <w:lang w:val="en-US" w:eastAsia="zh-CN"/>
              </w:rPr>
              <w:t>等引起有毒有害物质污染大气环境</w:t>
            </w:r>
            <w:r>
              <w:rPr>
                <w:rFonts w:hint="default" w:ascii="Times New Roman" w:hAnsi="Times New Roman" w:cs="Times New Roman"/>
                <w:color w:val="auto"/>
                <w:kern w:val="0"/>
                <w:sz w:val="24"/>
                <w:lang w:val="zh-CN"/>
              </w:rPr>
              <w:t>，不考虑自然灾害如洪水、台风等所引起的风险。</w:t>
            </w:r>
          </w:p>
          <w:p>
            <w:pPr>
              <w:pStyle w:val="12"/>
              <w:spacing w:line="480" w:lineRule="exact"/>
              <w:ind w:firstLine="480" w:firstLineChars="200"/>
              <w:rPr>
                <w:rFonts w:ascii="Times New Roman" w:cs="Times New Roman"/>
                <w:color w:val="auto"/>
                <w:sz w:val="24"/>
                <w:szCs w:val="24"/>
                <w:highlight w:val="none"/>
              </w:rPr>
            </w:pPr>
            <w:r>
              <w:rPr>
                <w:rFonts w:hint="eastAsia" w:ascii="Times New Roman" w:cs="Times New Roman"/>
                <w:color w:val="auto"/>
                <w:sz w:val="24"/>
                <w:szCs w:val="24"/>
                <w:highlight w:val="none"/>
                <w:lang w:val="en-US" w:eastAsia="zh-CN"/>
              </w:rPr>
              <w:t>（2）</w:t>
            </w:r>
            <w:r>
              <w:rPr>
                <w:rFonts w:hint="eastAsia" w:ascii="Times New Roman"/>
                <w:color w:val="auto"/>
                <w:sz w:val="24"/>
                <w:szCs w:val="24"/>
                <w:highlight w:val="none"/>
              </w:rPr>
              <w:t>风险预测</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本项目在日常生产过程中存在的危险因素为：</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1）火灾爆炸因素分析</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燃烧无烟，不污染环境，火力强，热效率高，以</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作燃料有利于节约能源。但</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的易燃易爆、有毒等特性，决定了其在生产和输配过程中潜在的火灾爆炸危险性。</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管道采用明火或高温强光灯具进行检修，就会发生火灾爆炸事故。一旦高炉煤气产生泄漏，设备遭灾停产，不仅危及人员生命安全和造成国家财产损失，并且影响居民的日常生活和工业生产。所以，必须重视</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设备的防火防爆工作。</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2）中毒与窒息</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本项目使用的</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因含有一氧化碳而具有毒性，人体直接接触高浓度此类物质气体可能造成中毒危险，可能发生中毒的途径有：</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①</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在使用过程中发生泄漏，造成局部高毒环境，从而发生人员中毒事故。</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②进入存在有</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的设备内检修时，因设备未清洗置换合格或未采取有效的隔绝措施，进入设备前或在作业期间未按规定进行取样分析，可能造成人员中毒。</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③进入设备内检修或清理时，可能因通风不良造成人员缺氧窒息。</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④在有</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的环境下进行作业或抢险时，未按规定使用防毒用品，可能造成人员中毒。</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3）最大可信事故</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从</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输送和使用环节进行类比调查表明，燃气事故和燃气用量的增加成正比，本次评价认为</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泄露是本次工程风险评价的最大可信事故。</w:t>
            </w:r>
          </w:p>
          <w:p>
            <w:pPr>
              <w:pStyle w:val="12"/>
              <w:spacing w:line="480" w:lineRule="exact"/>
              <w:ind w:firstLine="482" w:firstLineChars="20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6.5 环境风险防范措施及应急要求</w:t>
            </w:r>
          </w:p>
          <w:p>
            <w:pPr>
              <w:snapToGrid/>
              <w:spacing w:beforeLines="0" w:afterLines="0" w:line="360" w:lineRule="auto"/>
              <w:ind w:firstLine="470" w:firstLineChars="196"/>
              <w:rPr>
                <w:rFonts w:hint="default" w:ascii="Times New Roman" w:hAnsi="Times New Roman" w:cs="Times New Roman"/>
                <w:b w:val="0"/>
                <w:bCs w:val="0"/>
                <w:color w:val="auto"/>
                <w:kern w:val="0"/>
                <w:sz w:val="24"/>
                <w:lang w:val="zh-CN"/>
              </w:rPr>
            </w:pPr>
            <w:r>
              <w:rPr>
                <w:rFonts w:hint="eastAsia" w:ascii="Times New Roman" w:hAnsi="Times New Roman" w:cs="Times New Roman"/>
                <w:b w:val="0"/>
                <w:bCs w:val="0"/>
                <w:color w:val="auto"/>
                <w:kern w:val="0"/>
                <w:sz w:val="24"/>
                <w:lang w:val="en-US" w:eastAsia="zh-CN"/>
              </w:rPr>
              <w:t>（1）</w:t>
            </w:r>
            <w:r>
              <w:rPr>
                <w:rFonts w:hint="default" w:ascii="Times New Roman" w:hAnsi="Times New Roman" w:cs="Times New Roman"/>
                <w:b w:val="0"/>
                <w:bCs w:val="0"/>
                <w:color w:val="auto"/>
                <w:kern w:val="0"/>
                <w:sz w:val="24"/>
                <w:lang w:val="zh-CN"/>
              </w:rPr>
              <w:t>事故应急措施</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1）火灾爆炸事故的抢救措施</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一旦发生火灾爆炸事故，利用设置的火灾自动报警系统及电话向消防部门报警，同时采取设置的移动式消防器材及固定式消防设施进行灭火。</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一般建筑物火灾主要采用水灭火，利用消防栓、消防车、消防水枪并配合其他消防器材进行扑救。</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由</w:t>
            </w:r>
            <w:r>
              <w:rPr>
                <w:rFonts w:hint="eastAsia" w:cs="Times New Roman"/>
                <w:color w:val="auto"/>
                <w:kern w:val="0"/>
                <w:sz w:val="24"/>
                <w:lang w:val="zh-CN"/>
              </w:rPr>
              <w:t>焦炉煤气</w:t>
            </w:r>
            <w:r>
              <w:rPr>
                <w:rFonts w:hint="default" w:ascii="Times New Roman" w:hAnsi="Times New Roman" w:cs="Times New Roman"/>
                <w:color w:val="auto"/>
                <w:kern w:val="0"/>
                <w:sz w:val="24"/>
                <w:lang w:val="zh-CN"/>
              </w:rPr>
              <w:t>引发的火灾主要采用干粉、磷酸铵盐泡沫、二氧化碳等消防器材进行扑救。</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en-US" w:eastAsia="zh-CN"/>
              </w:rPr>
              <w:t>2</w:t>
            </w:r>
            <w:r>
              <w:rPr>
                <w:rFonts w:hint="default" w:ascii="Times New Roman" w:hAnsi="Times New Roman" w:cs="Times New Roman"/>
                <w:color w:val="auto"/>
                <w:kern w:val="0"/>
                <w:sz w:val="24"/>
                <w:lang w:val="zh-CN"/>
              </w:rPr>
              <w:t>）泄漏应急处理处置方法</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①泄漏应急处理</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②防护措施</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呼吸系统防护：一般不需要特殊防护，但建议特殊情况下，佩带自吸过滤式防毒面具(半面罩)。</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眼睛防护：一般不需要特别防护，高浓度接触时可戴安全防护眼镜。</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身体防护：穿防静电工作服。</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手防护：戴一般作业防护手套。</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其它：工作现场严禁吸烟。避免长期反复接触。进入罐、限制性空间或其它高浓度区作业，须有人监护。</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③急救措施</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皮肤接触：若有冻伤，就医治疗。</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吸入：迅速脱离现场至空气新鲜处。保持呼吸道通畅。如呼吸困难，给输氧。</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如呼吸停止，立即进行人工呼吸。就医。</w:t>
            </w:r>
          </w:p>
          <w:p>
            <w:pPr>
              <w:snapToGrid/>
              <w:spacing w:beforeLines="0" w:afterLines="0" w:line="360" w:lineRule="auto"/>
              <w:ind w:firstLine="470" w:firstLineChars="196"/>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灭火方法：切断气源。若不能立即切断气源，则不允许熄灭正在燃烧的气体。喷水冷却容器，可能的话将容器从火场移至空旷处。灭火剂：雾状水、泡沫、二氧化碳、干粉。</w:t>
            </w:r>
          </w:p>
          <w:p>
            <w:pPr>
              <w:snapToGrid/>
              <w:spacing w:beforeLines="0" w:afterLines="0" w:line="360" w:lineRule="auto"/>
              <w:ind w:firstLine="470" w:firstLineChars="196"/>
              <w:rPr>
                <w:rFonts w:hint="default" w:ascii="Times New Roman" w:hAnsi="Times New Roman" w:cs="Times New Roman"/>
                <w:color w:val="auto"/>
                <w:szCs w:val="24"/>
              </w:rPr>
            </w:pPr>
            <w:r>
              <w:rPr>
                <w:rFonts w:hint="eastAsia" w:ascii="Times New Roman" w:hAnsi="Times New Roman" w:cs="Times New Roman"/>
                <w:b w:val="0"/>
                <w:bCs w:val="0"/>
                <w:color w:val="auto"/>
                <w:kern w:val="0"/>
                <w:sz w:val="24"/>
                <w:lang w:val="en-US" w:eastAsia="zh-CN"/>
              </w:rPr>
              <w:t>（2）</w:t>
            </w:r>
            <w:r>
              <w:rPr>
                <w:rFonts w:hint="default" w:ascii="Times New Roman" w:hAnsi="Times New Roman" w:cs="Times New Roman"/>
                <w:b w:val="0"/>
                <w:bCs w:val="0"/>
                <w:color w:val="auto"/>
                <w:kern w:val="0"/>
                <w:sz w:val="24"/>
                <w:lang w:val="en-US" w:eastAsia="zh-CN"/>
              </w:rPr>
              <w:t>应急预案</w:t>
            </w:r>
          </w:p>
          <w:p>
            <w:pPr>
              <w:spacing w:line="360" w:lineRule="auto"/>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eastAsia="宋体" w:cs="Times New Roman"/>
                <w:b/>
                <w:bCs w:val="0"/>
                <w:color w:val="auto"/>
                <w:sz w:val="21"/>
                <w:szCs w:val="21"/>
                <w:lang w:val="en-US" w:eastAsia="zh-CN"/>
              </w:rPr>
              <w:t>7-</w:t>
            </w:r>
            <w:r>
              <w:rPr>
                <w:rFonts w:hint="eastAsia" w:cs="Times New Roman"/>
                <w:b/>
                <w:bCs w:val="0"/>
                <w:color w:val="auto"/>
                <w:sz w:val="21"/>
                <w:szCs w:val="21"/>
                <w:lang w:val="en-US" w:eastAsia="zh-CN"/>
              </w:rPr>
              <w:t>18</w:t>
            </w:r>
            <w:r>
              <w:rPr>
                <w:rFonts w:hint="eastAsia"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环境风险突发事故应急预案</w:t>
            </w:r>
          </w:p>
          <w:tbl>
            <w:tblPr>
              <w:tblStyle w:val="24"/>
              <w:tblW w:w="94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1"/>
              <w:gridCol w:w="1991"/>
              <w:gridCol w:w="67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6746" w:type="dxa"/>
                  <w:tcBorders>
                    <w:tl2br w:val="nil"/>
                    <w:tr2bl w:val="nil"/>
                  </w:tcBorders>
                  <w:noWrap w:val="0"/>
                  <w:vAlign w:val="center"/>
                </w:tcPr>
                <w:p>
                  <w:pPr>
                    <w:adjustRightInd w:val="0"/>
                    <w:snapToGrid w:val="0"/>
                    <w:ind w:firstLine="210"/>
                    <w:jc w:val="center"/>
                    <w:rPr>
                      <w:rFonts w:hint="default" w:ascii="Times New Roman" w:hAnsi="Times New Roman" w:cs="Times New Roman"/>
                      <w:color w:val="auto"/>
                      <w:szCs w:val="21"/>
                    </w:rPr>
                  </w:pPr>
                  <w:r>
                    <w:rPr>
                      <w:rFonts w:hint="default" w:ascii="Times New Roman" w:hAnsi="Times New Roman" w:cs="Times New Roman"/>
                      <w:color w:val="auto"/>
                      <w:szCs w:val="21"/>
                    </w:rPr>
                    <w:t>内容及要求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总则</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简述生产过程中涉及物料性质及可能产生的突发事故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危险源概况</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评述危险源类型、数量及其分布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应急计划区</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生产区、邻区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应急组织</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管理部门：成立应急指挥小组，由最高管理领导层担任组长，各分区负责人任副组长。组长负责现场全面指挥，专业救援队伍负责事故控制、救援和善后处理。副组长负责附近区域全面指挥，救援，管制和疏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应急状态分类及</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应急响应程度</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规定事故的级别及相应的应急分类响应程度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应急设施、设备</w:t>
                  </w:r>
                </w:p>
                <w:p>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与材料</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消防器材、消防服等；人员急救所用的一些药品、器材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应急通讯、通知</w:t>
                  </w:r>
                </w:p>
                <w:p>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和交通</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规定应急状态下的通讯方式、通知方式和交通保障、管制措施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应急环境监测及事故后评估</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由专业队伍对事故现场进行侦察监测，对事故性质、参数与后果进行评估，为指挥部门提供决策依据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应急防护措施、消除泄漏措施方法和器材</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事故现场：控制事故、防止扩大、漫延及连锁反应</w:t>
                  </w:r>
                </w:p>
                <w:p>
                  <w:pPr>
                    <w:adjustRightInd w:val="0"/>
                    <w:snapToGrid w:val="0"/>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邻近区域：控制火灾区域，控制和消除污染措施及相应设备配备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应急剂量控制、撤离组织计划、医疗救护与公众健康</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事故现场：事故处理人员对毒物的应急剂量控制规定，现场及邻近装置人员撤离组织计划及救护</w:t>
                  </w:r>
                </w:p>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工厂邻近区：受事故影响的邻近区域人员及公众对毒物应急剂量控制规定，撤离组织及救护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应急状态终止与</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恢复措施</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事故现场：规定应急状态终止秩序；事故现场善后处理，回复生产措施</w:t>
                  </w:r>
                </w:p>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临近地区：解除事故警戒，公众返回和善后回复措施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人员培训与演练</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应急计划制定后，平时安排人员培训及演练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公众教育和信息</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对工厂邻近地区开展公众教育、培训与发布相关信息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记录和报告</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设置应急事故专门记录，建立档案和专门报告制度，设专门部门和负责管理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9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附件</w:t>
                  </w:r>
                </w:p>
              </w:tc>
              <w:tc>
                <w:tcPr>
                  <w:tcW w:w="6746" w:type="dxa"/>
                  <w:tcBorders>
                    <w:tl2br w:val="nil"/>
                    <w:tr2bl w:val="nil"/>
                  </w:tcBorders>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与应急事故有关的多种附件材料的准备和形成</w:t>
                  </w:r>
                </w:p>
              </w:tc>
            </w:tr>
          </w:tbl>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rPr>
              <w:t>通过采取以上措施，项目在建成后将能有效地防止事故发生，一旦发生事故，依靠厂区内</w:t>
            </w:r>
            <w:r>
              <w:rPr>
                <w:rFonts w:hint="default" w:ascii="Times New Roman" w:hAnsi="Times New Roman" w:cs="Times New Roman"/>
                <w:color w:val="auto"/>
                <w:sz w:val="24"/>
                <w:highlight w:val="none"/>
              </w:rPr>
              <w:t>的安全防护设施和事故应急措施也能及时控制事故，防止事故的蔓延。</w:t>
            </w:r>
          </w:p>
          <w:p>
            <w:pPr>
              <w:pStyle w:val="12"/>
              <w:spacing w:line="480" w:lineRule="exact"/>
              <w:ind w:firstLine="480" w:firstLineChars="200"/>
              <w:rPr>
                <w:rFonts w:ascii="Times New Roman" w:cs="Times New Roman"/>
                <w:color w:val="auto"/>
                <w:sz w:val="24"/>
                <w:szCs w:val="24"/>
                <w:highlight w:val="none"/>
              </w:rPr>
            </w:pPr>
            <w:r>
              <w:rPr>
                <w:rFonts w:hint="eastAsia" w:ascii="Times New Roman" w:cs="Times New Roman"/>
                <w:color w:val="auto"/>
                <w:sz w:val="24"/>
                <w:szCs w:val="24"/>
                <w:highlight w:val="none"/>
                <w:lang w:val="en-US" w:eastAsia="zh-CN"/>
              </w:rPr>
              <w:t>（3）</w:t>
            </w:r>
            <w:r>
              <w:rPr>
                <w:rFonts w:hint="eastAsia" w:ascii="Times New Roman"/>
                <w:color w:val="auto"/>
                <w:sz w:val="24"/>
                <w:szCs w:val="24"/>
                <w:highlight w:val="none"/>
              </w:rPr>
              <w:t>风险防范措施</w:t>
            </w:r>
          </w:p>
          <w:p>
            <w:pPr>
              <w:pStyle w:val="12"/>
              <w:spacing w:line="480" w:lineRule="exact"/>
              <w:ind w:firstLine="480" w:firstLineChars="200"/>
              <w:rPr>
                <w:rFonts w:ascii="Times New Roman" w:cs="Times New Roman"/>
                <w:color w:val="auto"/>
                <w:sz w:val="24"/>
                <w:szCs w:val="24"/>
                <w:highlight w:val="none"/>
              </w:rPr>
            </w:pPr>
            <w:r>
              <w:rPr>
                <w:rFonts w:hint="eastAsia" w:ascii="Times New Roman"/>
                <w:color w:val="auto"/>
                <w:sz w:val="24"/>
                <w:szCs w:val="24"/>
                <w:highlight w:val="none"/>
              </w:rPr>
              <w:t>为减少项目风险事故素对周边环境的影响，建议建设单位做好如下防范措施：</w:t>
            </w:r>
          </w:p>
          <w:p>
            <w:pPr>
              <w:pStyle w:val="12"/>
              <w:numPr>
                <w:ilvl w:val="0"/>
                <w:numId w:val="10"/>
              </w:numPr>
              <w:spacing w:line="480" w:lineRule="exact"/>
              <w:ind w:firstLine="480" w:firstLineChars="200"/>
              <w:rPr>
                <w:rFonts w:hint="eastAsia" w:ascii="Times New Roman"/>
                <w:color w:val="auto"/>
                <w:sz w:val="24"/>
                <w:szCs w:val="24"/>
                <w:highlight w:val="none"/>
                <w:lang w:val="en-US" w:eastAsia="zh-CN"/>
              </w:rPr>
            </w:pPr>
            <w:r>
              <w:rPr>
                <w:rFonts w:hint="eastAsia" w:ascii="Times New Roman"/>
                <w:color w:val="auto"/>
                <w:sz w:val="24"/>
                <w:szCs w:val="24"/>
                <w:highlight w:val="none"/>
                <w:lang w:val="en-US" w:eastAsia="zh-CN"/>
              </w:rPr>
              <w:t>锅炉房设置通风装置，在生产过程中，对密封点经常检查，防止有毒有害物的泄漏。</w:t>
            </w:r>
          </w:p>
          <w:p>
            <w:pPr>
              <w:pStyle w:val="12"/>
              <w:numPr>
                <w:ilvl w:val="0"/>
                <w:numId w:val="10"/>
              </w:numPr>
              <w:spacing w:line="480" w:lineRule="exact"/>
              <w:ind w:firstLine="480" w:firstLineChars="200"/>
              <w:rPr>
                <w:rFonts w:ascii="Times New Roman" w:cs="Times New Roman"/>
                <w:color w:val="auto"/>
                <w:sz w:val="24"/>
                <w:szCs w:val="24"/>
                <w:highlight w:val="none"/>
              </w:rPr>
            </w:pPr>
            <w:r>
              <w:rPr>
                <w:rFonts w:hint="eastAsia" w:ascii="Times New Roman"/>
                <w:color w:val="auto"/>
                <w:sz w:val="24"/>
                <w:szCs w:val="24"/>
                <w:highlight w:val="none"/>
                <w:lang w:val="en-US" w:eastAsia="zh-CN"/>
              </w:rPr>
              <w:t>设置可燃气体浓度检测仪及配套二级报警装置，当可燃气体浓度超标时报警。</w:t>
            </w:r>
          </w:p>
          <w:p>
            <w:pPr>
              <w:pStyle w:val="12"/>
              <w:numPr>
                <w:ilvl w:val="0"/>
                <w:numId w:val="10"/>
              </w:numPr>
              <w:spacing w:line="480" w:lineRule="exact"/>
              <w:ind w:firstLine="480" w:firstLineChars="200"/>
              <w:rPr>
                <w:rFonts w:ascii="Times New Roman" w:cs="Times New Roman"/>
                <w:color w:val="auto"/>
                <w:sz w:val="24"/>
                <w:szCs w:val="24"/>
                <w:highlight w:val="none"/>
              </w:rPr>
            </w:pPr>
            <w:r>
              <w:rPr>
                <w:rFonts w:hint="eastAsia" w:ascii="Times New Roman"/>
                <w:color w:val="auto"/>
                <w:sz w:val="24"/>
                <w:szCs w:val="24"/>
                <w:highlight w:val="none"/>
                <w:lang w:val="en-US" w:eastAsia="zh-CN"/>
              </w:rPr>
              <w:t>爆炸危险区域的电气设备选用隔爆型，并可靠接地。所有电气设备的选择均能满足装置的防爆要求。</w:t>
            </w:r>
          </w:p>
          <w:p>
            <w:pPr>
              <w:pStyle w:val="12"/>
              <w:numPr>
                <w:ilvl w:val="0"/>
                <w:numId w:val="10"/>
              </w:numPr>
              <w:spacing w:line="480" w:lineRule="exact"/>
              <w:ind w:firstLine="480" w:firstLineChars="200"/>
              <w:rPr>
                <w:rFonts w:ascii="Times New Roman" w:cs="Times New Roman"/>
                <w:color w:val="auto"/>
                <w:sz w:val="24"/>
                <w:szCs w:val="24"/>
                <w:highlight w:val="none"/>
              </w:rPr>
            </w:pPr>
            <w:r>
              <w:rPr>
                <w:rFonts w:hint="eastAsia" w:ascii="Times New Roman"/>
                <w:color w:val="auto"/>
                <w:sz w:val="24"/>
                <w:szCs w:val="24"/>
                <w:highlight w:val="none"/>
              </w:rPr>
              <w:t>成立专门的责任机构，保证事故发生时组织相关力量及时控制事故的危害，在第一时间，有序有效地控制事故污染，把事故危害减小到最少。</w:t>
            </w:r>
          </w:p>
          <w:p>
            <w:pPr>
              <w:pStyle w:val="12"/>
              <w:spacing w:line="480" w:lineRule="exact"/>
              <w:ind w:firstLine="480" w:firstLineChars="200"/>
              <w:rPr>
                <w:rFonts w:ascii="Times New Roman" w:cs="Times New Roman"/>
                <w:color w:val="auto"/>
                <w:sz w:val="24"/>
                <w:szCs w:val="24"/>
                <w:highlight w:val="none"/>
              </w:rPr>
            </w:pPr>
            <w:r>
              <w:rPr>
                <w:rFonts w:hint="eastAsia" w:cs="Times New Roman"/>
                <w:color w:val="auto"/>
                <w:sz w:val="24"/>
                <w:szCs w:val="24"/>
                <w:highlight w:val="none"/>
                <w:lang w:val="en-US" w:eastAsia="zh-CN"/>
              </w:rPr>
              <w:t>5</w:t>
            </w:r>
            <w:r>
              <w:rPr>
                <w:rFonts w:hint="eastAsia" w:ascii="Times New Roman"/>
                <w:color w:val="auto"/>
                <w:sz w:val="24"/>
                <w:szCs w:val="24"/>
                <w:highlight w:val="none"/>
              </w:rPr>
              <w:t>）健全各项制度，强化安全管理意识，加强用电设备及线路的检修和管理。</w:t>
            </w:r>
          </w:p>
          <w:p>
            <w:pPr>
              <w:pStyle w:val="12"/>
              <w:spacing w:line="480" w:lineRule="exact"/>
              <w:ind w:firstLine="480" w:firstLineChars="200"/>
              <w:rPr>
                <w:rFonts w:ascii="Times New Roman" w:cs="Times New Roman"/>
                <w:color w:val="auto"/>
                <w:sz w:val="24"/>
                <w:szCs w:val="24"/>
                <w:highlight w:val="none"/>
              </w:rPr>
            </w:pPr>
            <w:r>
              <w:rPr>
                <w:rFonts w:hint="eastAsia" w:cs="Times New Roman"/>
                <w:color w:val="auto"/>
                <w:sz w:val="24"/>
                <w:szCs w:val="24"/>
                <w:highlight w:val="none"/>
                <w:lang w:val="en-US" w:eastAsia="zh-CN"/>
              </w:rPr>
              <w:t>6</w:t>
            </w:r>
            <w:r>
              <w:rPr>
                <w:rFonts w:hint="eastAsia" w:ascii="Times New Roman"/>
                <w:color w:val="auto"/>
                <w:sz w:val="24"/>
                <w:szCs w:val="24"/>
                <w:highlight w:val="none"/>
              </w:rPr>
              <w:t>）严格按照消防安全部门要求，配置消防设施。</w:t>
            </w:r>
          </w:p>
          <w:p>
            <w:pPr>
              <w:pStyle w:val="12"/>
              <w:spacing w:line="480" w:lineRule="exact"/>
              <w:ind w:firstLine="480" w:firstLineChars="200"/>
              <w:rPr>
                <w:rFonts w:ascii="Times New Roman" w:cs="Times New Roman"/>
                <w:color w:val="auto"/>
                <w:sz w:val="24"/>
                <w:szCs w:val="24"/>
                <w:highlight w:val="none"/>
              </w:rPr>
            </w:pPr>
            <w:r>
              <w:rPr>
                <w:rFonts w:hint="eastAsia" w:ascii="Times New Roman"/>
                <w:color w:val="auto"/>
                <w:sz w:val="24"/>
                <w:szCs w:val="24"/>
                <w:highlight w:val="none"/>
              </w:rPr>
              <w:t>预计在采取以上措施后，可有效降低其发生的概率。</w:t>
            </w:r>
          </w:p>
          <w:p>
            <w:pPr>
              <w:pStyle w:val="12"/>
              <w:spacing w:line="480" w:lineRule="exact"/>
              <w:ind w:firstLine="482" w:firstLineChars="20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6.6 环境风险分析小结</w:t>
            </w:r>
          </w:p>
          <w:p>
            <w:pPr>
              <w:pStyle w:val="12"/>
              <w:spacing w:line="360" w:lineRule="auto"/>
              <w:ind w:firstLine="480" w:firstLineChars="200"/>
              <w:rPr>
                <w:rFonts w:ascii="Times New Roman" w:cs="Times New Roman"/>
                <w:color w:val="auto"/>
                <w:sz w:val="24"/>
                <w:szCs w:val="24"/>
                <w:highlight w:val="none"/>
              </w:rPr>
            </w:pPr>
            <w:r>
              <w:rPr>
                <w:rFonts w:hint="eastAsia" w:ascii="Times New Roman"/>
                <w:color w:val="auto"/>
                <w:sz w:val="24"/>
                <w:szCs w:val="24"/>
                <w:highlight w:val="none"/>
              </w:rPr>
              <w:t>本项目采用成熟可靠的生产工艺和设备，在设计中严格执行有关规范中的安全卫生条款，厂区严格执行安全防火措施和消防措施，正常情况下能够保证安全生产和达到工业企业设计卫生标准的要求。一旦发生事故，依靠装置内的安全防护设施和事故应急措施能及时控制事故，防止蔓延。因此，只要厂家严格遵守安全操作规程和制度，加强安全管理，项目生产是安全可靠的。</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vertAlign w:val="baseline"/>
                <w:lang w:val="en-US" w:eastAsia="zh-CN"/>
              </w:rPr>
              <w:t>7-</w:t>
            </w:r>
            <w:r>
              <w:rPr>
                <w:rFonts w:hint="eastAsia" w:cs="Times New Roman"/>
                <w:b/>
                <w:bCs/>
                <w:color w:val="auto"/>
                <w:sz w:val="21"/>
                <w:szCs w:val="21"/>
                <w:vertAlign w:val="baseline"/>
                <w:lang w:val="en-US" w:eastAsia="zh-CN"/>
              </w:rPr>
              <w:t>19</w:t>
            </w:r>
            <w:r>
              <w:rPr>
                <w:rFonts w:hint="default" w:ascii="Times New Roman" w:hAnsi="Times New Roman" w:eastAsia="宋体" w:cs="Times New Roman"/>
                <w:b/>
                <w:bCs/>
                <w:color w:val="auto"/>
                <w:sz w:val="21"/>
                <w:szCs w:val="21"/>
                <w:vertAlign w:val="baseline"/>
                <w:lang w:val="en-US" w:eastAsia="zh-CN"/>
              </w:rPr>
              <w:t xml:space="preserve"> 建设项目环境敏感特征表</w:t>
            </w:r>
          </w:p>
          <w:tbl>
            <w:tblPr>
              <w:tblStyle w:val="25"/>
              <w:tblW w:w="93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49"/>
              <w:gridCol w:w="972"/>
              <w:gridCol w:w="1249"/>
              <w:gridCol w:w="915"/>
              <w:gridCol w:w="35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49" w:type="dxa"/>
                  <w:tcBorders>
                    <w:tl2br w:val="nil"/>
                    <w:tr2bl w:val="nil"/>
                  </w:tcBorders>
                  <w:noWrap w:val="0"/>
                  <w:vAlign w:val="center"/>
                </w:tcPr>
                <w:p>
                  <w:pPr>
                    <w:pStyle w:val="32"/>
                    <w:jc w:val="center"/>
                    <w:rPr>
                      <w:rFonts w:hint="default" w:ascii="Times New Roman" w:hAnsi="Times New Roman" w:eastAsia="宋体" w:cs="Times New Roman"/>
                      <w:b/>
                      <w:bCs/>
                      <w:color w:val="auto"/>
                      <w:kern w:val="0"/>
                      <w:sz w:val="21"/>
                      <w:szCs w:val="21"/>
                      <w:highlight w:val="none"/>
                      <w:vertAlign w:val="baseline"/>
                      <w:lang w:eastAsia="zh-CN"/>
                    </w:rPr>
                  </w:pPr>
                  <w:r>
                    <w:rPr>
                      <w:rFonts w:hint="eastAsia" w:ascii="Times New Roman" w:hAnsi="Times New Roman" w:eastAsia="宋体" w:cs="Times New Roman"/>
                      <w:b/>
                      <w:bCs/>
                      <w:color w:val="auto"/>
                      <w:kern w:val="0"/>
                      <w:sz w:val="21"/>
                      <w:szCs w:val="21"/>
                      <w:highlight w:val="none"/>
                      <w:vertAlign w:val="baseline"/>
                      <w:lang w:eastAsia="zh-CN"/>
                    </w:rPr>
                    <w:t>建设项目名称</w:t>
                  </w:r>
                </w:p>
              </w:tc>
              <w:tc>
                <w:tcPr>
                  <w:tcW w:w="6643" w:type="dxa"/>
                  <w:gridSpan w:val="4"/>
                  <w:tcBorders>
                    <w:tl2br w:val="nil"/>
                    <w:tr2bl w:val="nil"/>
                  </w:tcBorders>
                  <w:noWrap w:val="0"/>
                  <w:vAlign w:val="center"/>
                </w:tcPr>
                <w:p>
                  <w:pPr>
                    <w:pStyle w:val="32"/>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cs="Times New Roman"/>
                      <w:b/>
                      <w:bCs/>
                      <w:color w:val="auto"/>
                      <w:kern w:val="0"/>
                      <w:sz w:val="21"/>
                      <w:szCs w:val="21"/>
                      <w:highlight w:val="none"/>
                      <w:vertAlign w:val="baseline"/>
                      <w:lang w:val="en-US" w:eastAsia="zh-CN"/>
                    </w:rPr>
                    <w:t>轧钢线工艺技术改造项目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49" w:type="dxa"/>
                  <w:tcBorders>
                    <w:tl2br w:val="nil"/>
                    <w:tr2bl w:val="nil"/>
                  </w:tcBorders>
                  <w:noWrap w:val="0"/>
                  <w:vAlign w:val="center"/>
                </w:tcPr>
                <w:p>
                  <w:pPr>
                    <w:pStyle w:val="32"/>
                    <w:jc w:val="center"/>
                    <w:rPr>
                      <w:rFonts w:hint="default" w:ascii="Times New Roman" w:hAnsi="Times New Roman" w:eastAsia="宋体" w:cs="Times New Roman"/>
                      <w:b/>
                      <w:bCs/>
                      <w:color w:val="auto"/>
                      <w:kern w:val="0"/>
                      <w:sz w:val="21"/>
                      <w:szCs w:val="21"/>
                      <w:highlight w:val="none"/>
                      <w:vertAlign w:val="baseline"/>
                      <w:lang w:eastAsia="zh-CN"/>
                    </w:rPr>
                  </w:pPr>
                  <w:r>
                    <w:rPr>
                      <w:rFonts w:hint="eastAsia" w:ascii="Times New Roman" w:hAnsi="Times New Roman" w:eastAsia="宋体" w:cs="Times New Roman"/>
                      <w:b/>
                      <w:bCs/>
                      <w:color w:val="auto"/>
                      <w:kern w:val="0"/>
                      <w:sz w:val="21"/>
                      <w:szCs w:val="21"/>
                      <w:highlight w:val="none"/>
                      <w:vertAlign w:val="baseline"/>
                      <w:lang w:eastAsia="zh-CN"/>
                    </w:rPr>
                    <w:t>建设地点</w:t>
                  </w:r>
                </w:p>
              </w:tc>
              <w:tc>
                <w:tcPr>
                  <w:tcW w:w="972" w:type="dxa"/>
                  <w:tcBorders>
                    <w:tl2br w:val="nil"/>
                    <w:tr2bl w:val="nil"/>
                  </w:tcBorders>
                  <w:noWrap w:val="0"/>
                  <w:vAlign w:val="center"/>
                </w:tcPr>
                <w:p>
                  <w:pPr>
                    <w:pStyle w:val="32"/>
                    <w:jc w:val="both"/>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hAnsi="Times New Roman" w:eastAsia="宋体" w:cs="Times New Roman"/>
                      <w:b w:val="0"/>
                      <w:bCs w:val="0"/>
                      <w:color w:val="auto"/>
                      <w:kern w:val="0"/>
                      <w:sz w:val="21"/>
                      <w:szCs w:val="21"/>
                      <w:highlight w:val="none"/>
                      <w:vertAlign w:val="baseline"/>
                      <w:lang w:eastAsia="zh-CN"/>
                    </w:rPr>
                    <w:t>山东省</w:t>
                  </w:r>
                </w:p>
              </w:tc>
              <w:tc>
                <w:tcPr>
                  <w:tcW w:w="1249" w:type="dxa"/>
                  <w:tcBorders>
                    <w:tl2br w:val="nil"/>
                    <w:tr2bl w:val="nil"/>
                  </w:tcBorders>
                  <w:noWrap w:val="0"/>
                  <w:vAlign w:val="center"/>
                </w:tcPr>
                <w:p>
                  <w:pPr>
                    <w:pStyle w:val="32"/>
                    <w:jc w:val="both"/>
                    <w:rPr>
                      <w:rFonts w:hint="eastAsia" w:ascii="Times New Roman" w:hAnsi="Times New Roman" w:eastAsia="宋体" w:cs="Times New Roman"/>
                      <w:b w:val="0"/>
                      <w:bCs w:val="0"/>
                      <w:color w:val="auto"/>
                      <w:kern w:val="0"/>
                      <w:sz w:val="21"/>
                      <w:szCs w:val="21"/>
                      <w:highlight w:val="none"/>
                      <w:vertAlign w:val="baseline"/>
                      <w:lang w:eastAsia="zh-CN"/>
                    </w:rPr>
                  </w:pPr>
                  <w:r>
                    <w:rPr>
                      <w:rFonts w:hint="eastAsia" w:ascii="Times New Roman" w:hAnsi="Times New Roman" w:eastAsia="宋体" w:cs="Times New Roman"/>
                      <w:b w:val="0"/>
                      <w:bCs w:val="0"/>
                      <w:color w:val="auto"/>
                      <w:kern w:val="0"/>
                      <w:sz w:val="21"/>
                      <w:szCs w:val="21"/>
                      <w:highlight w:val="none"/>
                      <w:vertAlign w:val="baseline"/>
                      <w:lang w:eastAsia="zh-CN"/>
                    </w:rPr>
                    <w:t>济南市</w:t>
                  </w:r>
                </w:p>
              </w:tc>
              <w:tc>
                <w:tcPr>
                  <w:tcW w:w="915" w:type="dxa"/>
                  <w:tcBorders>
                    <w:tl2br w:val="nil"/>
                    <w:tr2bl w:val="nil"/>
                  </w:tcBorders>
                  <w:noWrap w:val="0"/>
                  <w:vAlign w:val="center"/>
                </w:tcPr>
                <w:p>
                  <w:pPr>
                    <w:pStyle w:val="32"/>
                    <w:jc w:val="both"/>
                    <w:rPr>
                      <w:rFonts w:hint="eastAsia" w:ascii="Times New Roman" w:hAnsi="Times New Roman" w:eastAsia="宋体" w:cs="Times New Roman"/>
                      <w:b w:val="0"/>
                      <w:bCs w:val="0"/>
                      <w:color w:val="auto"/>
                      <w:kern w:val="0"/>
                      <w:sz w:val="21"/>
                      <w:szCs w:val="21"/>
                      <w:highlight w:val="none"/>
                      <w:vertAlign w:val="baseline"/>
                      <w:lang w:eastAsia="zh-CN"/>
                    </w:rPr>
                  </w:pPr>
                  <w:r>
                    <w:rPr>
                      <w:rFonts w:hint="eastAsia" w:ascii="Times New Roman" w:cs="Times New Roman"/>
                      <w:b w:val="0"/>
                      <w:bCs w:val="0"/>
                      <w:color w:val="auto"/>
                      <w:kern w:val="0"/>
                      <w:sz w:val="21"/>
                      <w:szCs w:val="21"/>
                      <w:highlight w:val="none"/>
                      <w:vertAlign w:val="baseline"/>
                      <w:lang w:eastAsia="zh-CN"/>
                    </w:rPr>
                    <w:t>钢城区</w:t>
                  </w:r>
                </w:p>
              </w:tc>
              <w:tc>
                <w:tcPr>
                  <w:tcW w:w="3507" w:type="dxa"/>
                  <w:tcBorders>
                    <w:tl2br w:val="nil"/>
                    <w:tr2bl w:val="nil"/>
                  </w:tcBorders>
                  <w:noWrap w:val="0"/>
                  <w:vAlign w:val="center"/>
                </w:tcPr>
                <w:p>
                  <w:pPr>
                    <w:pStyle w:val="32"/>
                    <w:jc w:val="both"/>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cs="Times New Roman"/>
                      <w:b w:val="0"/>
                      <w:bCs w:val="0"/>
                      <w:color w:val="auto"/>
                      <w:kern w:val="0"/>
                      <w:sz w:val="21"/>
                      <w:szCs w:val="21"/>
                      <w:highlight w:val="none"/>
                      <w:vertAlign w:val="baseline"/>
                      <w:lang w:val="en-US" w:eastAsia="zh-CN"/>
                    </w:rPr>
                    <w:t>里辛街道北赵村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49" w:type="dxa"/>
                  <w:tcBorders>
                    <w:tl2br w:val="nil"/>
                    <w:tr2bl w:val="nil"/>
                  </w:tcBorders>
                  <w:noWrap w:val="0"/>
                  <w:vAlign w:val="center"/>
                </w:tcPr>
                <w:p>
                  <w:pPr>
                    <w:pStyle w:val="32"/>
                    <w:jc w:val="center"/>
                    <w:rPr>
                      <w:rFonts w:hint="default" w:ascii="Times New Roman" w:hAnsi="Times New Roman" w:eastAsia="宋体" w:cs="Times New Roman"/>
                      <w:b/>
                      <w:bCs/>
                      <w:color w:val="auto"/>
                      <w:kern w:val="0"/>
                      <w:sz w:val="21"/>
                      <w:szCs w:val="21"/>
                      <w:highlight w:val="none"/>
                      <w:vertAlign w:val="baseline"/>
                      <w:lang w:eastAsia="zh-CN"/>
                    </w:rPr>
                  </w:pPr>
                  <w:r>
                    <w:rPr>
                      <w:rFonts w:hint="eastAsia" w:ascii="Times New Roman" w:hAnsi="Times New Roman" w:eastAsia="宋体" w:cs="Times New Roman"/>
                      <w:b/>
                      <w:bCs/>
                      <w:color w:val="auto"/>
                      <w:kern w:val="0"/>
                      <w:sz w:val="21"/>
                      <w:szCs w:val="21"/>
                      <w:highlight w:val="none"/>
                      <w:vertAlign w:val="baseline"/>
                      <w:lang w:eastAsia="zh-CN"/>
                    </w:rPr>
                    <w:t>地理坐标</w:t>
                  </w:r>
                </w:p>
              </w:tc>
              <w:tc>
                <w:tcPr>
                  <w:tcW w:w="972" w:type="dxa"/>
                  <w:tcBorders>
                    <w:tl2br w:val="nil"/>
                    <w:tr2bl w:val="nil"/>
                  </w:tcBorders>
                  <w:noWrap w:val="0"/>
                  <w:vAlign w:val="center"/>
                </w:tcPr>
                <w:p>
                  <w:pPr>
                    <w:pStyle w:val="32"/>
                    <w:jc w:val="both"/>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hAnsi="Times New Roman" w:eastAsia="宋体" w:cs="Times New Roman"/>
                      <w:b w:val="0"/>
                      <w:bCs w:val="0"/>
                      <w:color w:val="auto"/>
                      <w:kern w:val="0"/>
                      <w:sz w:val="21"/>
                      <w:szCs w:val="21"/>
                      <w:highlight w:val="none"/>
                      <w:vertAlign w:val="baseline"/>
                      <w:lang w:eastAsia="zh-CN"/>
                    </w:rPr>
                    <w:t>经度</w:t>
                  </w:r>
                </w:p>
              </w:tc>
              <w:tc>
                <w:tcPr>
                  <w:tcW w:w="1249" w:type="dxa"/>
                  <w:tcBorders>
                    <w:tl2br w:val="nil"/>
                    <w:tr2bl w:val="nil"/>
                  </w:tcBorders>
                  <w:noWrap w:val="0"/>
                  <w:vAlign w:val="center"/>
                </w:tcPr>
                <w:p>
                  <w:pPr>
                    <w:pStyle w:val="32"/>
                    <w:jc w:val="both"/>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cs="Times New Roman"/>
                      <w:b w:val="0"/>
                      <w:bCs w:val="0"/>
                      <w:color w:val="auto"/>
                      <w:kern w:val="0"/>
                      <w:sz w:val="21"/>
                      <w:szCs w:val="21"/>
                      <w:highlight w:val="none"/>
                      <w:vertAlign w:val="baseline"/>
                      <w:lang w:val="en-US" w:eastAsia="zh-CN"/>
                    </w:rPr>
                    <w:t>117.799°</w:t>
                  </w:r>
                </w:p>
              </w:tc>
              <w:tc>
                <w:tcPr>
                  <w:tcW w:w="915" w:type="dxa"/>
                  <w:tcBorders>
                    <w:tl2br w:val="nil"/>
                    <w:tr2bl w:val="nil"/>
                  </w:tcBorders>
                  <w:noWrap w:val="0"/>
                  <w:vAlign w:val="center"/>
                </w:tcPr>
                <w:p>
                  <w:pPr>
                    <w:pStyle w:val="32"/>
                    <w:jc w:val="both"/>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hAnsi="Times New Roman" w:eastAsia="宋体" w:cs="Times New Roman"/>
                      <w:b w:val="0"/>
                      <w:bCs w:val="0"/>
                      <w:color w:val="auto"/>
                      <w:kern w:val="0"/>
                      <w:sz w:val="21"/>
                      <w:szCs w:val="21"/>
                      <w:highlight w:val="none"/>
                      <w:vertAlign w:val="baseline"/>
                      <w:lang w:eastAsia="zh-CN"/>
                    </w:rPr>
                    <w:t>纬度</w:t>
                  </w:r>
                </w:p>
              </w:tc>
              <w:tc>
                <w:tcPr>
                  <w:tcW w:w="3507" w:type="dxa"/>
                  <w:tcBorders>
                    <w:tl2br w:val="nil"/>
                    <w:tr2bl w:val="nil"/>
                  </w:tcBorders>
                  <w:noWrap w:val="0"/>
                  <w:vAlign w:val="center"/>
                </w:tcPr>
                <w:p>
                  <w:pPr>
                    <w:pStyle w:val="32"/>
                    <w:jc w:val="both"/>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cs="Times New Roman"/>
                      <w:b w:val="0"/>
                      <w:bCs w:val="0"/>
                      <w:color w:val="auto"/>
                      <w:kern w:val="0"/>
                      <w:sz w:val="21"/>
                      <w:szCs w:val="21"/>
                      <w:highlight w:val="none"/>
                      <w:vertAlign w:val="baseline"/>
                      <w:lang w:val="en-US" w:eastAsia="zh-CN"/>
                    </w:rPr>
                    <w:t>36.096°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49" w:type="dxa"/>
                  <w:tcBorders>
                    <w:tl2br w:val="nil"/>
                    <w:tr2bl w:val="nil"/>
                  </w:tcBorders>
                  <w:noWrap w:val="0"/>
                  <w:vAlign w:val="center"/>
                </w:tcPr>
                <w:p>
                  <w:pPr>
                    <w:pStyle w:val="32"/>
                    <w:jc w:val="center"/>
                    <w:rPr>
                      <w:rFonts w:hint="default" w:ascii="Times New Roman" w:hAnsi="Times New Roman" w:eastAsia="宋体" w:cs="Times New Roman"/>
                      <w:b/>
                      <w:bCs/>
                      <w:color w:val="auto"/>
                      <w:kern w:val="0"/>
                      <w:sz w:val="21"/>
                      <w:szCs w:val="21"/>
                      <w:highlight w:val="none"/>
                      <w:vertAlign w:val="baseline"/>
                      <w:lang w:eastAsia="zh-CN"/>
                    </w:rPr>
                  </w:pPr>
                  <w:r>
                    <w:rPr>
                      <w:rFonts w:hint="eastAsia" w:ascii="Times New Roman" w:hAnsi="Times New Roman" w:eastAsia="宋体" w:cs="Times New Roman"/>
                      <w:b/>
                      <w:bCs/>
                      <w:color w:val="auto"/>
                      <w:kern w:val="0"/>
                      <w:sz w:val="21"/>
                      <w:szCs w:val="21"/>
                      <w:highlight w:val="none"/>
                      <w:vertAlign w:val="baseline"/>
                      <w:lang w:eastAsia="zh-CN"/>
                    </w:rPr>
                    <w:t>主要危险物质及分布</w:t>
                  </w:r>
                </w:p>
              </w:tc>
              <w:tc>
                <w:tcPr>
                  <w:tcW w:w="6643" w:type="dxa"/>
                  <w:gridSpan w:val="4"/>
                  <w:tcBorders>
                    <w:tl2br w:val="nil"/>
                    <w:tr2bl w:val="nil"/>
                  </w:tcBorders>
                  <w:noWrap w:val="0"/>
                  <w:vAlign w:val="center"/>
                </w:tcPr>
                <w:p>
                  <w:pPr>
                    <w:pStyle w:val="32"/>
                    <w:jc w:val="both"/>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cs="Times New Roman"/>
                      <w:b w:val="0"/>
                      <w:bCs w:val="0"/>
                      <w:color w:val="auto"/>
                      <w:kern w:val="0"/>
                      <w:sz w:val="21"/>
                      <w:szCs w:val="21"/>
                      <w:highlight w:val="none"/>
                      <w:vertAlign w:val="baseline"/>
                      <w:lang w:val="en-US" w:eastAsia="zh-CN"/>
                    </w:rPr>
                    <w:t>焦炉煤气/管道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49" w:type="dxa"/>
                  <w:tcBorders>
                    <w:tl2br w:val="nil"/>
                    <w:tr2bl w:val="nil"/>
                  </w:tcBorders>
                  <w:noWrap w:val="0"/>
                  <w:vAlign w:val="center"/>
                </w:tcPr>
                <w:p>
                  <w:pPr>
                    <w:pStyle w:val="32"/>
                    <w:jc w:val="center"/>
                    <w:rPr>
                      <w:rFonts w:hint="default" w:ascii="Times New Roman" w:hAnsi="Times New Roman" w:eastAsia="宋体" w:cs="Times New Roman"/>
                      <w:b/>
                      <w:bCs/>
                      <w:color w:val="auto"/>
                      <w:kern w:val="0"/>
                      <w:sz w:val="21"/>
                      <w:szCs w:val="21"/>
                      <w:highlight w:val="none"/>
                      <w:vertAlign w:val="baseline"/>
                      <w:lang w:eastAsia="zh-CN"/>
                    </w:rPr>
                  </w:pPr>
                  <w:r>
                    <w:rPr>
                      <w:rFonts w:hint="eastAsia" w:ascii="Times New Roman" w:hAnsi="Times New Roman" w:eastAsia="宋体" w:cs="Times New Roman"/>
                      <w:b/>
                      <w:bCs/>
                      <w:color w:val="auto"/>
                      <w:kern w:val="0"/>
                      <w:sz w:val="21"/>
                      <w:szCs w:val="21"/>
                      <w:highlight w:val="none"/>
                      <w:vertAlign w:val="baseline"/>
                      <w:lang w:eastAsia="zh-CN"/>
                    </w:rPr>
                    <w:t>环境影响途径及危害后果</w:t>
                  </w:r>
                </w:p>
              </w:tc>
              <w:tc>
                <w:tcPr>
                  <w:tcW w:w="6643" w:type="dxa"/>
                  <w:gridSpan w:val="4"/>
                  <w:tcBorders>
                    <w:tl2br w:val="nil"/>
                    <w:tr2bl w:val="nil"/>
                  </w:tcBorders>
                  <w:noWrap w:val="0"/>
                  <w:vAlign w:val="center"/>
                </w:tcPr>
                <w:p>
                  <w:pPr>
                    <w:pStyle w:val="32"/>
                    <w:jc w:val="both"/>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cs="Times New Roman"/>
                      <w:b w:val="0"/>
                      <w:bCs w:val="0"/>
                      <w:color w:val="auto"/>
                      <w:kern w:val="0"/>
                      <w:sz w:val="21"/>
                      <w:szCs w:val="21"/>
                      <w:highlight w:val="none"/>
                      <w:vertAlign w:val="baseline"/>
                      <w:lang w:val="en-US" w:eastAsia="zh-CN"/>
                    </w:rPr>
                    <w:t>焦炉煤气泄露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49" w:type="dxa"/>
                  <w:tcBorders>
                    <w:tl2br w:val="nil"/>
                    <w:tr2bl w:val="nil"/>
                  </w:tcBorders>
                  <w:noWrap w:val="0"/>
                  <w:vAlign w:val="center"/>
                </w:tcPr>
                <w:p>
                  <w:pPr>
                    <w:pStyle w:val="32"/>
                    <w:jc w:val="center"/>
                    <w:rPr>
                      <w:rFonts w:hint="default" w:ascii="Times New Roman" w:hAnsi="Times New Roman" w:eastAsia="宋体" w:cs="Times New Roman"/>
                      <w:b/>
                      <w:bCs/>
                      <w:color w:val="auto"/>
                      <w:kern w:val="0"/>
                      <w:sz w:val="21"/>
                      <w:szCs w:val="21"/>
                      <w:highlight w:val="none"/>
                      <w:vertAlign w:val="baseline"/>
                      <w:lang w:eastAsia="zh-CN"/>
                    </w:rPr>
                  </w:pPr>
                  <w:r>
                    <w:rPr>
                      <w:rFonts w:hint="eastAsia" w:ascii="Times New Roman" w:hAnsi="Times New Roman" w:eastAsia="宋体" w:cs="Times New Roman"/>
                      <w:b/>
                      <w:bCs/>
                      <w:color w:val="auto"/>
                      <w:kern w:val="0"/>
                      <w:sz w:val="21"/>
                      <w:szCs w:val="21"/>
                      <w:highlight w:val="none"/>
                      <w:vertAlign w:val="baseline"/>
                      <w:lang w:eastAsia="zh-CN"/>
                    </w:rPr>
                    <w:t>风险防范措施要求</w:t>
                  </w:r>
                </w:p>
              </w:tc>
              <w:tc>
                <w:tcPr>
                  <w:tcW w:w="6643" w:type="dxa"/>
                  <w:gridSpan w:val="4"/>
                  <w:tcBorders>
                    <w:tl2br w:val="nil"/>
                    <w:tr2bl w:val="nil"/>
                  </w:tcBorders>
                  <w:noWrap w:val="0"/>
                  <w:vAlign w:val="center"/>
                </w:tcPr>
                <w:p>
                  <w:pPr>
                    <w:pStyle w:val="32"/>
                    <w:jc w:val="both"/>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eastAsia="zh-CN"/>
                    </w:rPr>
                    <w:t>1）</w:t>
                  </w:r>
                  <w:r>
                    <w:rPr>
                      <w:rFonts w:hint="eastAsia" w:ascii="Times New Roman" w:cs="Times New Roman"/>
                      <w:b w:val="0"/>
                      <w:bCs w:val="0"/>
                      <w:color w:val="auto"/>
                      <w:kern w:val="0"/>
                      <w:sz w:val="21"/>
                      <w:szCs w:val="21"/>
                      <w:highlight w:val="none"/>
                      <w:vertAlign w:val="baseline"/>
                      <w:lang w:val="en-US" w:eastAsia="zh-CN"/>
                    </w:rPr>
                    <w:t>车间</w:t>
                  </w:r>
                  <w:r>
                    <w:rPr>
                      <w:rFonts w:hint="default" w:ascii="Times New Roman" w:hAnsi="Times New Roman" w:eastAsia="宋体" w:cs="Times New Roman"/>
                      <w:b w:val="0"/>
                      <w:bCs w:val="0"/>
                      <w:color w:val="auto"/>
                      <w:kern w:val="0"/>
                      <w:sz w:val="21"/>
                      <w:szCs w:val="21"/>
                      <w:highlight w:val="none"/>
                      <w:vertAlign w:val="baseline"/>
                      <w:lang w:eastAsia="zh-CN"/>
                    </w:rPr>
                    <w:t>设置通风装置，在生产过程中，对密封点经常检查，防止有毒有害物的泄漏。</w:t>
                  </w:r>
                </w:p>
                <w:p>
                  <w:pPr>
                    <w:pStyle w:val="32"/>
                    <w:jc w:val="both"/>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cs="Times New Roman"/>
                      <w:b w:val="0"/>
                      <w:bCs w:val="0"/>
                      <w:color w:val="auto"/>
                      <w:kern w:val="0"/>
                      <w:sz w:val="21"/>
                      <w:szCs w:val="21"/>
                      <w:highlight w:val="none"/>
                      <w:vertAlign w:val="baseline"/>
                      <w:lang w:val="en-US" w:eastAsia="zh-CN"/>
                    </w:rPr>
                    <w:t>2</w:t>
                  </w:r>
                  <w:r>
                    <w:rPr>
                      <w:rFonts w:hint="default" w:ascii="Times New Roman" w:hAnsi="Times New Roman" w:eastAsia="宋体" w:cs="Times New Roman"/>
                      <w:b w:val="0"/>
                      <w:bCs w:val="0"/>
                      <w:color w:val="auto"/>
                      <w:kern w:val="0"/>
                      <w:sz w:val="21"/>
                      <w:szCs w:val="21"/>
                      <w:highlight w:val="none"/>
                      <w:vertAlign w:val="baseline"/>
                      <w:lang w:eastAsia="zh-CN"/>
                    </w:rPr>
                    <w:t>）爆炸危险区域的电气设备选用隔爆型，并可靠接地。所有电气设备的选择均能满足装置的防爆要求。</w:t>
                  </w:r>
                </w:p>
                <w:p>
                  <w:pPr>
                    <w:pStyle w:val="32"/>
                    <w:jc w:val="both"/>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cs="Times New Roman"/>
                      <w:b w:val="0"/>
                      <w:bCs w:val="0"/>
                      <w:color w:val="auto"/>
                      <w:kern w:val="0"/>
                      <w:sz w:val="21"/>
                      <w:szCs w:val="21"/>
                      <w:highlight w:val="none"/>
                      <w:vertAlign w:val="baseline"/>
                      <w:lang w:val="en-US" w:eastAsia="zh-CN"/>
                    </w:rPr>
                    <w:t>3</w:t>
                  </w:r>
                  <w:r>
                    <w:rPr>
                      <w:rFonts w:hint="default" w:ascii="Times New Roman" w:hAnsi="Times New Roman" w:eastAsia="宋体" w:cs="Times New Roman"/>
                      <w:b w:val="0"/>
                      <w:bCs w:val="0"/>
                      <w:color w:val="auto"/>
                      <w:kern w:val="0"/>
                      <w:sz w:val="21"/>
                      <w:szCs w:val="21"/>
                      <w:highlight w:val="none"/>
                      <w:vertAlign w:val="baseline"/>
                      <w:lang w:eastAsia="zh-CN"/>
                    </w:rPr>
                    <w:t>）成立专门的责任机构，保证事故发生时组织相关力量及时控制事故的危害，在第一时间，有序有效地控制事故污染，把事故危害减小到最少。</w:t>
                  </w:r>
                </w:p>
                <w:p>
                  <w:pPr>
                    <w:pStyle w:val="32"/>
                    <w:jc w:val="both"/>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cs="Times New Roman"/>
                      <w:b w:val="0"/>
                      <w:bCs w:val="0"/>
                      <w:color w:val="auto"/>
                      <w:kern w:val="0"/>
                      <w:sz w:val="21"/>
                      <w:szCs w:val="21"/>
                      <w:highlight w:val="none"/>
                      <w:vertAlign w:val="baseline"/>
                      <w:lang w:val="en-US" w:eastAsia="zh-CN"/>
                    </w:rPr>
                    <w:t>4</w:t>
                  </w:r>
                  <w:r>
                    <w:rPr>
                      <w:rFonts w:hint="default" w:ascii="Times New Roman" w:hAnsi="Times New Roman" w:eastAsia="宋体" w:cs="Times New Roman"/>
                      <w:b w:val="0"/>
                      <w:bCs w:val="0"/>
                      <w:color w:val="auto"/>
                      <w:kern w:val="0"/>
                      <w:sz w:val="21"/>
                      <w:szCs w:val="21"/>
                      <w:highlight w:val="none"/>
                      <w:vertAlign w:val="baseline"/>
                      <w:lang w:eastAsia="zh-CN"/>
                    </w:rPr>
                    <w:t>）健全各项制度，强化安全管理意识，加强用电设备及线路的检修和管理。</w:t>
                  </w:r>
                </w:p>
                <w:p>
                  <w:pPr>
                    <w:pStyle w:val="32"/>
                    <w:jc w:val="both"/>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cs="Times New Roman"/>
                      <w:b w:val="0"/>
                      <w:bCs w:val="0"/>
                      <w:color w:val="auto"/>
                      <w:kern w:val="0"/>
                      <w:sz w:val="21"/>
                      <w:szCs w:val="21"/>
                      <w:highlight w:val="none"/>
                      <w:vertAlign w:val="baseline"/>
                      <w:lang w:val="en-US" w:eastAsia="zh-CN"/>
                    </w:rPr>
                    <w:t>5</w:t>
                  </w:r>
                  <w:r>
                    <w:rPr>
                      <w:rFonts w:hint="default" w:ascii="Times New Roman" w:hAnsi="Times New Roman" w:eastAsia="宋体" w:cs="Times New Roman"/>
                      <w:b w:val="0"/>
                      <w:bCs w:val="0"/>
                      <w:color w:val="auto"/>
                      <w:kern w:val="0"/>
                      <w:sz w:val="21"/>
                      <w:szCs w:val="21"/>
                      <w:highlight w:val="none"/>
                      <w:vertAlign w:val="baseline"/>
                      <w:lang w:eastAsia="zh-CN"/>
                    </w:rPr>
                    <w:t>）严格按照消防安全部门要求，配置消防设施。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92" w:type="dxa"/>
                  <w:gridSpan w:val="5"/>
                  <w:tcBorders>
                    <w:tl2br w:val="nil"/>
                    <w:tr2bl w:val="nil"/>
                  </w:tcBorders>
                  <w:noWrap w:val="0"/>
                  <w:vAlign w:val="center"/>
                </w:tcPr>
                <w:p>
                  <w:pPr>
                    <w:pStyle w:val="32"/>
                    <w:jc w:val="both"/>
                    <w:rPr>
                      <w:rFonts w:hint="default" w:ascii="Times New Roman" w:hAnsi="Times New Roman" w:eastAsia="宋体" w:cs="Times New Roman"/>
                      <w:b/>
                      <w:bCs/>
                      <w:color w:val="auto"/>
                      <w:kern w:val="0"/>
                      <w:sz w:val="21"/>
                      <w:szCs w:val="21"/>
                      <w:highlight w:val="none"/>
                      <w:vertAlign w:val="baseline"/>
                      <w:lang w:eastAsia="zh-CN"/>
                    </w:rPr>
                  </w:pPr>
                  <w:r>
                    <w:rPr>
                      <w:rFonts w:hint="eastAsia" w:ascii="Times New Roman" w:hAnsi="Times New Roman" w:eastAsia="宋体" w:cs="Times New Roman"/>
                      <w:b/>
                      <w:bCs/>
                      <w:color w:val="auto"/>
                      <w:kern w:val="0"/>
                      <w:sz w:val="21"/>
                      <w:szCs w:val="21"/>
                      <w:highlight w:val="none"/>
                      <w:vertAlign w:val="baseline"/>
                      <w:lang w:eastAsia="zh-CN"/>
                    </w:rPr>
                    <w:t>填表说明：无</w:t>
                  </w:r>
                </w:p>
              </w:tc>
            </w:tr>
          </w:tbl>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7</w:t>
            </w:r>
            <w:r>
              <w:rPr>
                <w:rFonts w:hint="default" w:ascii="Times New Roman" w:hAnsi="Times New Roman" w:cs="Times New Roman"/>
                <w:b/>
                <w:bCs/>
                <w:color w:val="auto"/>
                <w:sz w:val="24"/>
                <w:lang w:val="en-US" w:eastAsia="zh-CN"/>
              </w:rPr>
              <w:t>、总量控制</w:t>
            </w:r>
          </w:p>
          <w:p>
            <w:pPr>
              <w:spacing w:line="360" w:lineRule="auto"/>
              <w:ind w:firstLine="480" w:firstLineChars="200"/>
              <w:jc w:val="both"/>
              <w:rPr>
                <w:rFonts w:hint="default" w:ascii="Times New Roman" w:hAnsi="Times New Roman" w:eastAsia="宋体" w:cs="Times New Roman"/>
                <w:snapToGrid w:val="0"/>
                <w:color w:val="auto"/>
                <w:kern w:val="0"/>
                <w:sz w:val="24"/>
                <w:highlight w:val="none"/>
                <w:lang w:eastAsia="zh-CN"/>
              </w:rPr>
            </w:pPr>
            <w:r>
              <w:rPr>
                <w:rFonts w:hint="eastAsia" w:cs="Times New Roman"/>
                <w:snapToGrid w:val="0"/>
                <w:color w:val="auto"/>
                <w:kern w:val="0"/>
                <w:sz w:val="24"/>
                <w:szCs w:val="24"/>
                <w:lang w:val="en-US" w:eastAsia="zh-CN"/>
              </w:rPr>
              <w:t>项目生产废水循环使用不外排，生活污水经自建地埋式污</w:t>
            </w:r>
            <w:r>
              <w:rPr>
                <w:rFonts w:hint="eastAsia" w:cs="Times New Roman"/>
                <w:snapToGrid w:val="0"/>
                <w:color w:val="auto"/>
                <w:kern w:val="0"/>
                <w:sz w:val="24"/>
                <w:szCs w:val="24"/>
                <w:highlight w:val="none"/>
                <w:lang w:val="en-US" w:eastAsia="zh-CN"/>
              </w:rPr>
              <w:t>水处理设施处理后回用，不外排；</w:t>
            </w:r>
            <w:r>
              <w:rPr>
                <w:rFonts w:hint="eastAsia" w:cs="Times New Roman"/>
                <w:color w:val="auto"/>
                <w:sz w:val="24"/>
                <w:szCs w:val="32"/>
                <w:highlight w:val="none"/>
                <w:vertAlign w:val="baseline"/>
                <w:lang w:val="en-US" w:eastAsia="zh-CN"/>
              </w:rPr>
              <w:t>项目采用莱钢集团焦炉煤气作为燃料，根据核算，项目排放氮氧化物2.07t/a，二氧化硫0.61t/a，颗粒物0.4642t/a。</w:t>
            </w:r>
            <w:r>
              <w:rPr>
                <w:rFonts w:hint="default" w:ascii="Times New Roman" w:hAnsi="Times New Roman" w:cs="Times New Roman"/>
                <w:color w:val="auto"/>
                <w:sz w:val="24"/>
                <w:highlight w:val="none"/>
                <w:lang w:eastAsia="zh-CN"/>
              </w:rPr>
              <w:t>根据《关于印发山东省建设项目主要大气污染物排放总量替代指标核算及管理办法的通知》（鲁环发〔2019〕132号）要求，本项目需申请总量</w:t>
            </w:r>
            <w:r>
              <w:rPr>
                <w:rFonts w:hint="eastAsia" w:cs="Times New Roman"/>
                <w:color w:val="auto"/>
                <w:sz w:val="24"/>
                <w:szCs w:val="32"/>
                <w:highlight w:val="none"/>
                <w:vertAlign w:val="baseline"/>
                <w:lang w:val="en-US" w:eastAsia="zh-CN"/>
              </w:rPr>
              <w:t>氮氧化物2.07t/a，二氧化硫0.61t/a，颗粒物0.4642t/a</w:t>
            </w:r>
            <w:r>
              <w:rPr>
                <w:rFonts w:hint="eastAsia" w:cs="Times New Roman"/>
                <w:color w:val="auto"/>
                <w:sz w:val="24"/>
                <w:highlight w:val="none"/>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val="0"/>
                <w:color w:val="auto"/>
                <w:sz w:val="24"/>
                <w:highlight w:val="none"/>
                <w:lang w:val="en-US" w:eastAsia="zh-CN"/>
              </w:rPr>
            </w:pPr>
            <w:r>
              <w:rPr>
                <w:rFonts w:hint="eastAsia" w:cs="Times New Roman"/>
                <w:b/>
                <w:bCs/>
                <w:color w:val="auto"/>
                <w:kern w:val="2"/>
                <w:sz w:val="24"/>
                <w:szCs w:val="24"/>
                <w:lang w:val="en-US" w:eastAsia="zh-CN" w:bidi="ar-SA"/>
              </w:rPr>
              <w:t>8</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val="0"/>
                <w:color w:val="auto"/>
                <w:sz w:val="24"/>
                <w:highlight w:val="none"/>
                <w:lang w:val="en-US" w:eastAsia="zh-CN"/>
              </w:rPr>
              <w:t>环境管理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eastAsia"/>
                <w:color w:val="auto"/>
                <w:sz w:val="24"/>
                <w:szCs w:val="32"/>
              </w:rPr>
            </w:pPr>
            <w:bookmarkStart w:id="32" w:name="_Toc343089670"/>
            <w:r>
              <w:rPr>
                <w:rFonts w:hint="eastAsia"/>
                <w:color w:val="auto"/>
                <w:sz w:val="24"/>
                <w:szCs w:val="32"/>
              </w:rPr>
              <w:t>根据《固定污染源排污许可分类管理名录》（2019年版），本项目属“二十</w:t>
            </w:r>
            <w:r>
              <w:rPr>
                <w:rFonts w:hint="eastAsia"/>
                <w:color w:val="auto"/>
                <w:sz w:val="24"/>
                <w:szCs w:val="32"/>
                <w:lang w:eastAsia="zh-CN"/>
              </w:rPr>
              <w:t>六</w:t>
            </w:r>
            <w:r>
              <w:rPr>
                <w:rFonts w:hint="eastAsia"/>
                <w:color w:val="auto"/>
                <w:sz w:val="24"/>
                <w:szCs w:val="32"/>
              </w:rPr>
              <w:t>、</w:t>
            </w:r>
            <w:r>
              <w:rPr>
                <w:rFonts w:hint="eastAsia"/>
                <w:color w:val="auto"/>
                <w:sz w:val="24"/>
                <w:szCs w:val="32"/>
                <w:lang w:eastAsia="zh-CN"/>
              </w:rPr>
              <w:t>黑色金属冶炼和压延加工业</w:t>
            </w:r>
            <w:r>
              <w:rPr>
                <w:rFonts w:hint="eastAsia"/>
                <w:color w:val="auto"/>
                <w:sz w:val="24"/>
                <w:szCs w:val="32"/>
                <w:lang w:val="en-US" w:eastAsia="zh-CN"/>
              </w:rPr>
              <w:t xml:space="preserve"> 31</w:t>
            </w:r>
            <w:r>
              <w:rPr>
                <w:rFonts w:hint="eastAsia"/>
                <w:color w:val="auto"/>
                <w:sz w:val="24"/>
                <w:szCs w:val="32"/>
              </w:rPr>
              <w:t>”类，实行</w:t>
            </w:r>
            <w:r>
              <w:rPr>
                <w:rFonts w:hint="eastAsia"/>
                <w:color w:val="auto"/>
                <w:sz w:val="24"/>
                <w:szCs w:val="32"/>
                <w:lang w:eastAsia="zh-CN"/>
              </w:rPr>
              <w:t>简化</w:t>
            </w:r>
            <w:r>
              <w:rPr>
                <w:rFonts w:hint="eastAsia"/>
                <w:color w:val="auto"/>
                <w:sz w:val="24"/>
                <w:szCs w:val="32"/>
              </w:rPr>
              <w:t>管理。</w:t>
            </w:r>
            <w:r>
              <w:rPr>
                <w:rFonts w:hint="eastAsia"/>
                <w:color w:val="auto"/>
                <w:sz w:val="24"/>
                <w:szCs w:val="32"/>
                <w:lang w:eastAsia="zh-CN"/>
              </w:rPr>
              <w:t>项目已于</w:t>
            </w:r>
            <w:r>
              <w:rPr>
                <w:rFonts w:hint="eastAsia"/>
                <w:color w:val="auto"/>
                <w:sz w:val="24"/>
                <w:szCs w:val="32"/>
                <w:lang w:val="en-US" w:eastAsia="zh-CN"/>
              </w:rPr>
              <w:t>2020年4月14日</w:t>
            </w:r>
            <w:r>
              <w:rPr>
                <w:rFonts w:hint="eastAsia"/>
                <w:color w:val="auto"/>
                <w:sz w:val="24"/>
                <w:szCs w:val="32"/>
                <w:lang w:eastAsia="zh-CN"/>
              </w:rPr>
              <w:t>取得排污许可证，</w:t>
            </w:r>
            <w:r>
              <w:rPr>
                <w:rFonts w:hint="eastAsia" w:ascii="Times New Roman" w:hAnsi="Times New Roman" w:eastAsia="宋体" w:cs="Times New Roman"/>
                <w:color w:val="auto"/>
                <w:kern w:val="2"/>
                <w:sz w:val="24"/>
                <w:szCs w:val="32"/>
                <w:vertAlign w:val="baseline"/>
                <w:lang w:val="en-US" w:eastAsia="zh-CN" w:bidi="ar-SA"/>
              </w:rPr>
              <w:t>证书编号913712007582741520001R</w:t>
            </w:r>
            <w:r>
              <w:rPr>
                <w:rFonts w:hint="eastAsia" w:cs="Times New Roman"/>
                <w:color w:val="auto"/>
                <w:kern w:val="2"/>
                <w:sz w:val="24"/>
                <w:szCs w:val="32"/>
                <w:vertAlign w:val="baseline"/>
                <w:lang w:val="en-US" w:eastAsia="zh-CN" w:bidi="ar-SA"/>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8</w:t>
            </w:r>
            <w:r>
              <w:rPr>
                <w:rFonts w:hint="default" w:ascii="Times New Roman" w:hAnsi="Times New Roman" w:eastAsia="宋体" w:cs="Times New Roman"/>
                <w:b/>
                <w:bCs w:val="0"/>
                <w:color w:val="auto"/>
                <w:sz w:val="24"/>
                <w:highlight w:val="none"/>
                <w:lang w:val="en-US" w:eastAsia="zh-CN"/>
              </w:rPr>
              <w:t>.1环境监测计划</w:t>
            </w:r>
            <w:bookmarkEnd w:id="32"/>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企业应按照</w:t>
            </w:r>
            <w:r>
              <w:rPr>
                <w:rFonts w:hint="eastAsia" w:cs="Times New Roman"/>
                <w:color w:val="auto"/>
                <w:sz w:val="24"/>
                <w:highlight w:val="none"/>
                <w:lang w:eastAsia="zh-CN"/>
              </w:rPr>
              <w:t>取得的排污许可证、</w:t>
            </w:r>
            <w:r>
              <w:rPr>
                <w:rFonts w:hint="default" w:ascii="Times New Roman" w:hAnsi="Times New Roman" w:eastAsia="宋体" w:cs="Times New Roman"/>
                <w:b w:val="0"/>
                <w:color w:val="auto"/>
                <w:sz w:val="24"/>
                <w:highlight w:val="none"/>
                <w:lang w:eastAsia="zh-CN"/>
              </w:rPr>
              <w:t>《排污单位自行监测技术指南</w:t>
            </w:r>
            <w:r>
              <w:rPr>
                <w:rFonts w:hint="default" w:ascii="Times New Roman" w:hAnsi="Times New Roman" w:eastAsia="宋体" w:cs="Times New Roman"/>
                <w:b w:val="0"/>
                <w:color w:val="auto"/>
                <w:sz w:val="24"/>
                <w:highlight w:val="none"/>
                <w:lang w:val="en-US" w:eastAsia="zh-CN"/>
              </w:rPr>
              <w:t xml:space="preserve">  </w:t>
            </w:r>
            <w:r>
              <w:rPr>
                <w:rFonts w:hint="eastAsia" w:cs="Times New Roman"/>
                <w:b w:val="0"/>
                <w:color w:val="auto"/>
                <w:sz w:val="24"/>
                <w:highlight w:val="none"/>
                <w:lang w:val="en-US" w:eastAsia="zh-CN"/>
              </w:rPr>
              <w:t>钢铁工业及炼焦化学工业</w:t>
            </w:r>
            <w:r>
              <w:rPr>
                <w:rFonts w:hint="default" w:ascii="Times New Roman" w:hAnsi="Times New Roman" w:eastAsia="宋体" w:cs="Times New Roman"/>
                <w:b w:val="0"/>
                <w:color w:val="auto"/>
                <w:sz w:val="24"/>
                <w:highlight w:val="none"/>
                <w:lang w:val="en-US" w:eastAsia="zh-CN"/>
              </w:rPr>
              <w:t>》（HJ</w:t>
            </w:r>
            <w:r>
              <w:rPr>
                <w:rFonts w:hint="eastAsia" w:cs="Times New Roman"/>
                <w:b w:val="0"/>
                <w:color w:val="auto"/>
                <w:sz w:val="24"/>
                <w:highlight w:val="none"/>
                <w:lang w:val="en-US" w:eastAsia="zh-CN"/>
              </w:rPr>
              <w:t>878</w:t>
            </w:r>
            <w:r>
              <w:rPr>
                <w:rFonts w:hint="default" w:ascii="Times New Roman" w:hAnsi="Times New Roman" w:eastAsia="宋体" w:cs="Times New Roman"/>
                <w:b w:val="0"/>
                <w:color w:val="auto"/>
                <w:sz w:val="24"/>
                <w:highlight w:val="none"/>
                <w:lang w:val="en-US" w:eastAsia="zh-CN"/>
              </w:rPr>
              <w:t>-2017）及</w:t>
            </w:r>
            <w:r>
              <w:rPr>
                <w:rFonts w:hint="default" w:ascii="Times New Roman" w:hAnsi="Times New Roman" w:cs="Times New Roman"/>
                <w:color w:val="auto"/>
                <w:sz w:val="24"/>
                <w:highlight w:val="none"/>
              </w:rPr>
              <w:t>当地环保部门的要求，应做好</w:t>
            </w:r>
            <w:r>
              <w:rPr>
                <w:rFonts w:hint="default" w:ascii="Times New Roman" w:hAnsi="Times New Roman" w:cs="Times New Roman"/>
                <w:color w:val="auto"/>
                <w:sz w:val="24"/>
                <w:highlight w:val="none"/>
                <w:lang w:eastAsia="zh-CN"/>
              </w:rPr>
              <w:t>自行</w:t>
            </w:r>
            <w:r>
              <w:rPr>
                <w:rFonts w:hint="default" w:ascii="Times New Roman" w:hAnsi="Times New Roman" w:cs="Times New Roman"/>
                <w:color w:val="auto"/>
                <w:sz w:val="24"/>
                <w:highlight w:val="none"/>
              </w:rPr>
              <w:t>监测工作，具体监测内容可参考表</w:t>
            </w:r>
            <w:r>
              <w:rPr>
                <w:rFonts w:hint="default" w:ascii="Times New Roman" w:hAnsi="Times New Roman" w:cs="Times New Roman"/>
                <w:color w:val="auto"/>
                <w:sz w:val="24"/>
                <w:highlight w:val="none"/>
                <w:lang w:val="en-US" w:eastAsia="zh-CN"/>
              </w:rPr>
              <w:t>7-</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w:t>
            </w:r>
          </w:p>
          <w:p>
            <w:pPr>
              <w:spacing w:line="360" w:lineRule="auto"/>
              <w:jc w:val="center"/>
              <w:outlineLvl w:val="9"/>
              <w:rPr>
                <w:rFonts w:hint="default" w:ascii="Times New Roman" w:hAnsi="Times New Roman" w:eastAsia="宋体"/>
                <w:b/>
                <w:bCs w:val="0"/>
                <w:color w:val="auto"/>
                <w:sz w:val="21"/>
                <w:szCs w:val="21"/>
                <w:highlight w:val="none"/>
              </w:rPr>
            </w:pPr>
            <w:r>
              <w:rPr>
                <w:rFonts w:hint="default" w:ascii="Times New Roman" w:hAnsi="Times New Roman" w:eastAsia="宋体"/>
                <w:b/>
                <w:bCs w:val="0"/>
                <w:color w:val="auto"/>
                <w:sz w:val="21"/>
                <w:szCs w:val="21"/>
                <w:highlight w:val="none"/>
              </w:rPr>
              <w:t>表</w:t>
            </w:r>
            <w:r>
              <w:rPr>
                <w:rFonts w:hint="default" w:ascii="Times New Roman" w:hAnsi="Times New Roman" w:eastAsia="宋体"/>
                <w:b/>
                <w:bCs w:val="0"/>
                <w:color w:val="auto"/>
                <w:sz w:val="21"/>
                <w:szCs w:val="21"/>
                <w:highlight w:val="none"/>
                <w:lang w:val="en-US" w:eastAsia="zh-CN"/>
              </w:rPr>
              <w:t>7-</w:t>
            </w:r>
            <w:r>
              <w:rPr>
                <w:rFonts w:hint="eastAsia"/>
                <w:b/>
                <w:bCs w:val="0"/>
                <w:color w:val="auto"/>
                <w:sz w:val="21"/>
                <w:szCs w:val="21"/>
                <w:highlight w:val="none"/>
                <w:lang w:val="en-US" w:eastAsia="zh-CN"/>
              </w:rPr>
              <w:t xml:space="preserve">20 </w:t>
            </w:r>
            <w:r>
              <w:rPr>
                <w:rFonts w:hint="default" w:ascii="Times New Roman" w:hAnsi="Times New Roman" w:eastAsia="宋体"/>
                <w:b/>
                <w:bCs w:val="0"/>
                <w:color w:val="auto"/>
                <w:sz w:val="21"/>
                <w:szCs w:val="21"/>
                <w:highlight w:val="none"/>
                <w:lang w:val="en-US" w:eastAsia="zh-CN"/>
              </w:rPr>
              <w:t xml:space="preserve"> </w:t>
            </w:r>
            <w:r>
              <w:rPr>
                <w:rFonts w:hint="eastAsia" w:ascii="Times New Roman" w:hAnsi="Times New Roman" w:eastAsia="宋体"/>
                <w:b/>
                <w:bCs w:val="0"/>
                <w:color w:val="auto"/>
                <w:sz w:val="21"/>
                <w:szCs w:val="21"/>
                <w:highlight w:val="none"/>
                <w:lang w:val="en-US" w:eastAsia="zh-CN"/>
              </w:rPr>
              <w:t>项目</w:t>
            </w:r>
            <w:r>
              <w:rPr>
                <w:rFonts w:hint="default" w:ascii="Times New Roman" w:hAnsi="Times New Roman" w:eastAsia="宋体"/>
                <w:b/>
                <w:bCs w:val="0"/>
                <w:color w:val="auto"/>
                <w:sz w:val="21"/>
                <w:szCs w:val="21"/>
                <w:highlight w:val="none"/>
              </w:rPr>
              <w:t>污染源监测情况</w:t>
            </w:r>
          </w:p>
          <w:tbl>
            <w:tblPr>
              <w:tblStyle w:val="24"/>
              <w:tblW w:w="941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969"/>
              <w:gridCol w:w="2019"/>
              <w:gridCol w:w="3956"/>
              <w:gridCol w:w="247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969" w:type="dxa"/>
                  <w:tcBorders>
                    <w:tl2br w:val="nil"/>
                    <w:tr2bl w:val="nil"/>
                  </w:tcBorders>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w:t>
                  </w:r>
                </w:p>
              </w:tc>
              <w:tc>
                <w:tcPr>
                  <w:tcW w:w="2019" w:type="dxa"/>
                  <w:tcBorders>
                    <w:tl2br w:val="nil"/>
                    <w:tr2bl w:val="nil"/>
                  </w:tcBorders>
                  <w:noWrap w:val="0"/>
                  <w:vAlign w:val="center"/>
                </w:tcPr>
                <w:p>
                  <w:pPr>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监测</w:t>
                  </w:r>
                  <w:r>
                    <w:rPr>
                      <w:rFonts w:hint="default" w:ascii="Times New Roman" w:hAnsi="Times New Roman" w:cs="Times New Roman"/>
                      <w:b/>
                      <w:color w:val="auto"/>
                      <w:szCs w:val="21"/>
                      <w:highlight w:val="none"/>
                      <w:lang w:eastAsia="zh-CN"/>
                    </w:rPr>
                    <w:t>点位</w:t>
                  </w:r>
                </w:p>
              </w:tc>
              <w:tc>
                <w:tcPr>
                  <w:tcW w:w="3956" w:type="dxa"/>
                  <w:tcBorders>
                    <w:tl2br w:val="nil"/>
                    <w:tr2bl w:val="nil"/>
                  </w:tcBorders>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监测内容</w:t>
                  </w:r>
                </w:p>
              </w:tc>
              <w:tc>
                <w:tcPr>
                  <w:tcW w:w="2474" w:type="dxa"/>
                  <w:tcBorders>
                    <w:tl2br w:val="nil"/>
                    <w:tr2bl w:val="nil"/>
                  </w:tcBorders>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监测频率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112" w:hRule="atLeast"/>
                <w:jc w:val="center"/>
              </w:trPr>
              <w:tc>
                <w:tcPr>
                  <w:tcW w:w="969" w:type="dxa"/>
                  <w:tcBorders>
                    <w:tl2br w:val="nil"/>
                    <w:tr2bl w:val="nil"/>
                  </w:tcBorders>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废气</w:t>
                  </w:r>
                </w:p>
              </w:tc>
              <w:tc>
                <w:tcPr>
                  <w:tcW w:w="2019" w:type="dxa"/>
                  <w:tcBorders>
                    <w:tl2br w:val="nil"/>
                    <w:tr2bl w:val="nil"/>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排气筒</w:t>
                  </w:r>
                </w:p>
              </w:tc>
              <w:tc>
                <w:tcPr>
                  <w:tcW w:w="3956"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eastAsia="zh-CN"/>
                    </w:rPr>
                    <w:t>二氧化硫、</w:t>
                  </w:r>
                  <w:r>
                    <w:rPr>
                      <w:rFonts w:hint="eastAsia" w:cs="Times New Roman"/>
                      <w:color w:val="auto"/>
                      <w:szCs w:val="21"/>
                      <w:highlight w:val="none"/>
                      <w:lang w:eastAsia="zh-CN"/>
                    </w:rPr>
                    <w:t>氮氧化物、</w:t>
                  </w:r>
                  <w:r>
                    <w:rPr>
                      <w:rFonts w:hint="eastAsia" w:cs="Times New Roman"/>
                      <w:color w:val="auto"/>
                      <w:szCs w:val="21"/>
                      <w:highlight w:val="none"/>
                      <w:lang w:val="en-US" w:eastAsia="zh-CN"/>
                    </w:rPr>
                    <w:t>颗粒物、氨</w:t>
                  </w:r>
                </w:p>
              </w:tc>
              <w:tc>
                <w:tcPr>
                  <w:tcW w:w="2474" w:type="dxa"/>
                  <w:tcBorders>
                    <w:tl2br w:val="nil"/>
                    <w:tr2bl w:val="nil"/>
                  </w:tcBorders>
                  <w:noWrap w:val="0"/>
                  <w:vAlign w:val="center"/>
                </w:tcPr>
                <w:p>
                  <w:pPr>
                    <w:jc w:val="center"/>
                    <w:rPr>
                      <w:rFonts w:hint="eastAsia" w:ascii="Times New Roman" w:hAnsi="Times New Roman" w:cs="Times New Roman"/>
                      <w:color w:val="auto"/>
                      <w:szCs w:val="21"/>
                      <w:highlight w:val="none"/>
                      <w:lang w:eastAsia="zh-CN"/>
                    </w:rPr>
                  </w:pPr>
                  <w:r>
                    <w:rPr>
                      <w:rFonts w:hint="eastAsia" w:cs="Times New Roman"/>
                      <w:color w:val="auto"/>
                      <w:sz w:val="21"/>
                      <w:szCs w:val="21"/>
                      <w:highlight w:val="none"/>
                      <w:lang w:val="en-US" w:eastAsia="zh-CN"/>
                    </w:rPr>
                    <w:t>每</w:t>
                  </w:r>
                  <w:r>
                    <w:rPr>
                      <w:rFonts w:hint="eastAsia" w:cs="Times New Roman"/>
                      <w:color w:val="auto"/>
                      <w:sz w:val="21"/>
                      <w:szCs w:val="21"/>
                      <w:highlight w:val="none"/>
                      <w:lang w:eastAsia="zh-CN"/>
                    </w:rPr>
                    <w:t>季度</w:t>
                  </w:r>
                  <w:r>
                    <w:rPr>
                      <w:rFonts w:hint="default" w:ascii="Times New Roman" w:hAnsi="Times New Roman" w:cs="Times New Roman"/>
                      <w:color w:val="auto"/>
                      <w:sz w:val="21"/>
                      <w:szCs w:val="21"/>
                      <w:highlight w:val="none"/>
                      <w:lang w:eastAsia="zh-CN"/>
                    </w:rPr>
                    <w:t>监测一次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187" w:hRule="atLeast"/>
                <w:jc w:val="center"/>
              </w:trPr>
              <w:tc>
                <w:tcPr>
                  <w:tcW w:w="969" w:type="dxa"/>
                  <w:tcBorders>
                    <w:tl2br w:val="nil"/>
                    <w:tr2bl w:val="nil"/>
                  </w:tcBorders>
                  <w:noWrap w:val="0"/>
                  <w:vAlign w:val="center"/>
                </w:tcPr>
                <w:p>
                  <w:pPr>
                    <w:jc w:val="center"/>
                    <w:rPr>
                      <w:rFonts w:hint="eastAsia"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废气</w:t>
                  </w:r>
                </w:p>
              </w:tc>
              <w:tc>
                <w:tcPr>
                  <w:tcW w:w="2019" w:type="dxa"/>
                  <w:tcBorders>
                    <w:tl2br w:val="nil"/>
                    <w:tr2bl w:val="nil"/>
                  </w:tcBorders>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厂界</w:t>
                  </w:r>
                </w:p>
              </w:tc>
              <w:tc>
                <w:tcPr>
                  <w:tcW w:w="3956"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颗粒物</w:t>
                  </w:r>
                </w:p>
              </w:tc>
              <w:tc>
                <w:tcPr>
                  <w:tcW w:w="2474" w:type="dxa"/>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每年</w:t>
                  </w:r>
                  <w:r>
                    <w:rPr>
                      <w:rFonts w:hint="default" w:ascii="Times New Roman" w:hAnsi="Times New Roman" w:cs="Times New Roman"/>
                      <w:color w:val="auto"/>
                      <w:sz w:val="21"/>
                      <w:szCs w:val="21"/>
                      <w:highlight w:val="none"/>
                      <w:lang w:eastAsia="zh-CN"/>
                    </w:rPr>
                    <w:t>监测</w:t>
                  </w:r>
                  <w:r>
                    <w:rPr>
                      <w:rFonts w:hint="eastAsia" w:cs="Times New Roman"/>
                      <w:color w:val="auto"/>
                      <w:sz w:val="21"/>
                      <w:szCs w:val="21"/>
                      <w:highlight w:val="none"/>
                      <w:lang w:val="en-US" w:eastAsia="zh-CN"/>
                    </w:rPr>
                    <w:t>一次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969" w:type="dxa"/>
                  <w:tcBorders>
                    <w:tl2br w:val="nil"/>
                    <w:tr2bl w:val="nil"/>
                  </w:tcBorders>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噪声</w:t>
                  </w:r>
                </w:p>
              </w:tc>
              <w:tc>
                <w:tcPr>
                  <w:tcW w:w="2019" w:type="dxa"/>
                  <w:tcBorders>
                    <w:tl2br w:val="nil"/>
                    <w:tr2bl w:val="nil"/>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厂界外1米</w:t>
                  </w:r>
                </w:p>
              </w:tc>
              <w:tc>
                <w:tcPr>
                  <w:tcW w:w="3956" w:type="dxa"/>
                  <w:tcBorders>
                    <w:tl2br w:val="nil"/>
                    <w:tr2bl w:val="nil"/>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Leq（A）</w:t>
                  </w:r>
                </w:p>
              </w:tc>
              <w:tc>
                <w:tcPr>
                  <w:tcW w:w="2474" w:type="dxa"/>
                  <w:tcBorders>
                    <w:tl2br w:val="nil"/>
                    <w:tr2bl w:val="nil"/>
                  </w:tcBorders>
                  <w:noWrap w:val="0"/>
                  <w:vAlign w:val="center"/>
                </w:tcPr>
                <w:p>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每年监测一次</w:t>
                  </w:r>
                </w:p>
              </w:tc>
            </w:tr>
          </w:tbl>
          <w:p>
            <w:pPr>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为保证监测工作的顺利实施，必须根据国家规定对各污染源监测点进行规范化设计，以保证采样的方便、安全和准确，除以上监测内容外的监测指标应委托有资质的单位进行监测。</w:t>
            </w:r>
            <w:r>
              <w:rPr>
                <w:rFonts w:hint="default" w:ascii="Times New Roman" w:hAnsi="Times New Roman" w:cs="Times New Roman"/>
                <w:color w:val="auto"/>
                <w:sz w:val="24"/>
                <w:highlight w:val="none"/>
                <w:lang w:eastAsia="zh-CN"/>
              </w:rPr>
              <w:t>并按照</w:t>
            </w:r>
            <w:r>
              <w:rPr>
                <w:rFonts w:hint="default" w:ascii="Times New Roman" w:hAnsi="Times New Roman" w:eastAsia="宋体" w:cs="Times New Roman"/>
                <w:b w:val="0"/>
                <w:color w:val="auto"/>
                <w:sz w:val="24"/>
                <w:highlight w:val="none"/>
                <w:lang w:eastAsia="zh-CN"/>
              </w:rPr>
              <w:t>《排污单位自行监测技术指南</w:t>
            </w:r>
            <w:r>
              <w:rPr>
                <w:rFonts w:hint="default" w:ascii="Times New Roman" w:hAnsi="Times New Roman" w:eastAsia="宋体" w:cs="Times New Roman"/>
                <w:b w:val="0"/>
                <w:color w:val="auto"/>
                <w:sz w:val="24"/>
                <w:highlight w:val="none"/>
                <w:lang w:val="en-US" w:eastAsia="zh-CN"/>
              </w:rPr>
              <w:t xml:space="preserve">  </w:t>
            </w:r>
            <w:r>
              <w:rPr>
                <w:rFonts w:hint="eastAsia" w:cs="Times New Roman"/>
                <w:b w:val="0"/>
                <w:color w:val="auto"/>
                <w:sz w:val="24"/>
                <w:highlight w:val="none"/>
                <w:lang w:val="en-US" w:eastAsia="zh-CN"/>
              </w:rPr>
              <w:t>钢铁工业及炼焦化学工业</w:t>
            </w:r>
            <w:r>
              <w:rPr>
                <w:rFonts w:hint="default" w:ascii="Times New Roman" w:hAnsi="Times New Roman" w:eastAsia="宋体" w:cs="Times New Roman"/>
                <w:b w:val="0"/>
                <w:color w:val="auto"/>
                <w:sz w:val="24"/>
                <w:highlight w:val="none"/>
                <w:lang w:val="en-US" w:eastAsia="zh-CN"/>
              </w:rPr>
              <w:t>》（HJ</w:t>
            </w:r>
            <w:r>
              <w:rPr>
                <w:rFonts w:hint="eastAsia" w:cs="Times New Roman"/>
                <w:b w:val="0"/>
                <w:color w:val="auto"/>
                <w:sz w:val="24"/>
                <w:highlight w:val="none"/>
                <w:lang w:val="en-US" w:eastAsia="zh-CN"/>
              </w:rPr>
              <w:t>878</w:t>
            </w:r>
            <w:r>
              <w:rPr>
                <w:rFonts w:hint="default" w:ascii="Times New Roman" w:hAnsi="Times New Roman" w:eastAsia="宋体" w:cs="Times New Roman"/>
                <w:b w:val="0"/>
                <w:color w:val="auto"/>
                <w:sz w:val="24"/>
                <w:highlight w:val="none"/>
                <w:lang w:val="en-US" w:eastAsia="zh-CN"/>
              </w:rPr>
              <w:t>-2017）要求进行信息公开。</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auto"/>
                <w:sz w:val="24"/>
                <w:highlight w:val="none"/>
                <w:lang w:val="en-US" w:eastAsia="zh-CN"/>
              </w:rPr>
            </w:pPr>
            <w:bookmarkStart w:id="33" w:name="_Toc343089671"/>
            <w:r>
              <w:rPr>
                <w:rFonts w:hint="eastAsia" w:cs="Times New Roman"/>
                <w:b/>
                <w:bCs w:val="0"/>
                <w:color w:val="auto"/>
                <w:sz w:val="24"/>
                <w:highlight w:val="none"/>
                <w:lang w:val="en-US" w:eastAsia="zh-CN"/>
              </w:rPr>
              <w:t>8</w:t>
            </w:r>
            <w:r>
              <w:rPr>
                <w:rFonts w:hint="default" w:ascii="Times New Roman" w:hAnsi="Times New Roman" w:eastAsia="宋体" w:cs="Times New Roman"/>
                <w:b/>
                <w:bCs w:val="0"/>
                <w:color w:val="auto"/>
                <w:sz w:val="24"/>
                <w:highlight w:val="none"/>
                <w:lang w:val="en-US" w:eastAsia="zh-CN"/>
              </w:rPr>
              <w:t>.2监测分析方法</w:t>
            </w:r>
            <w:bookmarkEnd w:id="33"/>
          </w:p>
          <w:p>
            <w:pPr>
              <w:tabs>
                <w:tab w:val="left" w:pos="2160"/>
              </w:tabs>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监测方法和采用方法执行《环境监测技术规范》、《环境监测分析方法》、《污染源统一监测方法》以及《环境空气质量标准》、《地表水环境质量标准》的有关章节中的监测分析方法的有关规定。</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8</w:t>
            </w:r>
            <w:r>
              <w:rPr>
                <w:rFonts w:hint="default" w:ascii="Times New Roman" w:hAnsi="Times New Roman" w:eastAsia="宋体" w:cs="Times New Roman"/>
                <w:b/>
                <w:bCs w:val="0"/>
                <w:color w:val="auto"/>
                <w:sz w:val="24"/>
                <w:highlight w:val="none"/>
                <w:lang w:val="en-US" w:eastAsia="zh-CN"/>
              </w:rPr>
              <w:t>.3监测能力</w:t>
            </w:r>
          </w:p>
          <w:p>
            <w:pPr>
              <w:tabs>
                <w:tab w:val="left" w:pos="2160"/>
              </w:tabs>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厂区目前没有环境分析化验室，不具备环境监测能力，建设单位可根据监测计划委托有资质的单位进行例行环境监测。</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8</w:t>
            </w:r>
            <w:r>
              <w:rPr>
                <w:rFonts w:hint="default" w:ascii="Times New Roman" w:hAnsi="Times New Roman" w:eastAsia="宋体" w:cs="Times New Roman"/>
                <w:b/>
                <w:bCs w:val="0"/>
                <w:color w:val="auto"/>
                <w:sz w:val="24"/>
                <w:highlight w:val="none"/>
                <w:lang w:val="en-US" w:eastAsia="zh-CN"/>
              </w:rPr>
              <w:t>.4监测口及采样平台要求</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建设单位应根据《排污单位自行监测技术指南 总则》（( HJ 819-201</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）、《固定污染源废气监测点位设置技术规范》（DB37/T3535-2019）预留专门的采样监测口和设置符合规范的采样平台，具体要求如下：</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监测断面及监测孔要求：</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（1）监测断面应设置在规则的圆形或矩形烟道上，应便于测试人员开展监测工作，应避开对测试人员操作有危险的场所。</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（2）对于输送高温或有毒有害气体的烟道，监测断面应设置在烟道的负压段；若负压段不满足设置要求，应在正压段设置带有闸板阀的密封监测孔。</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对于颗粒态污染物，监测断面优先设置在垂直管段，应避开烟道弯头和断面急剧变化的部位，设置在距弯头、阀门、变径管下游方向不小于4倍直径（或当量直径）和距上述部件上游方向不小于2倍直径（或当量直径）处。对矩形烟道，其当量直径D=2AB/(A+B)，式中A、B为边长。</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新建污染源监测断面的设置应满足（3）的要求。现有污染源监测断面的设置无法满足（3）的要求时，应选择监测断面前直管段长度大于监测断面后直管段长度的断面，并采取相应措施，确保监测断面废气分布相对均匀。</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（5）对于气态污染物，监测断面的设置可不受上述规定限制。如果同时测定排气流量，监测断面应按（3）和（4）的要求设置。</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（6）在选定的监测断面上开设监测孔，监测孔的内径应≥90mm。监测孔在不使用时应用盖板或管帽封闭，使用时应易打开。</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（7）烟道直径≤1m的圆形烟道，设置一个监测孔；烟道直径大于1m不大于4m的圆形烟道，设置相互垂直的两个监测孔；烟道直径&gt;4m的圆形烟道，设置相互垂直的4个监测孔。</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（8）矩形烟道根据监测断面面积划分，由测点数确定监测孔数，监测孔应设置在侧面烟道等面积小块的中心线上。当截面宽度≥4m时，应在烟道两侧开设监测孔。</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监测平台要求</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1.防护要求</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（1）距离坠落高度基准面0.5m以上的监测平台及通道的所有敞开边缘应设置防护栏杆，防护栏杆高度应≥1.2m。</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（2）检测平台的防护栏杆应设置踢脚板，踢脚板应采用不小于100m*2mm的钢板制造，其顶部在平台面之上高度应≥100mm，底部距平台面应≤10mm。</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（3）防护栏的设计载荷及制造安装应符合GB4053.3的要求。</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2.结构要求</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（1）监测平台应设置在监测孔的正下方1.2m~1.3m处，应永久、安全、便于监测及采样。</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（2）监测平台周围空间应保证测试人员正常方便操作监测设备或采样装置。</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监测平台可操作面积应≥2m2，单边长度应≥1.2m，且不小于监测断面直径（或当量直径）的1/3。若监测断面有多个监测孔且水平排列，则监测平台区域应涵盖所有监测孔；若监测断面有多个监测孔且竖直排列，则应设置多层监测平台。通往监测平台的通道宽度应≥0.9m。</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（4）监测平台地板应采用厚度≥4mm的花纹钢板或钢板网铺装（孔径应小于10mm*20mm），监测平台及通道的载荷应≥13kN/m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（5）监测平台及通道的制造安装应符合GB4053.3要求</w:t>
            </w:r>
            <w:r>
              <w:rPr>
                <w:rFonts w:hint="eastAsia" w:cs="Times New Roman"/>
                <w:color w:val="auto"/>
                <w:sz w:val="24"/>
                <w:szCs w:val="24"/>
                <w:highlight w:val="none"/>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8</w:t>
            </w:r>
            <w:r>
              <w:rPr>
                <w:rFonts w:hint="default" w:ascii="Times New Roman" w:hAnsi="Times New Roman" w:eastAsia="宋体" w:cs="Times New Roman"/>
                <w:b/>
                <w:bCs w:val="0"/>
                <w:color w:val="auto"/>
                <w:sz w:val="24"/>
                <w:highlight w:val="none"/>
                <w:lang w:val="en-US" w:eastAsia="zh-CN"/>
              </w:rPr>
              <w:t>.5排污口规范化管理</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排污口是污染物进入环境、对环境产生影响的通道，强化排污口的管理是实现污染物总量控制的基础工作之一，也是区域环境管理逐步实现污染物排放科学化、定量化的重要手段。本项目主要排污口为各个车间排气筒和污水处理站排放口，在营运期，应重点针对这些排放口进行规范化管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8.</w:t>
            </w:r>
            <w:r>
              <w:rPr>
                <w:rFonts w:hint="default" w:ascii="Times New Roman" w:hAnsi="Times New Roman" w:eastAsia="宋体" w:cs="Times New Roman"/>
                <w:b/>
                <w:bCs w:val="0"/>
                <w:color w:val="auto"/>
                <w:sz w:val="24"/>
                <w:highlight w:val="none"/>
                <w:lang w:val="en-US" w:eastAsia="zh-CN"/>
              </w:rPr>
              <w:t>5.1排污口规范化管理的基本原则</w:t>
            </w:r>
          </w:p>
          <w:p>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（1）向环境排放污染物的排放口必须规范化；</w:t>
            </w:r>
          </w:p>
          <w:p>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（2）根据工程特点和国家列入的总量控制指标，确定项目废气排气筒和污水排放口为管理重点；</w:t>
            </w:r>
          </w:p>
          <w:p>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（3）排放口应便于采样与计量检测，便于日常现场监督检查。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8</w:t>
            </w:r>
            <w:r>
              <w:rPr>
                <w:rFonts w:hint="default" w:ascii="Times New Roman" w:hAnsi="Times New Roman" w:cs="Times New Roman"/>
                <w:b/>
                <w:color w:val="auto"/>
                <w:sz w:val="24"/>
                <w:highlight w:val="none"/>
                <w:lang w:val="en-US" w:eastAsia="zh-CN"/>
              </w:rPr>
              <w:t>.5.2</w:t>
            </w:r>
            <w:r>
              <w:rPr>
                <w:rFonts w:hint="default" w:ascii="Times New Roman" w:hAnsi="Times New Roman" w:cs="Times New Roman"/>
                <w:b/>
                <w:color w:val="auto"/>
                <w:sz w:val="24"/>
                <w:highlight w:val="none"/>
              </w:rPr>
              <w:t>排污口的技术要求</w:t>
            </w:r>
          </w:p>
          <w:p>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（1）排污口的设置必须合理，进行规范化管理；</w:t>
            </w:r>
          </w:p>
          <w:p>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（2）排气筒的设置应符合《污染源监测技术规范》相关要求，留设采样孔和采样平台。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8</w:t>
            </w:r>
            <w:r>
              <w:rPr>
                <w:rFonts w:hint="default" w:ascii="Times New Roman" w:hAnsi="Times New Roman" w:cs="Times New Roman"/>
                <w:b/>
                <w:color w:val="auto"/>
                <w:sz w:val="24"/>
                <w:highlight w:val="none"/>
                <w:lang w:val="en-US" w:eastAsia="zh-CN"/>
              </w:rPr>
              <w:t>.5.3</w:t>
            </w:r>
            <w:r>
              <w:rPr>
                <w:rFonts w:hint="default" w:ascii="Times New Roman" w:hAnsi="Times New Roman" w:cs="Times New Roman"/>
                <w:b/>
                <w:color w:val="auto"/>
                <w:sz w:val="24"/>
                <w:highlight w:val="none"/>
              </w:rPr>
              <w:t>排污口立标管理</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（1）污染物排放口，应按照国家《环境保护图形标志 排放口（源）》（GB1556.2-1995）、《环境保护图形标志 固体废物贮存(处置)场》（GB15562.2-1995）的规定，设置原国家环保总局统一制作的环境保护标志牌，排放口图像标志见表</w:t>
            </w:r>
            <w:r>
              <w:rPr>
                <w:rFonts w:hint="default" w:ascii="Times New Roman" w:hAnsi="Times New Roman" w:cs="Times New Roman"/>
                <w:color w:val="auto"/>
                <w:sz w:val="24"/>
                <w:highlight w:val="none"/>
                <w:lang w:val="en-US" w:eastAsia="zh-CN"/>
              </w:rPr>
              <w:t>7-</w:t>
            </w:r>
            <w:r>
              <w:rPr>
                <w:rFonts w:hint="eastAsia" w:cs="Times New Roman"/>
                <w:color w:val="auto"/>
                <w:sz w:val="24"/>
                <w:highlight w:val="none"/>
                <w:lang w:val="en-US" w:eastAsia="zh-CN"/>
              </w:rPr>
              <w:t>23</w:t>
            </w:r>
            <w:r>
              <w:rPr>
                <w:rFonts w:hint="default" w:ascii="Times New Roman" w:hAnsi="Times New Roman" w:cs="Times New Roman"/>
                <w:color w:val="auto"/>
                <w:sz w:val="24"/>
                <w:highlight w:val="none"/>
              </w:rPr>
              <w:t>。</w:t>
            </w:r>
          </w:p>
          <w:p>
            <w:pPr>
              <w:spacing w:line="360" w:lineRule="auto"/>
              <w:ind w:firstLine="422" w:firstLineChars="2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7-</w:t>
            </w:r>
            <w:r>
              <w:rPr>
                <w:rFonts w:hint="eastAsia" w:cs="Times New Roman"/>
                <w:b/>
                <w:color w:val="auto"/>
                <w:sz w:val="21"/>
                <w:szCs w:val="21"/>
                <w:highlight w:val="none"/>
                <w:lang w:val="en-US" w:eastAsia="zh-CN"/>
              </w:rPr>
              <w:t>23</w:t>
            </w:r>
            <w:r>
              <w:rPr>
                <w:rFonts w:hint="default" w:ascii="Times New Roman" w:hAnsi="Times New Roman" w:cs="Times New Roman"/>
                <w:b/>
                <w:color w:val="auto"/>
                <w:sz w:val="21"/>
                <w:szCs w:val="21"/>
                <w:highlight w:val="none"/>
              </w:rPr>
              <w:t>排放口环境保护标志</w:t>
            </w:r>
          </w:p>
          <w:tbl>
            <w:tblPr>
              <w:tblStyle w:val="24"/>
              <w:tblW w:w="94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52"/>
              <w:gridCol w:w="2353"/>
              <w:gridCol w:w="2353"/>
              <w:gridCol w:w="23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2"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提示标志</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警告标志</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提示标志</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警告标志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2"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正方形</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三角形</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正方形</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三角形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2"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绿底白图</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黄底黑图</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绿底白图</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黄底黑图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2" w:type="dxa"/>
                  <w:noWrap w:val="0"/>
                  <w:vAlign w:val="center"/>
                </w:tcPr>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876300" cy="790575"/>
                        <wp:effectExtent l="0" t="0" r="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4"/>
                                <a:stretch>
                                  <a:fillRect/>
                                </a:stretch>
                              </pic:blipFill>
                              <pic:spPr>
                                <a:xfrm>
                                  <a:off x="0" y="0"/>
                                  <a:ext cx="876300" cy="790575"/>
                                </a:xfrm>
                                <a:prstGeom prst="rect">
                                  <a:avLst/>
                                </a:prstGeom>
                                <a:noFill/>
                                <a:ln>
                                  <a:noFill/>
                                </a:ln>
                              </pic:spPr>
                            </pic:pic>
                          </a:graphicData>
                        </a:graphic>
                      </wp:inline>
                    </w:drawing>
                  </w:r>
                </w:p>
              </w:tc>
              <w:tc>
                <w:tcPr>
                  <w:tcW w:w="2353" w:type="dxa"/>
                  <w:noWrap w:val="0"/>
                  <w:vAlign w:val="center"/>
                </w:tcPr>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904875" cy="771525"/>
                        <wp:effectExtent l="0" t="0" r="9525" b="952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5"/>
                                <a:stretch>
                                  <a:fillRect/>
                                </a:stretch>
                              </pic:blipFill>
                              <pic:spPr>
                                <a:xfrm>
                                  <a:off x="0" y="0"/>
                                  <a:ext cx="904875" cy="771525"/>
                                </a:xfrm>
                                <a:prstGeom prst="rect">
                                  <a:avLst/>
                                </a:prstGeom>
                                <a:noFill/>
                                <a:ln>
                                  <a:noFill/>
                                </a:ln>
                              </pic:spPr>
                            </pic:pic>
                          </a:graphicData>
                        </a:graphic>
                      </wp:inline>
                    </w:drawing>
                  </w:r>
                </w:p>
              </w:tc>
              <w:tc>
                <w:tcPr>
                  <w:tcW w:w="2353" w:type="dxa"/>
                  <w:noWrap w:val="0"/>
                  <w:vAlign w:val="center"/>
                </w:tcPr>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857250" cy="809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6"/>
                                <a:stretch>
                                  <a:fillRect/>
                                </a:stretch>
                              </pic:blipFill>
                              <pic:spPr>
                                <a:xfrm>
                                  <a:off x="0" y="0"/>
                                  <a:ext cx="857250" cy="809625"/>
                                </a:xfrm>
                                <a:prstGeom prst="rect">
                                  <a:avLst/>
                                </a:prstGeom>
                                <a:noFill/>
                                <a:ln>
                                  <a:noFill/>
                                </a:ln>
                              </pic:spPr>
                            </pic:pic>
                          </a:graphicData>
                        </a:graphic>
                      </wp:inline>
                    </w:drawing>
                  </w:r>
                </w:p>
              </w:tc>
              <w:tc>
                <w:tcPr>
                  <w:tcW w:w="2353" w:type="dxa"/>
                  <w:noWrap w:val="0"/>
                  <w:vAlign w:val="center"/>
                </w:tcPr>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933450" cy="752475"/>
                        <wp:effectExtent l="0" t="0" r="0" b="952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7"/>
                                <a:stretch>
                                  <a:fillRect/>
                                </a:stretch>
                              </pic:blipFill>
                              <pic:spPr>
                                <a:xfrm>
                                  <a:off x="0" y="0"/>
                                  <a:ext cx="933450" cy="75247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2"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噪声排放源</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噪声排放源</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废气排放口</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2" w:type="dxa"/>
                  <w:noWrap w:val="0"/>
                  <w:vAlign w:val="center"/>
                </w:tcPr>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866775" cy="790575"/>
                        <wp:effectExtent l="0" t="0" r="9525" b="952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8"/>
                                <a:stretch>
                                  <a:fillRect/>
                                </a:stretch>
                              </pic:blipFill>
                              <pic:spPr>
                                <a:xfrm>
                                  <a:off x="0" y="0"/>
                                  <a:ext cx="866775" cy="790575"/>
                                </a:xfrm>
                                <a:prstGeom prst="rect">
                                  <a:avLst/>
                                </a:prstGeom>
                                <a:noFill/>
                                <a:ln>
                                  <a:noFill/>
                                </a:ln>
                              </pic:spPr>
                            </pic:pic>
                          </a:graphicData>
                        </a:graphic>
                      </wp:inline>
                    </w:drawing>
                  </w:r>
                </w:p>
              </w:tc>
              <w:tc>
                <w:tcPr>
                  <w:tcW w:w="2353" w:type="dxa"/>
                  <w:noWrap w:val="0"/>
                  <w:vAlign w:val="center"/>
                </w:tcPr>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838200" cy="800100"/>
                        <wp:effectExtent l="0" t="0" r="0"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19"/>
                                <a:stretch>
                                  <a:fillRect/>
                                </a:stretch>
                              </pic:blipFill>
                              <pic:spPr>
                                <a:xfrm>
                                  <a:off x="0" y="0"/>
                                  <a:ext cx="838200" cy="800100"/>
                                </a:xfrm>
                                <a:prstGeom prst="rect">
                                  <a:avLst/>
                                </a:prstGeom>
                                <a:noFill/>
                                <a:ln>
                                  <a:noFill/>
                                </a:ln>
                              </pic:spPr>
                            </pic:pic>
                          </a:graphicData>
                        </a:graphic>
                      </wp:inline>
                    </w:drawing>
                  </w:r>
                </w:p>
              </w:tc>
              <w:tc>
                <w:tcPr>
                  <w:tcW w:w="2353" w:type="dxa"/>
                  <w:noWrap w:val="0"/>
                  <w:vAlign w:val="center"/>
                </w:tcPr>
                <w:p>
                  <w:pPr>
                    <w:spacing w:line="360" w:lineRule="auto"/>
                    <w:jc w:val="center"/>
                    <w:rPr>
                      <w:rFonts w:hint="default" w:ascii="Times New Roman" w:hAnsi="Times New Roman" w:cs="Times New Roman"/>
                      <w:color w:val="auto"/>
                      <w:sz w:val="24"/>
                      <w:highlight w:val="none"/>
                    </w:rPr>
                  </w:pPr>
                </w:p>
              </w:tc>
              <w:tc>
                <w:tcPr>
                  <w:tcW w:w="2353" w:type="dxa"/>
                  <w:noWrap w:val="0"/>
                  <w:vAlign w:val="center"/>
                </w:tcPr>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990600" cy="874395"/>
                        <wp:effectExtent l="0" t="0" r="0" b="1905"/>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20"/>
                                <a:stretch>
                                  <a:fillRect/>
                                </a:stretch>
                              </pic:blipFill>
                              <pic:spPr>
                                <a:xfrm>
                                  <a:off x="0" y="0"/>
                                  <a:ext cx="990600" cy="87439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2"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一般固体废物</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一般固体废物</w:t>
                  </w: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p>
              </w:tc>
              <w:tc>
                <w:tcPr>
                  <w:tcW w:w="2353" w:type="dxa"/>
                  <w:noWrap w:val="0"/>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危险废物</w:t>
                  </w:r>
                </w:p>
              </w:tc>
            </w:tr>
          </w:tbl>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（2）排放口的环境保护标志牌应设置在靠近采样点的醒目处，标志牌设置高度为其上缘距地面约2m。</w:t>
            </w:r>
          </w:p>
          <w:p>
            <w:pPr>
              <w:pStyle w:val="54"/>
              <w:spacing w:before="0" w:beforeAutospacing="0" w:after="0" w:afterAutospacing="0" w:line="360" w:lineRule="auto"/>
              <w:ind w:firstLine="480" w:firstLineChars="200"/>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（3）图形颜色及装置颜色</w:t>
            </w:r>
          </w:p>
          <w:p>
            <w:pPr>
              <w:pStyle w:val="58"/>
              <w:spacing w:before="0" w:beforeAutospacing="0" w:after="0" w:afterAutospacing="0" w:line="360" w:lineRule="auto"/>
              <w:ind w:firstLine="480" w:firstLineChars="200"/>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提示标志：底和立柱为绿色，图案、边框、支架和文字为白色；</w:t>
            </w:r>
          </w:p>
          <w:p>
            <w:pPr>
              <w:pStyle w:val="49"/>
              <w:ind w:left="0" w:leftChars="0" w:right="0" w:rightChars="0" w:firstLine="480" w:firstLineChars="200"/>
              <w:jc w:val="both"/>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警告标志：底和立柱为黄色，图案、边框、支架和文字为黑色</w:t>
            </w:r>
            <w:r>
              <w:rPr>
                <w:rFonts w:hint="eastAsia" w:ascii="Times New Roman" w:hAnsi="Times New Roman" w:cs="Times New Roman"/>
                <w:color w:val="auto"/>
                <w:kern w:val="2"/>
                <w:sz w:val="24"/>
                <w:szCs w:val="24"/>
                <w:highlight w:val="none"/>
                <w:lang w:eastAsia="zh-CN"/>
              </w:rPr>
              <w:t>。</w:t>
            </w:r>
          </w:p>
          <w:p>
            <w:pPr>
              <w:tabs>
                <w:tab w:val="left" w:pos="5400"/>
              </w:tabs>
              <w:snapToGrid w:val="0"/>
              <w:ind w:firstLine="0" w:firstLineChars="0"/>
              <w:outlineLvl w:val="9"/>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val="en-US" w:eastAsia="zh-CN"/>
              </w:rPr>
              <w:t>扩建前后</w:t>
            </w:r>
            <w:r>
              <w:rPr>
                <w:rFonts w:ascii="Times New Roman" w:hAnsi="Times New Roman" w:eastAsia="宋体" w:cs="Times New Roman"/>
                <w:b/>
                <w:bCs/>
                <w:color w:val="auto"/>
                <w:kern w:val="2"/>
                <w:sz w:val="24"/>
                <w:szCs w:val="24"/>
                <w:highlight w:val="none"/>
              </w:rPr>
              <w:t>污染物排放变化的“三本帐”计算与分析</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本项目为</w:t>
            </w:r>
            <w:r>
              <w:rPr>
                <w:rFonts w:hint="eastAsia" w:eastAsia="宋体"/>
                <w:color w:val="auto"/>
                <w:sz w:val="24"/>
                <w:highlight w:val="none"/>
                <w:lang w:val="en-US" w:eastAsia="zh-CN"/>
              </w:rPr>
              <w:t>技改</w:t>
            </w:r>
            <w:r>
              <w:rPr>
                <w:rFonts w:hint="eastAsia" w:ascii="Times New Roman" w:hAnsi="Times New Roman" w:eastAsia="宋体"/>
                <w:color w:val="auto"/>
                <w:sz w:val="24"/>
                <w:highlight w:val="none"/>
                <w:lang w:val="en-US" w:eastAsia="zh-CN"/>
              </w:rPr>
              <w:t>项目，项目扩建前后污染物变化的“三本账”情况见表7-2</w:t>
            </w:r>
            <w:r>
              <w:rPr>
                <w:rFonts w:hint="eastAsia" w:eastAsia="宋体"/>
                <w:color w:val="auto"/>
                <w:sz w:val="24"/>
                <w:highlight w:val="none"/>
                <w:lang w:val="en-US" w:eastAsia="zh-CN"/>
              </w:rPr>
              <w:t>4</w:t>
            </w:r>
            <w:r>
              <w:rPr>
                <w:rFonts w:hint="eastAsia" w:ascii="Times New Roman" w:hAnsi="Times New Roman" w:eastAsia="宋体"/>
                <w:color w:val="auto"/>
                <w:sz w:val="24"/>
                <w:highlight w:val="none"/>
                <w:lang w:val="en-US" w:eastAsia="zh-CN"/>
              </w:rPr>
              <w:t>。</w:t>
            </w:r>
            <w:r>
              <w:rPr>
                <w:rFonts w:hint="eastAsia"/>
                <w:color w:val="auto"/>
                <w:sz w:val="24"/>
                <w:highlight w:val="none"/>
                <w:lang w:val="en-US" w:eastAsia="zh-CN"/>
              </w:rPr>
              <w:t>本次技改工程</w:t>
            </w:r>
            <w:r>
              <w:rPr>
                <w:rFonts w:hint="eastAsia" w:ascii="Times New Roman" w:hAnsi="Times New Roman" w:cs="Times New Roman"/>
                <w:color w:val="auto"/>
                <w:sz w:val="24"/>
                <w:szCs w:val="24"/>
                <w:lang w:val="en-US" w:eastAsia="zh-CN"/>
              </w:rPr>
              <w:t>在保持原有产能不变的前提下</w:t>
            </w:r>
            <w:r>
              <w:rPr>
                <w:rFonts w:hint="eastAsia" w:cs="Times New Roman"/>
                <w:color w:val="auto"/>
                <w:sz w:val="24"/>
                <w:szCs w:val="24"/>
                <w:lang w:val="en-US" w:eastAsia="zh-CN"/>
              </w:rPr>
              <w:t>，淘汰老旧设备，新上先进设备，所用原辅材料及燃料、人员等均与现有工程一致，技改工程不增加污染物的排放量，</w:t>
            </w:r>
            <w:r>
              <w:rPr>
                <w:rFonts w:hint="eastAsia" w:ascii="Times New Roman" w:hAnsi="Times New Roman" w:eastAsia="宋体" w:cs="Times New Roman"/>
                <w:color w:val="auto"/>
                <w:sz w:val="24"/>
                <w:szCs w:val="24"/>
                <w:lang w:eastAsia="zh-CN"/>
              </w:rPr>
              <w:t>现有工程及</w:t>
            </w:r>
            <w:r>
              <w:rPr>
                <w:rFonts w:hint="eastAsia" w:eastAsia="宋体" w:cs="Times New Roman"/>
                <w:color w:val="auto"/>
                <w:sz w:val="24"/>
                <w:szCs w:val="24"/>
                <w:lang w:eastAsia="zh-CN"/>
              </w:rPr>
              <w:t>技改</w:t>
            </w:r>
            <w:r>
              <w:rPr>
                <w:rFonts w:hint="eastAsia" w:ascii="Times New Roman" w:hAnsi="Times New Roman" w:eastAsia="宋体" w:cs="Times New Roman"/>
                <w:color w:val="auto"/>
                <w:sz w:val="24"/>
                <w:szCs w:val="24"/>
                <w:lang w:eastAsia="zh-CN"/>
              </w:rPr>
              <w:t>工程固体废物均委托处置，不外排，不新增排放量。</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kern w:val="0"/>
                <w:sz w:val="24"/>
                <w:highlight w:val="none"/>
                <w:lang w:val="en-GB" w:eastAsia="zh-CN"/>
              </w:rPr>
            </w:pPr>
            <w:r>
              <w:rPr>
                <w:rFonts w:hint="default" w:ascii="Times New Roman" w:hAnsi="Times New Roman" w:eastAsia="宋体" w:cs="Times New Roman"/>
                <w:bCs/>
                <w:color w:val="auto"/>
                <w:kern w:val="0"/>
                <w:sz w:val="24"/>
                <w:highlight w:val="none"/>
                <w:lang w:val="en-GB" w:eastAsia="zh-CN"/>
              </w:rPr>
              <w:t>表7-18 扩建项目污染物排放变化情况一览表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77"/>
              <w:gridCol w:w="1303"/>
              <w:gridCol w:w="1303"/>
              <w:gridCol w:w="1304"/>
              <w:gridCol w:w="1555"/>
              <w:gridCol w:w="13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8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类别</w:t>
                  </w:r>
                </w:p>
              </w:tc>
              <w:tc>
                <w:tcPr>
                  <w:tcW w:w="157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污染物</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现有工程排放量t/a</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技改</w:t>
                  </w:r>
                  <w:r>
                    <w:rPr>
                      <w:rFonts w:hint="eastAsia" w:ascii="Times New Roman" w:hAnsi="Times New Roman" w:eastAsia="宋体"/>
                      <w:color w:val="auto"/>
                      <w:sz w:val="21"/>
                      <w:szCs w:val="21"/>
                      <w:highlight w:val="none"/>
                      <w:vertAlign w:val="baseline"/>
                      <w:lang w:val="en-US" w:eastAsia="zh-CN"/>
                    </w:rPr>
                    <w:t>项目排放量t/a</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以新带老削减量t/a</w:t>
                  </w:r>
                </w:p>
              </w:tc>
              <w:tc>
                <w:tcPr>
                  <w:tcW w:w="15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技改</w:t>
                  </w:r>
                  <w:r>
                    <w:rPr>
                      <w:rFonts w:hint="eastAsia" w:ascii="Times New Roman" w:hAnsi="Times New Roman" w:eastAsia="宋体"/>
                      <w:color w:val="auto"/>
                      <w:sz w:val="21"/>
                      <w:szCs w:val="21"/>
                      <w:highlight w:val="none"/>
                      <w:vertAlign w:val="baseline"/>
                      <w:lang w:val="en-US" w:eastAsia="zh-CN"/>
                    </w:rPr>
                    <w:t>工程完成后总排放量t/a</w:t>
                  </w:r>
                </w:p>
              </w:tc>
              <w:tc>
                <w:tcPr>
                  <w:tcW w:w="132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增减量变化t/a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大气污染物</w:t>
                  </w:r>
                </w:p>
              </w:tc>
              <w:tc>
                <w:tcPr>
                  <w:tcW w:w="157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颗粒物</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0.4642</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0.4642</w:t>
                  </w:r>
                </w:p>
              </w:tc>
              <w:tc>
                <w:tcPr>
                  <w:tcW w:w="132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p>
              </w:tc>
              <w:tc>
                <w:tcPr>
                  <w:tcW w:w="157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SO</w:t>
                  </w:r>
                  <w:r>
                    <w:rPr>
                      <w:rFonts w:hint="eastAsia" w:eastAsia="宋体"/>
                      <w:color w:val="auto"/>
                      <w:sz w:val="21"/>
                      <w:szCs w:val="21"/>
                      <w:highlight w:val="none"/>
                      <w:vertAlign w:val="subscript"/>
                      <w:lang w:val="en-US" w:eastAsia="zh-CN"/>
                    </w:rPr>
                    <w:t>2</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0.61</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0.61</w:t>
                  </w:r>
                </w:p>
              </w:tc>
              <w:tc>
                <w:tcPr>
                  <w:tcW w:w="132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p>
              </w:tc>
              <w:tc>
                <w:tcPr>
                  <w:tcW w:w="157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NOx</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2.07</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2.07</w:t>
                  </w:r>
                </w:p>
              </w:tc>
              <w:tc>
                <w:tcPr>
                  <w:tcW w:w="132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废水</w:t>
                  </w:r>
                </w:p>
              </w:tc>
              <w:tc>
                <w:tcPr>
                  <w:tcW w:w="157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生活污水量（产生量）</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2560</w:t>
                  </w:r>
                </w:p>
              </w:tc>
              <w:tc>
                <w:tcPr>
                  <w:tcW w:w="13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2560</w:t>
                  </w:r>
                </w:p>
              </w:tc>
              <w:tc>
                <w:tcPr>
                  <w:tcW w:w="132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固废</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（产生量）</w:t>
                  </w:r>
                </w:p>
              </w:tc>
              <w:tc>
                <w:tcPr>
                  <w:tcW w:w="1577" w:type="dxa"/>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
                    </w:rPr>
                  </w:pPr>
                  <w:r>
                    <w:rPr>
                      <w:rFonts w:hint="eastAsia"/>
                      <w:color w:val="auto"/>
                      <w:highlight w:val="none"/>
                      <w:vertAlign w:val="baseline"/>
                      <w:lang w:val="en-US" w:eastAsia="zh-CN"/>
                    </w:rPr>
                    <w:t>氧化铁皮</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kern w:val="2"/>
                      <w:sz w:val="21"/>
                      <w:szCs w:val="21"/>
                      <w:lang w:val="en-US" w:eastAsia="zh-CN" w:bidi="ar-SA"/>
                    </w:rPr>
                  </w:pPr>
                  <w:r>
                    <w:rPr>
                      <w:rFonts w:hint="eastAsia" w:cs="Times New Roman"/>
                      <w:color w:val="auto"/>
                      <w:w w:val="103"/>
                      <w:sz w:val="21"/>
                      <w:szCs w:val="21"/>
                      <w:lang w:val="en-US" w:eastAsia="zh-CN"/>
                    </w:rPr>
                    <w:t>1.5</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s="Times New Roman"/>
                      <w:color w:val="auto"/>
                      <w:w w:val="103"/>
                      <w:sz w:val="21"/>
                      <w:szCs w:val="21"/>
                      <w:lang w:val="en-US" w:eastAsia="zh-CN"/>
                    </w:rPr>
                    <w:t>1.5</w:t>
                  </w:r>
                </w:p>
              </w:tc>
              <w:tc>
                <w:tcPr>
                  <w:tcW w:w="132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p>
              </w:tc>
              <w:tc>
                <w:tcPr>
                  <w:tcW w:w="1577" w:type="dxa"/>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
                    </w:rPr>
                  </w:pPr>
                  <w:r>
                    <w:rPr>
                      <w:rFonts w:hint="eastAsia"/>
                      <w:color w:val="auto"/>
                      <w:highlight w:val="none"/>
                      <w:vertAlign w:val="baseline"/>
                      <w:lang w:val="en-US" w:eastAsia="zh-CN"/>
                    </w:rPr>
                    <w:t>废钢料头</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kern w:val="2"/>
                      <w:sz w:val="21"/>
                      <w:szCs w:val="21"/>
                      <w:lang w:val="en-US" w:eastAsia="zh-CN" w:bidi="ar-SA"/>
                    </w:rPr>
                  </w:pPr>
                  <w:r>
                    <w:rPr>
                      <w:rFonts w:hint="eastAsia" w:ascii="Times New Roman" w:hAnsi="Times New Roman" w:eastAsia="宋体" w:cs="Times New Roman"/>
                      <w:color w:val="auto"/>
                      <w:w w:val="103"/>
                      <w:sz w:val="21"/>
                      <w:szCs w:val="21"/>
                      <w:lang w:val="en-US" w:eastAsia="zh-CN"/>
                    </w:rPr>
                    <w:t>2</w:t>
                  </w:r>
                  <w:r>
                    <w:rPr>
                      <w:rFonts w:hint="eastAsia" w:cs="Times New Roman"/>
                      <w:color w:val="auto"/>
                      <w:w w:val="103"/>
                      <w:sz w:val="21"/>
                      <w:szCs w:val="21"/>
                      <w:lang w:val="en-US" w:eastAsia="zh-CN"/>
                    </w:rPr>
                    <w:t>.</w:t>
                  </w:r>
                  <w:r>
                    <w:rPr>
                      <w:rFonts w:hint="eastAsia" w:ascii="Times New Roman" w:hAnsi="Times New Roman" w:eastAsia="宋体" w:cs="Times New Roman"/>
                      <w:color w:val="auto"/>
                      <w:w w:val="103"/>
                      <w:sz w:val="21"/>
                      <w:szCs w:val="21"/>
                      <w:lang w:val="en-US" w:eastAsia="zh-CN"/>
                    </w:rPr>
                    <w:t>5</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color w:val="auto"/>
                      <w:w w:val="103"/>
                      <w:sz w:val="21"/>
                      <w:szCs w:val="21"/>
                      <w:lang w:val="en-US" w:eastAsia="zh-CN"/>
                    </w:rPr>
                    <w:t>2</w:t>
                  </w:r>
                  <w:r>
                    <w:rPr>
                      <w:rFonts w:hint="eastAsia" w:cs="Times New Roman"/>
                      <w:color w:val="auto"/>
                      <w:w w:val="103"/>
                      <w:sz w:val="21"/>
                      <w:szCs w:val="21"/>
                      <w:lang w:val="en-US" w:eastAsia="zh-CN"/>
                    </w:rPr>
                    <w:t>.</w:t>
                  </w:r>
                  <w:r>
                    <w:rPr>
                      <w:rFonts w:hint="eastAsia" w:ascii="Times New Roman" w:hAnsi="Times New Roman" w:eastAsia="宋体" w:cs="Times New Roman"/>
                      <w:color w:val="auto"/>
                      <w:w w:val="103"/>
                      <w:sz w:val="21"/>
                      <w:szCs w:val="21"/>
                      <w:lang w:val="en-US" w:eastAsia="zh-CN"/>
                    </w:rPr>
                    <w:t>5</w:t>
                  </w:r>
                </w:p>
              </w:tc>
              <w:tc>
                <w:tcPr>
                  <w:tcW w:w="132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p>
              </w:tc>
              <w:tc>
                <w:tcPr>
                  <w:tcW w:w="1577" w:type="dxa"/>
                  <w:tcBorders>
                    <w:tl2br w:val="nil"/>
                    <w:tr2bl w:val="nil"/>
                  </w:tcBorders>
                  <w:noWrap w:val="0"/>
                  <w:vAlign w:val="center"/>
                </w:tcPr>
                <w:p>
                  <w:pPr>
                    <w:pStyle w:val="2"/>
                    <w:spacing w:after="0"/>
                    <w:ind w:left="0" w:leftChars="0" w:right="0" w:rightChars="0" w:firstLine="0" w:firstLineChars="0"/>
                    <w:jc w:val="center"/>
                    <w:rPr>
                      <w:rFonts w:hint="eastAsia"/>
                      <w:color w:val="FF0000"/>
                      <w:highlight w:val="none"/>
                      <w:vertAlign w:val="baseline"/>
                      <w:lang w:val="en-US" w:eastAsia="zh-CN"/>
                    </w:rPr>
                  </w:pPr>
                  <w:r>
                    <w:rPr>
                      <w:rFonts w:hint="eastAsia"/>
                      <w:color w:val="FF0000"/>
                      <w:highlight w:val="none"/>
                      <w:vertAlign w:val="baseline"/>
                      <w:lang w:val="en-US" w:eastAsia="zh-CN"/>
                    </w:rPr>
                    <w:t>废铁屑</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w w:val="103"/>
                      <w:sz w:val="21"/>
                      <w:szCs w:val="21"/>
                      <w:lang w:val="en-US" w:eastAsia="zh-CN"/>
                    </w:rPr>
                  </w:pPr>
                  <w:r>
                    <w:rPr>
                      <w:rFonts w:hint="eastAsia" w:cs="Times New Roman"/>
                      <w:color w:val="FF0000"/>
                      <w:w w:val="103"/>
                      <w:sz w:val="21"/>
                      <w:szCs w:val="21"/>
                      <w:lang w:val="en-US" w:eastAsia="zh-CN"/>
                    </w:rPr>
                    <w:t>1.5</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FF0000"/>
                      <w:sz w:val="21"/>
                      <w:szCs w:val="21"/>
                      <w:highlight w:val="none"/>
                      <w:vertAlign w:val="baseline"/>
                      <w:lang w:val="en-US" w:eastAsia="zh-CN"/>
                    </w:rPr>
                  </w:pPr>
                  <w:r>
                    <w:rPr>
                      <w:rFonts w:hint="eastAsia"/>
                      <w:color w:val="FF0000"/>
                      <w:sz w:val="21"/>
                      <w:szCs w:val="21"/>
                      <w:highlight w:val="none"/>
                      <w:vertAlign w:val="baseline"/>
                      <w:lang w:val="en-US" w:eastAsia="zh-CN"/>
                    </w:rPr>
                    <w:t>0</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color w:val="FF0000"/>
                      <w:sz w:val="21"/>
                      <w:szCs w:val="21"/>
                      <w:highlight w:val="none"/>
                      <w:vertAlign w:val="baseline"/>
                      <w:lang w:val="en-US" w:eastAsia="zh-CN"/>
                    </w:rPr>
                  </w:pPr>
                  <w:r>
                    <w:rPr>
                      <w:rFonts w:hint="eastAsia"/>
                      <w:color w:val="FF0000"/>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w w:val="103"/>
                      <w:sz w:val="21"/>
                      <w:szCs w:val="21"/>
                      <w:lang w:val="en-US" w:eastAsia="zh-CN"/>
                    </w:rPr>
                  </w:pPr>
                  <w:r>
                    <w:rPr>
                      <w:rFonts w:hint="eastAsia" w:cs="Times New Roman"/>
                      <w:color w:val="FF0000"/>
                      <w:w w:val="103"/>
                      <w:sz w:val="21"/>
                      <w:szCs w:val="21"/>
                      <w:lang w:val="en-US" w:eastAsia="zh-CN"/>
                    </w:rPr>
                    <w:t>1.5</w:t>
                  </w:r>
                </w:p>
              </w:tc>
              <w:tc>
                <w:tcPr>
                  <w:tcW w:w="132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color w:val="FF0000"/>
                      <w:sz w:val="21"/>
                      <w:szCs w:val="21"/>
                      <w:highlight w:val="none"/>
                      <w:vertAlign w:val="baseline"/>
                      <w:lang w:val="en-US" w:eastAsia="zh-CN"/>
                    </w:rPr>
                  </w:pPr>
                  <w:r>
                    <w:rPr>
                      <w:rFonts w:hint="eastAsia"/>
                      <w:color w:val="FF0000"/>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p>
              </w:tc>
              <w:tc>
                <w:tcPr>
                  <w:tcW w:w="1577" w:type="dxa"/>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
                    </w:rPr>
                  </w:pPr>
                  <w:r>
                    <w:rPr>
                      <w:rFonts w:hint="eastAsia"/>
                      <w:color w:val="auto"/>
                      <w:highlight w:val="none"/>
                      <w:vertAlign w:val="baseline"/>
                      <w:lang w:val="en-US" w:eastAsia="zh-CN"/>
                    </w:rPr>
                    <w:t>废油桶</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kern w:val="2"/>
                      <w:sz w:val="21"/>
                      <w:szCs w:val="21"/>
                      <w:lang w:val="en-US" w:eastAsia="zh-CN" w:bidi="ar-SA"/>
                    </w:rPr>
                  </w:pPr>
                  <w:r>
                    <w:rPr>
                      <w:rFonts w:hint="eastAsia" w:cs="Times New Roman"/>
                      <w:color w:val="auto"/>
                      <w:w w:val="103"/>
                      <w:sz w:val="21"/>
                      <w:szCs w:val="21"/>
                      <w:lang w:val="en-US" w:eastAsia="zh-CN"/>
                    </w:rPr>
                    <w:t>1</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s="Times New Roman"/>
                      <w:color w:val="auto"/>
                      <w:w w:val="103"/>
                      <w:sz w:val="21"/>
                      <w:szCs w:val="21"/>
                      <w:lang w:val="en-US" w:eastAsia="zh-CN"/>
                    </w:rPr>
                    <w:t>1</w:t>
                  </w:r>
                </w:p>
              </w:tc>
              <w:tc>
                <w:tcPr>
                  <w:tcW w:w="132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p>
              </w:tc>
              <w:tc>
                <w:tcPr>
                  <w:tcW w:w="1577" w:type="dxa"/>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
                    </w:rPr>
                  </w:pPr>
                  <w:r>
                    <w:rPr>
                      <w:rFonts w:hint="eastAsia"/>
                      <w:color w:val="auto"/>
                      <w:highlight w:val="none"/>
                      <w:vertAlign w:val="baseline"/>
                      <w:lang w:val="en-US" w:eastAsia="zh-CN"/>
                    </w:rPr>
                    <w:t>脱硫石膏</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kern w:val="2"/>
                      <w:sz w:val="21"/>
                      <w:szCs w:val="21"/>
                      <w:lang w:val="en-US" w:eastAsia="zh-CN" w:bidi="ar-SA"/>
                    </w:rPr>
                  </w:pPr>
                  <w:r>
                    <w:rPr>
                      <w:rFonts w:hint="eastAsia" w:cs="Times New Roman"/>
                      <w:color w:val="auto"/>
                      <w:w w:val="103"/>
                      <w:sz w:val="21"/>
                      <w:szCs w:val="21"/>
                      <w:lang w:val="en-US" w:eastAsia="zh-CN"/>
                    </w:rPr>
                    <w:t>32</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3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s="Times New Roman"/>
                      <w:color w:val="auto"/>
                      <w:w w:val="103"/>
                      <w:sz w:val="21"/>
                      <w:szCs w:val="21"/>
                      <w:lang w:val="en-US" w:eastAsia="zh-CN"/>
                    </w:rPr>
                    <w:t>32</w:t>
                  </w:r>
                </w:p>
              </w:tc>
              <w:tc>
                <w:tcPr>
                  <w:tcW w:w="13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continue"/>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p>
              </w:tc>
              <w:tc>
                <w:tcPr>
                  <w:tcW w:w="0" w:type="auto"/>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
                    </w:rPr>
                  </w:pPr>
                  <w:r>
                    <w:rPr>
                      <w:rFonts w:hint="eastAsia"/>
                      <w:color w:val="auto"/>
                      <w:highlight w:val="none"/>
                      <w:vertAlign w:val="baseline"/>
                      <w:lang w:val="en-US" w:eastAsia="zh-CN"/>
                    </w:rPr>
                    <w:t>废催化剂</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kern w:val="2"/>
                      <w:sz w:val="21"/>
                      <w:szCs w:val="21"/>
                      <w:lang w:val="en-US" w:eastAsia="zh-CN" w:bidi="ar-SA"/>
                    </w:rPr>
                  </w:pPr>
                  <w:r>
                    <w:rPr>
                      <w:rFonts w:hint="eastAsia" w:cs="Times New Roman"/>
                      <w:color w:val="auto"/>
                      <w:w w:val="103"/>
                      <w:sz w:val="21"/>
                      <w:szCs w:val="21"/>
                      <w:lang w:val="en-US" w:eastAsia="zh-CN"/>
                    </w:rPr>
                    <w:t>3</w:t>
                  </w:r>
                  <w:r>
                    <w:rPr>
                      <w:rFonts w:hint="eastAsia" w:ascii="Times New Roman" w:hAnsi="Times New Roman" w:eastAsia="宋体" w:cs="Times New Roman"/>
                      <w:color w:val="auto"/>
                      <w:w w:val="103"/>
                      <w:sz w:val="21"/>
                      <w:szCs w:val="21"/>
                      <w:lang w:val="en-US" w:eastAsia="zh-CN"/>
                    </w:rPr>
                    <w:t>t/</w:t>
                  </w:r>
                  <w:r>
                    <w:rPr>
                      <w:rFonts w:hint="eastAsia" w:cs="Times New Roman"/>
                      <w:color w:val="auto"/>
                      <w:w w:val="103"/>
                      <w:sz w:val="21"/>
                      <w:szCs w:val="21"/>
                      <w:lang w:val="en-US" w:eastAsia="zh-CN"/>
                    </w:rPr>
                    <w:t>3</w:t>
                  </w:r>
                  <w:r>
                    <w:rPr>
                      <w:rFonts w:hint="eastAsia" w:ascii="Times New Roman" w:hAnsi="Times New Roman" w:eastAsia="宋体" w:cs="Times New Roman"/>
                      <w:color w:val="auto"/>
                      <w:w w:val="103"/>
                      <w:sz w:val="21"/>
                      <w:szCs w:val="21"/>
                      <w:lang w:val="en-US" w:eastAsia="zh-CN"/>
                    </w:rPr>
                    <w:t>a</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0" w:type="auto"/>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s="Times New Roman"/>
                      <w:color w:val="auto"/>
                      <w:w w:val="103"/>
                      <w:sz w:val="21"/>
                      <w:szCs w:val="21"/>
                      <w:lang w:val="en-US" w:eastAsia="zh-CN"/>
                    </w:rPr>
                    <w:t>3</w:t>
                  </w:r>
                  <w:r>
                    <w:rPr>
                      <w:rFonts w:hint="eastAsia" w:ascii="Times New Roman" w:hAnsi="Times New Roman" w:eastAsia="宋体" w:cs="Times New Roman"/>
                      <w:color w:val="auto"/>
                      <w:w w:val="103"/>
                      <w:sz w:val="21"/>
                      <w:szCs w:val="21"/>
                      <w:lang w:val="en-US" w:eastAsia="zh-CN"/>
                    </w:rPr>
                    <w:t>t/</w:t>
                  </w:r>
                  <w:r>
                    <w:rPr>
                      <w:rFonts w:hint="eastAsia" w:cs="Times New Roman"/>
                      <w:color w:val="auto"/>
                      <w:w w:val="103"/>
                      <w:sz w:val="21"/>
                      <w:szCs w:val="21"/>
                      <w:lang w:val="en-US" w:eastAsia="zh-CN"/>
                    </w:rPr>
                    <w:t>3</w:t>
                  </w:r>
                  <w:r>
                    <w:rPr>
                      <w:rFonts w:hint="eastAsia" w:ascii="Times New Roman" w:hAnsi="Times New Roman" w:eastAsia="宋体" w:cs="Times New Roman"/>
                      <w:color w:val="auto"/>
                      <w:w w:val="103"/>
                      <w:sz w:val="21"/>
                      <w:szCs w:val="21"/>
                      <w:lang w:val="en-US" w:eastAsia="zh-CN"/>
                    </w:rPr>
                    <w:t>a</w:t>
                  </w:r>
                </w:p>
              </w:tc>
              <w:tc>
                <w:tcPr>
                  <w:tcW w:w="13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eastAsia" w:ascii="Times New Roman" w:hAnsi="Times New Roman" w:eastAsia="宋体"/>
                      <w:color w:val="auto"/>
                      <w:sz w:val="21"/>
                      <w:szCs w:val="21"/>
                      <w:highlight w:val="none"/>
                      <w:vertAlign w:val="baseline"/>
                      <w:lang w:val="en-US" w:eastAsia="zh-CN"/>
                    </w:rPr>
                  </w:pPr>
                </w:p>
              </w:tc>
              <w:tc>
                <w:tcPr>
                  <w:tcW w:w="0" w:type="auto"/>
                  <w:vAlign w:val="center"/>
                </w:tcPr>
                <w:p>
                  <w:pPr>
                    <w:pStyle w:val="2"/>
                    <w:spacing w:after="0"/>
                    <w:ind w:left="0" w:leftChars="0" w:right="0" w:rightChars="0" w:firstLine="0" w:firstLineChars="0"/>
                    <w:jc w:val="center"/>
                    <w:rPr>
                      <w:rFonts w:hint="eastAsia" w:ascii="Times New Roman" w:hAnsi="Times New Roman" w:eastAsia="宋体" w:cs="Times New Roman"/>
                      <w:color w:val="auto"/>
                      <w:kern w:val="2"/>
                      <w:sz w:val="21"/>
                      <w:szCs w:val="24"/>
                      <w:highlight w:val="none"/>
                      <w:vertAlign w:val="baseline"/>
                      <w:lang w:val="en-US" w:eastAsia="zh-CN" w:bidi="ar"/>
                    </w:rPr>
                  </w:pPr>
                  <w:r>
                    <w:rPr>
                      <w:rFonts w:hint="eastAsia"/>
                      <w:color w:val="auto"/>
                      <w:highlight w:val="none"/>
                      <w:vertAlign w:val="baseline"/>
                      <w:lang w:val="en-US" w:eastAsia="zh-CN"/>
                    </w:rPr>
                    <w:t>生活垃圾</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w w:val="103"/>
                      <w:kern w:val="2"/>
                      <w:sz w:val="21"/>
                      <w:szCs w:val="21"/>
                      <w:lang w:val="en-US" w:eastAsia="zh-CN" w:bidi="ar-SA"/>
                    </w:rPr>
                  </w:pPr>
                  <w:r>
                    <w:rPr>
                      <w:rFonts w:hint="eastAsia" w:cs="Times New Roman"/>
                      <w:color w:val="auto"/>
                      <w:w w:val="103"/>
                      <w:sz w:val="21"/>
                      <w:szCs w:val="21"/>
                      <w:lang w:val="en-US" w:eastAsia="zh-CN"/>
                    </w:rPr>
                    <w:t>32</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0" w:type="auto"/>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s="Times New Roman"/>
                      <w:color w:val="auto"/>
                      <w:w w:val="103"/>
                      <w:sz w:val="21"/>
                      <w:szCs w:val="21"/>
                      <w:lang w:val="en-US" w:eastAsia="zh-CN"/>
                    </w:rPr>
                    <w:t>32</w:t>
                  </w:r>
                </w:p>
              </w:tc>
              <w:tc>
                <w:tcPr>
                  <w:tcW w:w="0" w:type="auto"/>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r>
          </w:tbl>
          <w:p>
            <w:pPr>
              <w:pStyle w:val="54"/>
              <w:spacing w:before="0" w:beforeAutospacing="0" w:after="0" w:afterAutospacing="0" w:line="360" w:lineRule="auto"/>
              <w:ind w:firstLine="480" w:firstLineChars="200"/>
              <w:rPr>
                <w:rFonts w:hint="default" w:ascii="Times New Roman" w:hAnsi="Times New Roman" w:cs="Times New Roman"/>
                <w:color w:val="auto"/>
                <w:kern w:val="2"/>
                <w:sz w:val="24"/>
                <w:szCs w:val="24"/>
                <w:highlight w:val="none"/>
              </w:rPr>
            </w:pPr>
          </w:p>
          <w:p>
            <w:pPr>
              <w:pStyle w:val="32"/>
              <w:rPr>
                <w:rFonts w:hint="default" w:ascii="Times New Roman" w:hAnsi="Times New Roman" w:eastAsia="宋体" w:cs="Times New Roman"/>
                <w:bCs w:val="0"/>
                <w:snapToGrid w:val="0"/>
                <w:color w:val="auto"/>
                <w:kern w:val="0"/>
                <w:sz w:val="24"/>
                <w:szCs w:val="24"/>
                <w:lang w:val="en-US" w:eastAsia="zh-CN" w:bidi="ar-SA"/>
              </w:rPr>
            </w:pPr>
          </w:p>
          <w:p>
            <w:pPr>
              <w:pStyle w:val="32"/>
              <w:rPr>
                <w:rFonts w:hint="default" w:ascii="Times New Roman" w:hAnsi="Times New Roman" w:eastAsia="宋体" w:cs="Times New Roman"/>
                <w:bCs w:val="0"/>
                <w:snapToGrid w:val="0"/>
                <w:color w:val="auto"/>
                <w:kern w:val="0"/>
                <w:sz w:val="24"/>
                <w:szCs w:val="24"/>
                <w:lang w:val="en-US" w:eastAsia="zh-CN" w:bidi="ar-SA"/>
              </w:rPr>
            </w:pPr>
          </w:p>
          <w:p>
            <w:pPr>
              <w:pStyle w:val="32"/>
              <w:rPr>
                <w:rFonts w:hint="default" w:ascii="Times New Roman" w:hAnsi="Times New Roman" w:eastAsia="宋体" w:cs="Times New Roman"/>
                <w:bCs w:val="0"/>
                <w:snapToGrid w:val="0"/>
                <w:color w:val="auto"/>
                <w:kern w:val="0"/>
                <w:sz w:val="24"/>
                <w:szCs w:val="24"/>
                <w:lang w:val="en-US" w:eastAsia="zh-CN" w:bidi="ar-SA"/>
              </w:rPr>
            </w:pPr>
          </w:p>
          <w:p>
            <w:pPr>
              <w:pStyle w:val="32"/>
              <w:rPr>
                <w:rFonts w:hint="default" w:ascii="Times New Roman" w:hAnsi="Times New Roman" w:eastAsia="宋体" w:cs="Times New Roman"/>
                <w:bCs w:val="0"/>
                <w:snapToGrid w:val="0"/>
                <w:color w:val="auto"/>
                <w:kern w:val="0"/>
                <w:sz w:val="24"/>
                <w:szCs w:val="24"/>
                <w:lang w:val="en-US" w:eastAsia="zh-CN" w:bidi="ar-SA"/>
              </w:rPr>
            </w:pPr>
          </w:p>
          <w:p>
            <w:pPr>
              <w:pStyle w:val="32"/>
              <w:rPr>
                <w:rFonts w:hint="default" w:ascii="Times New Roman" w:hAnsi="Times New Roman" w:eastAsia="宋体" w:cs="Times New Roman"/>
                <w:bCs w:val="0"/>
                <w:snapToGrid w:val="0"/>
                <w:color w:val="auto"/>
                <w:kern w:val="0"/>
                <w:sz w:val="24"/>
                <w:szCs w:val="24"/>
                <w:lang w:val="en-US" w:eastAsia="zh-CN" w:bidi="ar-SA"/>
              </w:rPr>
            </w:pPr>
          </w:p>
          <w:p>
            <w:pPr>
              <w:pStyle w:val="32"/>
              <w:rPr>
                <w:rFonts w:hint="default" w:ascii="Times New Roman" w:hAnsi="Times New Roman" w:eastAsia="宋体" w:cs="Times New Roman"/>
                <w:bCs w:val="0"/>
                <w:snapToGrid w:val="0"/>
                <w:color w:val="auto"/>
                <w:kern w:val="0"/>
                <w:sz w:val="24"/>
                <w:szCs w:val="24"/>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八、建设项目拟采取的防治措施及预期治理效果</w:t>
      </w:r>
    </w:p>
    <w:tbl>
      <w:tblPr>
        <w:tblStyle w:val="24"/>
        <w:tblW w:w="9638"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504"/>
        <w:gridCol w:w="1686"/>
        <w:gridCol w:w="2122"/>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tcBorders>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right"/>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内容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类型</w:t>
            </w:r>
          </w:p>
        </w:tc>
        <w:tc>
          <w:tcPr>
            <w:tcW w:w="15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（编号）</w:t>
            </w:r>
          </w:p>
        </w:tc>
        <w:tc>
          <w:tcPr>
            <w:tcW w:w="16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污染物名称</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防治措施</w:t>
            </w:r>
          </w:p>
        </w:tc>
        <w:tc>
          <w:tcPr>
            <w:tcW w:w="30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大气污染物</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加热炉废气</w:t>
            </w:r>
          </w:p>
        </w:tc>
        <w:tc>
          <w:tcPr>
            <w:tcW w:w="16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21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SCR脱硝+双碱法脱硫+湿式静电除尘</w:t>
            </w:r>
          </w:p>
        </w:tc>
        <w:tc>
          <w:tcPr>
            <w:tcW w:w="30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《钢铁工业大气污染物排放标准》（DB</w:t>
            </w:r>
            <w:r>
              <w:rPr>
                <w:rFonts w:hint="eastAsia" w:cs="Times New Roman"/>
                <w:color w:val="auto"/>
                <w:sz w:val="21"/>
                <w:szCs w:val="21"/>
                <w:highlight w:val="none"/>
                <w:lang w:val="en-US" w:eastAsia="zh-CN"/>
              </w:rPr>
              <w:t>37/990</w:t>
            </w:r>
            <w:r>
              <w:rPr>
                <w:rFonts w:hint="eastAsia" w:ascii="Times New Roman" w:hAnsi="Times New Roman" w:cs="Times New Roman"/>
                <w:color w:val="auto"/>
                <w:sz w:val="21"/>
                <w:szCs w:val="21"/>
                <w:highlight w:val="none"/>
                <w:lang w:val="en-US" w:eastAsia="zh-CN"/>
              </w:rPr>
              <w:t>-2019）表1标准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21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30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21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30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合理匹配尿素喷入量</w:t>
            </w:r>
          </w:p>
        </w:tc>
        <w:tc>
          <w:tcPr>
            <w:tcW w:w="30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《恶臭污染物排放标准》（GB14554-93）表2标准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机加工车间</w:t>
            </w:r>
          </w:p>
        </w:tc>
        <w:tc>
          <w:tcPr>
            <w:tcW w:w="16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移动式烟尘净化器</w:t>
            </w:r>
          </w:p>
        </w:tc>
        <w:tc>
          <w:tcPr>
            <w:tcW w:w="30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《钢铁工业大气污染物排放标准》（DB</w:t>
            </w:r>
            <w:r>
              <w:rPr>
                <w:rFonts w:hint="eastAsia" w:cs="Times New Roman"/>
                <w:color w:val="auto"/>
                <w:sz w:val="21"/>
                <w:szCs w:val="21"/>
                <w:highlight w:val="none"/>
                <w:lang w:val="en-US" w:eastAsia="zh-CN"/>
              </w:rPr>
              <w:t>37/990</w:t>
            </w:r>
            <w:r>
              <w:rPr>
                <w:rFonts w:hint="eastAsia" w:ascii="Times New Roman" w:hAnsi="Times New Roman" w:cs="Times New Roman"/>
                <w:color w:val="auto"/>
                <w:sz w:val="21"/>
                <w:szCs w:val="21"/>
                <w:highlight w:val="none"/>
                <w:lang w:val="en-US" w:eastAsia="zh-CN"/>
              </w:rPr>
              <w:t>-2019）表</w:t>
            </w: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水污染物</w:t>
            </w:r>
          </w:p>
        </w:tc>
        <w:tc>
          <w:tcPr>
            <w:tcW w:w="15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生产废水</w:t>
            </w:r>
          </w:p>
        </w:tc>
        <w:tc>
          <w:tcPr>
            <w:tcW w:w="16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COD、SS</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沉淀池沉淀后回用</w:t>
            </w:r>
          </w:p>
        </w:tc>
        <w:tc>
          <w:tcPr>
            <w:tcW w:w="30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全部回用不外排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16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COD、氨氮等</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经自建污水处理站处理后回用于厂区绿化和热轧用水</w:t>
            </w:r>
          </w:p>
        </w:tc>
        <w:tc>
          <w:tcPr>
            <w:tcW w:w="30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满足《城市污水再生利用 城市杂用水水质》（GB/T18920-2002）标</w:t>
            </w:r>
            <w:r>
              <w:rPr>
                <w:rFonts w:hint="eastAsia" w:cs="Times New Roman"/>
                <w:color w:val="auto"/>
                <w:sz w:val="21"/>
                <w:szCs w:val="21"/>
                <w:lang w:val="en-US" w:eastAsia="zh-CN"/>
              </w:rPr>
              <w:t>准和</w:t>
            </w:r>
            <w:r>
              <w:rPr>
                <w:rFonts w:hint="eastAsia"/>
                <w:color w:val="auto"/>
                <w:sz w:val="21"/>
                <w:szCs w:val="21"/>
                <w:lang w:val="en-US" w:eastAsia="zh-CN"/>
              </w:rPr>
              <w:t>《城市污水再生利用 工业用水水质》（GBT19923-2005）标准</w:t>
            </w:r>
            <w:r>
              <w:rPr>
                <w:rFonts w:hint="eastAsia" w:cs="Times New Roman"/>
                <w:color w:val="auto"/>
                <w:sz w:val="21"/>
                <w:szCs w:val="21"/>
                <w:highlight w:val="none"/>
                <w:lang w:val="en-US" w:eastAsia="zh-CN"/>
              </w:rPr>
              <w:t>要求后回用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固体废物</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生产过程</w:t>
            </w:r>
          </w:p>
        </w:tc>
        <w:tc>
          <w:tcPr>
            <w:tcW w:w="1686" w:type="dxa"/>
            <w:noWrap w:val="0"/>
            <w:vAlign w:val="center"/>
          </w:tcPr>
          <w:p>
            <w:pPr>
              <w:pStyle w:val="2"/>
              <w:spacing w:after="0"/>
              <w:ind w:left="0" w:leftChars="0" w:right="0" w:righ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
              </w:rPr>
            </w:pPr>
            <w:r>
              <w:rPr>
                <w:rFonts w:hint="eastAsia"/>
                <w:color w:val="auto"/>
                <w:highlight w:val="none"/>
                <w:vertAlign w:val="baseline"/>
                <w:lang w:val="en-US" w:eastAsia="zh-CN"/>
              </w:rPr>
              <w:t>氧化铁皮</w:t>
            </w:r>
          </w:p>
        </w:tc>
        <w:tc>
          <w:tcPr>
            <w:tcW w:w="21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外售综合利用</w:t>
            </w:r>
          </w:p>
        </w:tc>
        <w:tc>
          <w:tcPr>
            <w:tcW w:w="30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《一般工业固体废物贮存、处置场污染控制标准》（GB18599-2001）</w:t>
            </w:r>
            <w:r>
              <w:rPr>
                <w:rFonts w:hint="default" w:ascii="Times New Roman" w:hAnsi="Times New Roman" w:eastAsia="宋体"/>
                <w:color w:val="auto"/>
                <w:sz w:val="21"/>
                <w:szCs w:val="21"/>
                <w:lang w:val="en-US" w:eastAsia="zh-CN"/>
              </w:rPr>
              <w:t>及修</w:t>
            </w:r>
            <w:r>
              <w:rPr>
                <w:rFonts w:hint="default" w:ascii="Times New Roman" w:hAnsi="Times New Roman" w:eastAsia="宋体" w:cs="Times New Roman"/>
                <w:color w:val="auto"/>
                <w:sz w:val="21"/>
                <w:szCs w:val="21"/>
                <w:lang w:eastAsia="zh-CN"/>
              </w:rPr>
              <w:t>改单要求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p>
        </w:tc>
        <w:tc>
          <w:tcPr>
            <w:tcW w:w="1686" w:type="dxa"/>
            <w:noWrap w:val="0"/>
            <w:vAlign w:val="center"/>
          </w:tcPr>
          <w:p>
            <w:pPr>
              <w:pStyle w:val="2"/>
              <w:spacing w:after="0"/>
              <w:ind w:left="0" w:leftChars="0" w:right="0" w:rightChars="0" w:firstLine="0" w:firstLineChars="0"/>
              <w:jc w:val="center"/>
              <w:rPr>
                <w:rFonts w:hint="eastAsia"/>
                <w:color w:val="auto"/>
                <w:highlight w:val="none"/>
                <w:vertAlign w:val="baseline"/>
                <w:lang w:val="en-US" w:eastAsia="zh-CN"/>
              </w:rPr>
            </w:pPr>
            <w:r>
              <w:rPr>
                <w:rFonts w:hint="eastAsia"/>
                <w:color w:val="FF0000"/>
                <w:highlight w:val="none"/>
                <w:vertAlign w:val="baseline"/>
                <w:lang w:val="en-US" w:eastAsia="zh-CN"/>
              </w:rPr>
              <w:t>废铁屑</w:t>
            </w:r>
          </w:p>
        </w:tc>
        <w:tc>
          <w:tcPr>
            <w:tcW w:w="21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cs="Times New Roman"/>
                <w:color w:val="auto"/>
                <w:sz w:val="21"/>
                <w:szCs w:val="21"/>
                <w:lang w:val="en-US" w:eastAsia="zh-CN"/>
              </w:rPr>
            </w:pPr>
          </w:p>
        </w:tc>
        <w:tc>
          <w:tcPr>
            <w:tcW w:w="30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p>
        </w:tc>
        <w:tc>
          <w:tcPr>
            <w:tcW w:w="1686" w:type="dxa"/>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kern w:val="2"/>
                <w:sz w:val="21"/>
                <w:szCs w:val="24"/>
                <w:highlight w:val="none"/>
                <w:vertAlign w:val="baseline"/>
                <w:lang w:val="en-US" w:eastAsia="zh-CN" w:bidi="ar"/>
              </w:rPr>
            </w:pPr>
            <w:r>
              <w:rPr>
                <w:rFonts w:hint="eastAsia"/>
                <w:color w:val="auto"/>
                <w:highlight w:val="none"/>
                <w:vertAlign w:val="baseline"/>
                <w:lang w:val="en-US" w:eastAsia="zh-CN"/>
              </w:rPr>
              <w:t>废钢料头</w:t>
            </w:r>
          </w:p>
        </w:tc>
        <w:tc>
          <w:tcPr>
            <w:tcW w:w="21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cs="Times New Roman"/>
                <w:color w:val="auto"/>
                <w:sz w:val="21"/>
                <w:szCs w:val="21"/>
                <w:lang w:val="en-US" w:eastAsia="zh-CN"/>
              </w:rPr>
            </w:pPr>
          </w:p>
        </w:tc>
        <w:tc>
          <w:tcPr>
            <w:tcW w:w="30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员工生活</w:t>
            </w:r>
          </w:p>
        </w:tc>
        <w:tc>
          <w:tcPr>
            <w:tcW w:w="1686" w:type="dxa"/>
            <w:noWrap w:val="0"/>
            <w:vAlign w:val="center"/>
          </w:tcPr>
          <w:p>
            <w:pPr>
              <w:pStyle w:val="2"/>
              <w:spacing w:after="0"/>
              <w:ind w:left="0" w:leftChars="0" w:right="0" w:righ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生活垃圾</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环卫清运</w:t>
            </w:r>
          </w:p>
        </w:tc>
        <w:tc>
          <w:tcPr>
            <w:tcW w:w="30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废气治理</w:t>
            </w:r>
          </w:p>
        </w:tc>
        <w:tc>
          <w:tcPr>
            <w:tcW w:w="1686" w:type="dxa"/>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kern w:val="2"/>
                <w:sz w:val="21"/>
                <w:szCs w:val="24"/>
                <w:highlight w:val="none"/>
                <w:vertAlign w:val="baseline"/>
                <w:lang w:val="en-US" w:eastAsia="zh-CN" w:bidi="ar"/>
              </w:rPr>
            </w:pPr>
            <w:r>
              <w:rPr>
                <w:rFonts w:hint="eastAsia"/>
                <w:color w:val="auto"/>
                <w:highlight w:val="none"/>
                <w:vertAlign w:val="baseline"/>
                <w:lang w:val="en-US" w:eastAsia="zh-CN"/>
              </w:rPr>
              <w:t>脱硫石膏</w:t>
            </w:r>
          </w:p>
        </w:tc>
        <w:tc>
          <w:tcPr>
            <w:tcW w:w="21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有资质单位处置</w:t>
            </w:r>
          </w:p>
        </w:tc>
        <w:tc>
          <w:tcPr>
            <w:tcW w:w="30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color w:val="auto"/>
                <w:sz w:val="21"/>
                <w:szCs w:val="21"/>
                <w:lang w:val="en-US" w:eastAsia="zh-CN"/>
              </w:rPr>
            </w:pPr>
            <w:r>
              <w:rPr>
                <w:rFonts w:hint="default" w:ascii="Times New Roman" w:hAnsi="Times New Roman" w:eastAsia="宋体"/>
                <w:color w:val="auto"/>
                <w:sz w:val="21"/>
                <w:szCs w:val="21"/>
                <w:lang w:val="en-US" w:eastAsia="zh-CN"/>
              </w:rPr>
              <w:t>《危险废物贮存污染控制标准》</w:t>
            </w:r>
            <w:r>
              <w:rPr>
                <w:rFonts w:hint="eastAsia" w:ascii="Times New Roman" w:hAnsi="Times New Roman"/>
                <w:color w:val="auto"/>
                <w:sz w:val="21"/>
                <w:szCs w:val="21"/>
                <w:lang w:val="en-US" w:eastAsia="zh-CN"/>
              </w:rPr>
              <w:t>（GB18597-2001）及修改单要求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p>
        </w:tc>
        <w:tc>
          <w:tcPr>
            <w:tcW w:w="1686" w:type="dxa"/>
            <w:noWrap w:val="0"/>
            <w:vAlign w:val="center"/>
          </w:tcPr>
          <w:p>
            <w:pPr>
              <w:pStyle w:val="2"/>
              <w:spacing w:after="0"/>
              <w:ind w:left="0" w:leftChars="0" w:right="0" w:righ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废催化剂</w:t>
            </w:r>
          </w:p>
        </w:tc>
        <w:tc>
          <w:tcPr>
            <w:tcW w:w="21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cs="Times New Roman"/>
                <w:color w:val="auto"/>
                <w:sz w:val="21"/>
                <w:szCs w:val="21"/>
                <w:lang w:val="en-US" w:eastAsia="zh-CN"/>
              </w:rPr>
            </w:pPr>
          </w:p>
        </w:tc>
        <w:tc>
          <w:tcPr>
            <w:tcW w:w="30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5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设备维护</w:t>
            </w:r>
          </w:p>
        </w:tc>
        <w:tc>
          <w:tcPr>
            <w:tcW w:w="1686" w:type="dxa"/>
            <w:noWrap w:val="0"/>
            <w:vAlign w:val="center"/>
          </w:tcPr>
          <w:p>
            <w:pPr>
              <w:pStyle w:val="2"/>
              <w:spacing w:after="0"/>
              <w:ind w:left="0" w:leftChars="0" w:right="0" w:rightChars="0" w:firstLine="0" w:firstLineChars="0"/>
              <w:jc w:val="center"/>
              <w:rPr>
                <w:rFonts w:hint="eastAsia" w:ascii="Times New Roman" w:hAnsi="Times New Roman" w:eastAsia="宋体" w:cs="Times New Roman"/>
                <w:color w:val="auto"/>
                <w:kern w:val="2"/>
                <w:sz w:val="21"/>
                <w:szCs w:val="24"/>
                <w:highlight w:val="none"/>
                <w:vertAlign w:val="baseline"/>
                <w:lang w:val="en-US" w:eastAsia="zh-CN" w:bidi="ar"/>
              </w:rPr>
            </w:pPr>
            <w:r>
              <w:rPr>
                <w:rFonts w:hint="eastAsia"/>
                <w:color w:val="auto"/>
                <w:highlight w:val="none"/>
                <w:vertAlign w:val="baseline"/>
                <w:lang w:val="en-US" w:eastAsia="zh-CN"/>
              </w:rPr>
              <w:t>废油桶</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有资质单位处置</w:t>
            </w:r>
          </w:p>
        </w:tc>
        <w:tc>
          <w:tcPr>
            <w:tcW w:w="30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w:t>
            </w:r>
          </w:p>
        </w:tc>
        <w:tc>
          <w:tcPr>
            <w:tcW w:w="840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将生产设备全部置于生产车间内，在高噪音设备基底配隔板、减振垫，合理布置车间内的机械设备。噪声在采取合理的噪声防治措施后，经车间屏蔽和车间距厂界距离的衰减，能够满足《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840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38" w:type="dxa"/>
            <w:gridSpan w:val="5"/>
            <w:noWrap w:val="0"/>
            <w:vAlign w:val="top"/>
          </w:tcPr>
          <w:p>
            <w:pPr>
              <w:spacing w:line="300" w:lineRule="auto"/>
              <w:rPr>
                <w:rFonts w:hint="default"/>
                <w:color w:val="auto"/>
              </w:rPr>
            </w:pPr>
            <w:r>
              <w:rPr>
                <w:rFonts w:hint="default"/>
                <w:color w:val="auto"/>
              </w:rPr>
              <w:t>生态保护措施：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color w:val="auto"/>
              </w:rPr>
            </w:pPr>
            <w:r>
              <w:rPr>
                <w:rFonts w:hint="default"/>
                <w:color w:val="auto"/>
              </w:rPr>
              <w:t>拟建项目主要通过确保污染物达标排放、加强对周围绿化树木的保护和管理等途径来保护周围生态环境。</w:t>
            </w:r>
          </w:p>
          <w:p>
            <w:pPr>
              <w:pStyle w:val="32"/>
              <w:rPr>
                <w:rFonts w:hint="default"/>
                <w:color w:val="auto"/>
              </w:rPr>
            </w:pPr>
          </w:p>
          <w:p>
            <w:pPr>
              <w:pStyle w:val="32"/>
              <w:rPr>
                <w:rFonts w:hint="default"/>
                <w:color w:val="auto"/>
              </w:rPr>
            </w:pPr>
          </w:p>
          <w:p>
            <w:pPr>
              <w:pStyle w:val="32"/>
              <w:rPr>
                <w:rFonts w:hint="default"/>
                <w:color w:val="auto"/>
              </w:rPr>
            </w:pPr>
          </w:p>
          <w:p>
            <w:pPr>
              <w:pStyle w:val="32"/>
              <w:rPr>
                <w:rFonts w:hint="default"/>
                <w:color w:val="auto"/>
              </w:rPr>
            </w:pPr>
          </w:p>
          <w:p>
            <w:pPr>
              <w:pStyle w:val="32"/>
              <w:rPr>
                <w:rFonts w:hint="default"/>
                <w:color w:val="auto"/>
              </w:rPr>
            </w:pPr>
          </w:p>
          <w:p>
            <w:pPr>
              <w:pStyle w:val="32"/>
              <w:rPr>
                <w:rFonts w:hint="default"/>
                <w:color w:val="auto"/>
              </w:rPr>
            </w:pPr>
          </w:p>
          <w:p>
            <w:pPr>
              <w:pStyle w:val="32"/>
              <w:rPr>
                <w:rFonts w:hint="default"/>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九、结论与建议</w:t>
      </w:r>
    </w:p>
    <w:tbl>
      <w:tblPr>
        <w:tblStyle w:val="24"/>
        <w:tblW w:w="9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317" w:hRule="atLeast"/>
          <w:jc w:val="center"/>
        </w:trPr>
        <w:tc>
          <w:tcPr>
            <w:tcW w:w="9638"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szCs w:val="32"/>
              </w:rPr>
            </w:pPr>
            <w:r>
              <w:rPr>
                <w:rFonts w:hint="default" w:ascii="Times New Roman" w:hAnsi="Times New Roman" w:eastAsia="宋体"/>
                <w:b/>
                <w:bCs/>
                <w:color w:val="auto"/>
                <w:sz w:val="24"/>
                <w:szCs w:val="32"/>
              </w:rPr>
              <w:t>1结论</w:t>
            </w:r>
          </w:p>
          <w:p>
            <w:pPr>
              <w:keepNext w:val="0"/>
              <w:pageBreakBefore w:val="0"/>
              <w:kinsoku/>
              <w:wordWrap/>
              <w:overflowPunct/>
              <w:topLinePunct w:val="0"/>
              <w:bidi w:val="0"/>
              <w:spacing w:line="360" w:lineRule="auto"/>
              <w:rPr>
                <w:rFonts w:hint="default" w:ascii="Times New Roman" w:hAnsi="Times New Roman" w:eastAsia="宋体"/>
                <w:b/>
                <w:bCs/>
                <w:color w:val="auto"/>
                <w:sz w:val="24"/>
                <w:szCs w:val="32"/>
              </w:rPr>
            </w:pPr>
            <w:r>
              <w:rPr>
                <w:rFonts w:hint="default" w:ascii="Times New Roman" w:hAnsi="Times New Roman" w:eastAsia="宋体"/>
                <w:b/>
                <w:bCs/>
                <w:color w:val="auto"/>
                <w:sz w:val="24"/>
                <w:szCs w:val="32"/>
              </w:rPr>
              <w:t>1.1项目概况</w:t>
            </w:r>
          </w:p>
          <w:p>
            <w:pPr>
              <w:pStyle w:val="46"/>
              <w:keepNext w:val="0"/>
              <w:pageBreakBefore w:val="0"/>
              <w:kinsoku/>
              <w:wordWrap/>
              <w:overflowPunct/>
              <w:topLinePunct w:val="0"/>
              <w:bidi w:val="0"/>
              <w:adjustRightInd w:val="0"/>
              <w:snapToGrid w:val="0"/>
              <w:spacing w:line="360" w:lineRule="auto"/>
              <w:ind w:firstLine="480" w:firstLineChars="200"/>
              <w:jc w:val="both"/>
              <w:textAlignment w:val="baseline"/>
              <w:outlineLvl w:val="9"/>
              <w:rPr>
                <w:rFonts w:hint="default" w:ascii="Times New Roman" w:hAnsi="Times New Roman" w:eastAsia="宋体"/>
                <w:color w:val="auto"/>
                <w:sz w:val="24"/>
                <w:lang w:val="en-US" w:eastAsia="zh-CN"/>
              </w:rPr>
            </w:pPr>
            <w:r>
              <w:rPr>
                <w:rFonts w:hint="eastAsia"/>
                <w:color w:val="auto"/>
                <w:sz w:val="24"/>
                <w:lang w:val="en-US" w:eastAsia="zh-CN"/>
              </w:rPr>
              <w:t>莱芜钢铁集团泰东实业有限公司轧钢厂</w:t>
            </w:r>
            <w:r>
              <w:rPr>
                <w:rFonts w:hint="eastAsia" w:ascii="Times New Roman" w:hAnsi="Times New Roman" w:eastAsia="宋体"/>
                <w:color w:val="auto"/>
                <w:sz w:val="24"/>
                <w:lang w:val="en-US" w:eastAsia="zh-CN"/>
              </w:rPr>
              <w:t>拟投资</w:t>
            </w:r>
            <w:r>
              <w:rPr>
                <w:rFonts w:hint="eastAsia"/>
                <w:color w:val="auto"/>
                <w:sz w:val="24"/>
                <w:lang w:val="en-US" w:eastAsia="zh-CN"/>
              </w:rPr>
              <w:t>3234万元</w:t>
            </w:r>
            <w:r>
              <w:rPr>
                <w:rFonts w:hint="eastAsia" w:ascii="Times New Roman" w:hAnsi="Times New Roman" w:eastAsia="宋体"/>
                <w:color w:val="auto"/>
                <w:sz w:val="24"/>
                <w:lang w:val="en-US" w:eastAsia="zh-CN"/>
              </w:rPr>
              <w:t>，新上</w:t>
            </w:r>
            <w:r>
              <w:rPr>
                <w:rFonts w:hint="eastAsia"/>
                <w:color w:val="auto"/>
                <w:sz w:val="24"/>
                <w:lang w:val="en-US" w:eastAsia="zh-CN"/>
              </w:rPr>
              <w:t>轧钢线工艺技术改造项目</w:t>
            </w:r>
            <w:r>
              <w:rPr>
                <w:rFonts w:hint="eastAsia" w:ascii="Times New Roman" w:hAnsi="Times New Roman" w:eastAsia="宋体"/>
                <w:color w:val="auto"/>
                <w:sz w:val="24"/>
                <w:lang w:val="en-US" w:eastAsia="zh-CN"/>
              </w:rPr>
              <w:t>，项目位于</w:t>
            </w:r>
            <w:r>
              <w:rPr>
                <w:rFonts w:hint="eastAsia"/>
                <w:color w:val="auto"/>
                <w:sz w:val="24"/>
                <w:lang w:val="en-US" w:eastAsia="zh-CN"/>
              </w:rPr>
              <w:t>济南市钢城区里辛街道北赵村</w:t>
            </w:r>
            <w:r>
              <w:rPr>
                <w:rFonts w:hint="eastAsia" w:ascii="Times New Roman" w:hAnsi="Times New Roman" w:eastAsia="宋体"/>
                <w:color w:val="auto"/>
                <w:sz w:val="24"/>
                <w:lang w:val="en-US" w:eastAsia="zh-CN"/>
              </w:rPr>
              <w:t>，</w:t>
            </w:r>
            <w:r>
              <w:rPr>
                <w:rFonts w:hint="eastAsia"/>
                <w:color w:val="auto"/>
                <w:sz w:val="24"/>
                <w:lang w:val="en-US" w:eastAsia="zh-CN"/>
              </w:rPr>
              <w:t>占地面积28000</w:t>
            </w:r>
            <w:r>
              <w:rPr>
                <w:rFonts w:hint="eastAsia" w:ascii="Times New Roman" w:hAnsi="Times New Roman" w:eastAsia="宋体"/>
                <w:color w:val="auto"/>
                <w:sz w:val="24"/>
                <w:lang w:val="en-US" w:eastAsia="zh-CN"/>
              </w:rPr>
              <w:t>平方米，建成后年产</w:t>
            </w:r>
            <w:r>
              <w:rPr>
                <w:rFonts w:hint="eastAsia"/>
                <w:color w:val="auto"/>
                <w:sz w:val="24"/>
                <w:lang w:val="en-US" w:eastAsia="zh-CN"/>
              </w:rPr>
              <w:t>各种型号轧钢型材20万吨</w:t>
            </w:r>
            <w:r>
              <w:rPr>
                <w:rFonts w:hint="default" w:ascii="Times New Roman" w:hAnsi="Times New Roman" w:eastAsia="宋体"/>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szCs w:val="32"/>
              </w:rPr>
            </w:pPr>
            <w:r>
              <w:rPr>
                <w:rFonts w:hint="default" w:ascii="Times New Roman" w:hAnsi="Times New Roman" w:eastAsia="宋体"/>
                <w:b/>
                <w:bCs/>
                <w:color w:val="auto"/>
                <w:sz w:val="24"/>
                <w:szCs w:val="32"/>
              </w:rPr>
              <w:t>1.2产业政策符合性结论</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bCs w:val="0"/>
                <w:color w:val="auto"/>
                <w:kern w:val="2"/>
                <w:szCs w:val="24"/>
              </w:rPr>
            </w:pPr>
            <w:r>
              <w:rPr>
                <w:rFonts w:hint="eastAsia" w:ascii="Times New Roman" w:hAnsi="Times New Roman" w:cs="Times New Roman"/>
                <w:bCs w:val="0"/>
                <w:color w:val="auto"/>
                <w:kern w:val="2"/>
                <w:szCs w:val="24"/>
                <w:lang w:eastAsia="zh-CN"/>
              </w:rPr>
              <w:t>本项目</w:t>
            </w:r>
            <w:r>
              <w:rPr>
                <w:rFonts w:hint="eastAsia" w:ascii="Times New Roman" w:hAnsi="Times New Roman" w:cs="Times New Roman"/>
                <w:bCs w:val="0"/>
                <w:color w:val="auto"/>
                <w:kern w:val="2"/>
                <w:szCs w:val="24"/>
                <w:lang w:val="en-US" w:eastAsia="zh-CN"/>
              </w:rPr>
              <w:t>属于钢压延加工产业，经查找</w:t>
            </w:r>
            <w:r>
              <w:rPr>
                <w:rFonts w:hint="eastAsia" w:ascii="Times New Roman" w:hAnsi="Times New Roman" w:cs="Times New Roman"/>
                <w:bCs w:val="0"/>
                <w:color w:val="auto"/>
                <w:kern w:val="2"/>
                <w:szCs w:val="24"/>
              </w:rPr>
              <w:t>《产业结构调整指导目录（201</w:t>
            </w:r>
            <w:r>
              <w:rPr>
                <w:rFonts w:hint="eastAsia" w:ascii="Times New Roman" w:hAnsi="Times New Roman" w:cs="Times New Roman"/>
                <w:bCs w:val="0"/>
                <w:color w:val="auto"/>
                <w:kern w:val="2"/>
                <w:szCs w:val="24"/>
                <w:lang w:val="en-US" w:eastAsia="zh-CN"/>
              </w:rPr>
              <w:t>9</w:t>
            </w:r>
            <w:r>
              <w:rPr>
                <w:rFonts w:hint="eastAsia" w:ascii="Times New Roman" w:hAnsi="Times New Roman" w:cs="Times New Roman"/>
                <w:bCs w:val="0"/>
                <w:color w:val="auto"/>
                <w:kern w:val="2"/>
                <w:szCs w:val="24"/>
              </w:rPr>
              <w:t>年本）》</w:t>
            </w:r>
            <w:r>
              <w:rPr>
                <w:rFonts w:hint="eastAsia" w:ascii="Times New Roman" w:hAnsi="Times New Roman" w:cs="Times New Roman"/>
                <w:bCs w:val="0"/>
                <w:color w:val="auto"/>
                <w:kern w:val="2"/>
                <w:szCs w:val="24"/>
                <w:lang w:eastAsia="zh-CN"/>
              </w:rPr>
              <w:t>，项目所用轧制工艺和轧制设备不属于淘汰类和限制类，属于</w:t>
            </w:r>
            <w:r>
              <w:rPr>
                <w:rFonts w:hint="eastAsia" w:ascii="Times New Roman" w:hAnsi="Times New Roman" w:cs="Times New Roman"/>
                <w:bCs w:val="0"/>
                <w:color w:val="auto"/>
                <w:kern w:val="2"/>
                <w:szCs w:val="24"/>
                <w:lang w:val="en-US" w:eastAsia="zh-CN"/>
              </w:rPr>
              <w:t>允许类项目</w:t>
            </w:r>
            <w:r>
              <w:rPr>
                <w:rFonts w:hint="eastAsia" w:ascii="Times New Roman" w:hAnsi="Times New Roman" w:cs="Times New Roman"/>
                <w:bCs w:val="0"/>
                <w:color w:val="auto"/>
                <w:kern w:val="2"/>
                <w:szCs w:val="24"/>
              </w:rPr>
              <w:t>，</w:t>
            </w:r>
            <w:r>
              <w:rPr>
                <w:rFonts w:hint="eastAsia" w:ascii="Times New Roman" w:hAnsi="Times New Roman" w:cs="Times New Roman"/>
                <w:bCs w:val="0"/>
                <w:color w:val="auto"/>
                <w:kern w:val="2"/>
                <w:szCs w:val="24"/>
                <w:lang w:eastAsia="zh-CN"/>
              </w:rPr>
              <w:t>且项目为技改项目，不新增产能，项目的建设</w:t>
            </w:r>
            <w:r>
              <w:rPr>
                <w:rFonts w:hint="eastAsia" w:ascii="Times New Roman" w:hAnsi="Times New Roman" w:cs="Times New Roman"/>
                <w:bCs w:val="0"/>
                <w:color w:val="auto"/>
                <w:kern w:val="2"/>
                <w:szCs w:val="24"/>
              </w:rPr>
              <w:t>符合</w:t>
            </w:r>
            <w:r>
              <w:rPr>
                <w:rFonts w:hint="eastAsia" w:ascii="Times New Roman" w:hAnsi="Times New Roman" w:cs="Times New Roman"/>
                <w:bCs w:val="0"/>
                <w:color w:val="auto"/>
                <w:kern w:val="2"/>
                <w:szCs w:val="24"/>
                <w:lang w:eastAsia="zh-CN"/>
              </w:rPr>
              <w:t>《</w:t>
            </w:r>
            <w:r>
              <w:rPr>
                <w:rFonts w:hint="default" w:ascii="Times New Roman" w:hAnsi="Times New Roman" w:cs="Times New Roman"/>
                <w:bCs w:val="0"/>
                <w:color w:val="auto"/>
                <w:kern w:val="2"/>
                <w:szCs w:val="24"/>
                <w:lang w:val="en-US" w:eastAsia="zh-CN"/>
              </w:rPr>
              <w:t>钢铁行业规范条件</w:t>
            </w:r>
            <w:r>
              <w:rPr>
                <w:rFonts w:hint="eastAsia" w:ascii="Times New Roman" w:hAnsi="Times New Roman" w:cs="Times New Roman"/>
                <w:bCs w:val="0"/>
                <w:color w:val="auto"/>
                <w:kern w:val="2"/>
                <w:szCs w:val="24"/>
                <w:lang w:eastAsia="zh-CN"/>
              </w:rPr>
              <w:t>》等</w:t>
            </w:r>
            <w:r>
              <w:rPr>
                <w:rFonts w:hint="eastAsia" w:ascii="Times New Roman" w:hAnsi="Times New Roman" w:cs="Times New Roman"/>
                <w:bCs w:val="0"/>
                <w:color w:val="auto"/>
                <w:kern w:val="2"/>
                <w:szCs w:val="24"/>
              </w:rPr>
              <w:t>国家的产业政策要求。</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b/>
                <w:bCs w:val="0"/>
                <w:color w:val="auto"/>
                <w:sz w:val="24"/>
                <w:lang w:val="en-US" w:eastAsia="zh-CN"/>
              </w:rPr>
            </w:pPr>
            <w:r>
              <w:rPr>
                <w:rFonts w:hint="default" w:ascii="Times New Roman" w:hAnsi="Times New Roman" w:eastAsia="宋体"/>
                <w:b/>
                <w:bCs w:val="0"/>
                <w:color w:val="auto"/>
                <w:sz w:val="24"/>
              </w:rPr>
              <w:t>1.</w:t>
            </w:r>
            <w:r>
              <w:rPr>
                <w:rFonts w:hint="eastAsia" w:ascii="Times New Roman" w:hAnsi="Times New Roman" w:eastAsia="宋体"/>
                <w:b/>
                <w:bCs w:val="0"/>
                <w:color w:val="auto"/>
                <w:sz w:val="24"/>
                <w:lang w:val="en-US" w:eastAsia="zh-CN"/>
              </w:rPr>
              <w:t>3与</w:t>
            </w:r>
            <w:r>
              <w:rPr>
                <w:rFonts w:hint="default" w:ascii="Times New Roman" w:hAnsi="Times New Roman" w:eastAsia="宋体"/>
                <w:b/>
                <w:bCs w:val="0"/>
                <w:color w:val="auto"/>
                <w:sz w:val="24"/>
                <w:lang w:val="en-US" w:eastAsia="zh-CN"/>
              </w:rPr>
              <w:t>“三线一单”符合性</w:t>
            </w:r>
            <w:r>
              <w:rPr>
                <w:rFonts w:hint="eastAsia" w:ascii="Times New Roman" w:hAnsi="Times New Roman" w:eastAsia="宋体"/>
                <w:b/>
                <w:bCs w:val="0"/>
                <w:color w:val="auto"/>
                <w:sz w:val="24"/>
                <w:lang w:val="en-US" w:eastAsia="zh-CN"/>
              </w:rPr>
              <w:t>结论</w:t>
            </w:r>
          </w:p>
          <w:p>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rPr>
              <w:t>项目</w:t>
            </w:r>
            <w:r>
              <w:rPr>
                <w:rFonts w:hint="eastAsia" w:ascii="Times New Roman" w:hAnsi="Times New Roman" w:eastAsia="宋体"/>
                <w:color w:val="auto"/>
                <w:sz w:val="24"/>
                <w:lang w:val="en-US" w:eastAsia="zh-CN"/>
              </w:rPr>
              <w:t>位于</w:t>
            </w:r>
            <w:r>
              <w:rPr>
                <w:rFonts w:hint="eastAsia" w:ascii="Times New Roman" w:hAnsi="Times New Roman"/>
                <w:color w:val="auto"/>
                <w:sz w:val="24"/>
                <w:lang w:val="en-US" w:eastAsia="zh-CN"/>
              </w:rPr>
              <w:t>济南市钢城区里辛街道北赵村</w:t>
            </w:r>
            <w:r>
              <w:rPr>
                <w:rFonts w:hint="default" w:ascii="Times New Roman" w:hAnsi="Times New Roman" w:eastAsia="宋体"/>
                <w:color w:val="auto"/>
                <w:sz w:val="24"/>
              </w:rPr>
              <w:t>，不在《山东省生态保护红线规划（2016—2020年）》划定的生态红线区内。</w:t>
            </w:r>
          </w:p>
          <w:p>
            <w:pPr>
              <w:keepNext w:val="0"/>
              <w:pageBreakBefore w:val="0"/>
              <w:kinsoku/>
              <w:wordWrap/>
              <w:overflowPunct/>
              <w:topLinePunct w:val="0"/>
              <w:bidi w:val="0"/>
              <w:adjustRightInd/>
              <w:spacing w:line="360" w:lineRule="auto"/>
              <w:rPr>
                <w:rFonts w:hint="eastAsia" w:ascii="Times New Roman" w:hAnsi="Times New Roman" w:eastAsia="宋体"/>
                <w:color w:val="auto"/>
                <w:sz w:val="24"/>
                <w:lang w:val="en-US" w:eastAsia="zh-CN"/>
              </w:rPr>
            </w:pPr>
            <w:r>
              <w:rPr>
                <w:rFonts w:hint="eastAsia" w:ascii="Times New Roman" w:hAnsi="Times New Roman" w:eastAsia="宋体"/>
                <w:b/>
                <w:bCs/>
                <w:color w:val="auto"/>
                <w:sz w:val="24"/>
                <w:lang w:val="en-US" w:eastAsia="zh-CN"/>
              </w:rPr>
              <w:t>1.4与相关环保政策的符合性结论</w:t>
            </w:r>
          </w:p>
          <w:p>
            <w:pPr>
              <w:keepNext w:val="0"/>
              <w:pageBreakBefore w:val="0"/>
              <w:kinsoku/>
              <w:wordWrap/>
              <w:overflowPunct/>
              <w:topLinePunct w:val="0"/>
              <w:bidi w:val="0"/>
              <w:spacing w:line="360" w:lineRule="auto"/>
              <w:ind w:firstLine="480" w:firstLineChars="200"/>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（1）项目为</w:t>
            </w:r>
            <w:r>
              <w:rPr>
                <w:rFonts w:hint="eastAsia"/>
                <w:color w:val="auto"/>
                <w:sz w:val="24"/>
                <w:lang w:val="en-US" w:eastAsia="zh-CN"/>
              </w:rPr>
              <w:t>轧钢线工艺技术改造项目</w:t>
            </w:r>
            <w:r>
              <w:rPr>
                <w:rFonts w:hint="eastAsia" w:ascii="Times New Roman" w:hAnsi="Times New Roman" w:eastAsia="宋体"/>
                <w:color w:val="auto"/>
                <w:sz w:val="24"/>
                <w:lang w:val="en-US" w:eastAsia="zh-CN"/>
              </w:rPr>
              <w:t>，主要原料为清洁能源</w:t>
            </w:r>
            <w:r>
              <w:rPr>
                <w:rFonts w:hint="eastAsia"/>
                <w:color w:val="auto"/>
                <w:sz w:val="24"/>
                <w:lang w:val="en-US" w:eastAsia="zh-CN"/>
              </w:rPr>
              <w:t>焦炉煤气</w:t>
            </w:r>
            <w:r>
              <w:rPr>
                <w:rFonts w:hint="eastAsia" w:ascii="Times New Roman" w:hAnsi="Times New Roman" w:eastAsia="宋体"/>
                <w:color w:val="auto"/>
                <w:sz w:val="24"/>
                <w:lang w:val="en-US" w:eastAsia="zh-CN"/>
              </w:rPr>
              <w:t>，在生产过程中通过</w:t>
            </w:r>
            <w:r>
              <w:rPr>
                <w:rFonts w:hint="eastAsia"/>
                <w:color w:val="auto"/>
                <w:sz w:val="24"/>
                <w:lang w:val="en-US" w:eastAsia="zh-CN"/>
              </w:rPr>
              <w:t>SCR脱硝+双碱法脱硫+湿式静电除尘</w:t>
            </w:r>
            <w:r>
              <w:rPr>
                <w:rFonts w:hint="eastAsia" w:ascii="Times New Roman" w:hAnsi="Times New Roman" w:eastAsia="宋体"/>
                <w:color w:val="auto"/>
                <w:sz w:val="24"/>
                <w:lang w:val="en-US" w:eastAsia="zh-CN"/>
              </w:rPr>
              <w:t>等措施对产生的废气进行处理排放。通过采取此种防治措施，可以有效控制本项目废气的排放。符合“蓝天保卫战”要求。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（2）本项目不属于过剩和落后产业，不消费煤炭，项目能源使用</w:t>
            </w:r>
            <w:r>
              <w:rPr>
                <w:rFonts w:hint="eastAsia"/>
                <w:color w:val="auto"/>
                <w:sz w:val="24"/>
                <w:lang w:val="en-US" w:eastAsia="zh-CN"/>
              </w:rPr>
              <w:t>焦炉煤气</w:t>
            </w:r>
            <w:r>
              <w:rPr>
                <w:rFonts w:hint="eastAsia" w:ascii="Times New Roman" w:hAnsi="Times New Roman" w:eastAsia="宋体"/>
                <w:color w:val="auto"/>
                <w:sz w:val="24"/>
                <w:lang w:val="en-US" w:eastAsia="zh-CN"/>
              </w:rPr>
              <w:t>，符合“四减四增”要求。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（3）项目主要大气污染物为</w:t>
            </w:r>
            <w:r>
              <w:rPr>
                <w:rFonts w:hint="default" w:ascii="Times New Roman" w:hAnsi="Times New Roman" w:eastAsia="宋体"/>
                <w:color w:val="auto"/>
                <w:sz w:val="24"/>
                <w:lang w:val="en-US" w:eastAsia="zh-CN"/>
              </w:rPr>
              <w:t>SO</w:t>
            </w:r>
            <w:r>
              <w:rPr>
                <w:rFonts w:hint="default" w:ascii="Times New Roman" w:hAnsi="Times New Roman" w:eastAsia="宋体"/>
                <w:color w:val="auto"/>
                <w:sz w:val="24"/>
                <w:vertAlign w:val="subscript"/>
                <w:lang w:val="en-US" w:eastAsia="zh-CN"/>
              </w:rPr>
              <w:t>2</w:t>
            </w:r>
            <w:r>
              <w:rPr>
                <w:rFonts w:hint="default" w:ascii="Times New Roman" w:hAnsi="Times New Roman" w:eastAsia="宋体"/>
                <w:color w:val="auto"/>
                <w:sz w:val="24"/>
                <w:lang w:val="en-US" w:eastAsia="zh-CN"/>
              </w:rPr>
              <w:t>、NO</w:t>
            </w:r>
            <w:r>
              <w:rPr>
                <w:rFonts w:hint="eastAsia"/>
                <w:color w:val="auto"/>
                <w:sz w:val="24"/>
                <w:lang w:val="en-US" w:eastAsia="zh-CN"/>
              </w:rPr>
              <w:t>x</w:t>
            </w:r>
            <w:r>
              <w:rPr>
                <w:rFonts w:hint="eastAsia" w:ascii="Times New Roman" w:hAnsi="Times New Roman" w:eastAsia="宋体"/>
                <w:color w:val="auto"/>
                <w:sz w:val="24"/>
                <w:lang w:val="en-US" w:eastAsia="zh-CN"/>
              </w:rPr>
              <w:t>、颗粒物，生产过程废气均能达标排放，项目生产过程中，不使用和生产含挥发性有机物的原料、产品，无挥发性有机物的排放。项目基本符合《山东省大气污染防治条例》相关要求。</w:t>
            </w:r>
          </w:p>
          <w:p>
            <w:pPr>
              <w:keepNext w:val="0"/>
              <w:pageBreakBefore w:val="0"/>
              <w:numPr>
                <w:ilvl w:val="0"/>
                <w:numId w:val="0"/>
              </w:numPr>
              <w:kinsoku/>
              <w:wordWrap/>
              <w:overflowPunct/>
              <w:topLinePunct w:val="0"/>
              <w:bidi w:val="0"/>
              <w:spacing w:line="360" w:lineRule="auto"/>
              <w:ind w:firstLine="480" w:firstLineChars="200"/>
              <w:jc w:val="both"/>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（4）项目位于</w:t>
            </w:r>
            <w:r>
              <w:rPr>
                <w:rFonts w:hint="eastAsia"/>
                <w:color w:val="auto"/>
                <w:sz w:val="24"/>
                <w:lang w:val="en-US" w:eastAsia="zh-CN"/>
              </w:rPr>
              <w:t>工业聚集区</w:t>
            </w:r>
            <w:r>
              <w:rPr>
                <w:rFonts w:hint="eastAsia" w:ascii="Times New Roman" w:hAnsi="Times New Roman" w:eastAsia="宋体"/>
                <w:color w:val="auto"/>
                <w:sz w:val="24"/>
                <w:lang w:val="en-US" w:eastAsia="zh-CN"/>
              </w:rPr>
              <w:t>，符合</w:t>
            </w:r>
            <w:r>
              <w:rPr>
                <w:rFonts w:hint="default" w:ascii="Times New Roman" w:hAnsi="Times New Roman" w:eastAsia="宋体"/>
                <w:color w:val="auto"/>
                <w:sz w:val="24"/>
                <w:lang w:val="en-US" w:eastAsia="zh-CN"/>
              </w:rPr>
              <w:t>《山东省环境保护条例》</w:t>
            </w:r>
            <w:r>
              <w:rPr>
                <w:rFonts w:hint="eastAsia" w:ascii="Times New Roman" w:hAnsi="Times New Roman" w:eastAsia="宋体"/>
                <w:color w:val="auto"/>
                <w:sz w:val="24"/>
                <w:lang w:val="en-US" w:eastAsia="zh-CN"/>
              </w:rPr>
              <w:t>相关要求。</w:t>
            </w:r>
          </w:p>
          <w:p>
            <w:pPr>
              <w:keepNext w:val="0"/>
              <w:pageBreakBefore w:val="0"/>
              <w:kinsoku/>
              <w:wordWrap/>
              <w:overflowPunct/>
              <w:topLinePunct w:val="0"/>
              <w:bidi w:val="0"/>
              <w:adjustRightInd/>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（5）项目属于</w:t>
            </w:r>
            <w:r>
              <w:rPr>
                <w:rFonts w:hint="eastAsia" w:ascii="Times New Roman" w:hAnsi="Times New Roman" w:cs="Times New Roman"/>
                <w:b w:val="0"/>
                <w:bCs w:val="0"/>
                <w:snapToGrid/>
                <w:color w:val="auto"/>
                <w:spacing w:val="0"/>
                <w:kern w:val="2"/>
                <w:sz w:val="24"/>
                <w:szCs w:val="24"/>
                <w:lang w:val="en-US" w:eastAsia="zh-CN"/>
              </w:rPr>
              <w:t>C</w:t>
            </w:r>
            <w:r>
              <w:rPr>
                <w:rFonts w:hint="eastAsia" w:cs="Times New Roman"/>
                <w:b w:val="0"/>
                <w:bCs w:val="0"/>
                <w:snapToGrid/>
                <w:color w:val="auto"/>
                <w:spacing w:val="0"/>
                <w:kern w:val="2"/>
                <w:sz w:val="24"/>
                <w:szCs w:val="24"/>
                <w:lang w:val="en-US" w:eastAsia="zh-CN"/>
              </w:rPr>
              <w:t>3130 钢压延加工</w:t>
            </w:r>
            <w:r>
              <w:rPr>
                <w:rFonts w:hint="eastAsia" w:ascii="Times New Roman" w:hAnsi="Times New Roman" w:eastAsia="宋体"/>
                <w:color w:val="auto"/>
                <w:sz w:val="24"/>
                <w:lang w:val="en-US" w:eastAsia="zh-CN"/>
              </w:rPr>
              <w:t>，不属于扩建钢铁、石化等高污染项目，不属于列入国家产业结构调整目录中淘汰类的钢铁、炼油、制革、染料、电镀、农药以及生产石棉制品、防水卷材、塑料加工等生产企业或者相关设备，符合</w:t>
            </w:r>
            <w:r>
              <w:rPr>
                <w:rFonts w:hint="default" w:ascii="Times New Roman" w:hAnsi="Times New Roman" w:eastAsia="宋体"/>
                <w:color w:val="auto"/>
                <w:sz w:val="24"/>
                <w:lang w:val="en-US" w:eastAsia="zh-CN"/>
              </w:rPr>
              <w:t>《济南市大气污染防治条例》</w:t>
            </w:r>
            <w:r>
              <w:rPr>
                <w:rFonts w:hint="eastAsia" w:ascii="Times New Roman" w:hAnsi="Times New Roman" w:eastAsia="宋体"/>
                <w:color w:val="auto"/>
                <w:sz w:val="24"/>
                <w:lang w:val="en-US" w:eastAsia="zh-CN"/>
              </w:rPr>
              <w:t>相关要求。</w:t>
            </w:r>
          </w:p>
          <w:p>
            <w:pPr>
              <w:pStyle w:val="32"/>
              <w:keepNext w:val="0"/>
              <w:pageBreakBefore w:val="0"/>
              <w:kinsoku/>
              <w:wordWrap/>
              <w:overflowPunct/>
              <w:topLinePunct w:val="0"/>
              <w:bidi w:val="0"/>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（6）项目不属于</w:t>
            </w:r>
            <w:r>
              <w:rPr>
                <w:rFonts w:hint="eastAsia" w:ascii="Times New Roman" w:hAnsi="Times New Roman" w:eastAsia="宋体"/>
                <w:color w:val="auto"/>
                <w:sz w:val="24"/>
              </w:rPr>
              <w:t>《京津冀及周边地区2019-2020年秋冬季大气污染综合治理攻坚行动方案》</w:t>
            </w:r>
            <w:r>
              <w:rPr>
                <w:rFonts w:hint="eastAsia" w:ascii="Times New Roman" w:hAnsi="Times New Roman" w:eastAsia="宋体"/>
                <w:color w:val="auto"/>
                <w:sz w:val="24"/>
                <w:lang w:val="en-US" w:eastAsia="zh-CN"/>
              </w:rPr>
              <w:t>所列淘汰、重污染项目，符合“方案”要求。</w:t>
            </w:r>
          </w:p>
          <w:p>
            <w:pPr>
              <w:pStyle w:val="46"/>
              <w:keepNext w:val="0"/>
              <w:pageBreakBefore w:val="0"/>
              <w:numPr>
                <w:ilvl w:val="0"/>
                <w:numId w:val="0"/>
              </w:numPr>
              <w:kinsoku/>
              <w:wordWrap/>
              <w:overflowPunct/>
              <w:topLinePunct w:val="0"/>
              <w:bidi w:val="0"/>
              <w:spacing w:line="360" w:lineRule="auto"/>
              <w:ind w:leftChars="0" w:firstLine="0" w:firstLineChars="0"/>
              <w:outlineLvl w:val="9"/>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1.5与</w:t>
            </w:r>
            <w:r>
              <w:rPr>
                <w:rFonts w:hint="eastAsia" w:cs="Times New Roman"/>
                <w:b/>
                <w:color w:val="auto"/>
                <w:sz w:val="24"/>
                <w:szCs w:val="24"/>
                <w:lang w:val="en-US" w:eastAsia="zh-CN"/>
              </w:rPr>
              <w:t>《钢铁行业规范条件》（2015年修订）</w:t>
            </w:r>
            <w:r>
              <w:rPr>
                <w:rFonts w:hint="eastAsia" w:ascii="Times New Roman" w:hAnsi="Times New Roman" w:eastAsia="宋体"/>
                <w:b/>
                <w:bCs/>
                <w:color w:val="auto"/>
                <w:sz w:val="24"/>
                <w:lang w:val="en-US" w:eastAsia="zh-CN"/>
              </w:rPr>
              <w:t>符合性结论</w:t>
            </w:r>
          </w:p>
          <w:p>
            <w:pPr>
              <w:pStyle w:val="46"/>
              <w:keepNext w:val="0"/>
              <w:pageBreakBefore w:val="0"/>
              <w:numPr>
                <w:ilvl w:val="0"/>
                <w:numId w:val="0"/>
              </w:numPr>
              <w:kinsoku/>
              <w:wordWrap/>
              <w:overflowPunct/>
              <w:topLinePunct w:val="0"/>
              <w:bidi w:val="0"/>
              <w:spacing w:line="360" w:lineRule="auto"/>
              <w:ind w:leftChars="0" w:firstLine="480" w:firstLineChars="200"/>
              <w:outlineLvl w:val="9"/>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项目</w:t>
            </w:r>
            <w:r>
              <w:rPr>
                <w:rFonts w:hint="eastAsia"/>
                <w:color w:val="auto"/>
                <w:sz w:val="24"/>
                <w:lang w:val="en-US" w:eastAsia="zh-CN"/>
              </w:rPr>
              <w:t>为莱钢集团配套产业，无烧结、焦炉和自备电站，且废气采用SCR脱硝+双碱法脱硫+湿式静电除尘设施进行处理达标后排放，项目已取得排污许可证，项目建设符合</w:t>
            </w:r>
            <w:r>
              <w:rPr>
                <w:rFonts w:hint="eastAsia" w:cs="Times New Roman"/>
                <w:b w:val="0"/>
                <w:color w:val="auto"/>
                <w:sz w:val="24"/>
                <w:szCs w:val="20"/>
                <w:lang w:val="en-US" w:eastAsia="zh-CN"/>
              </w:rPr>
              <w:t>《钢铁行业规范条件》（2015年修订）的要求</w:t>
            </w:r>
            <w:r>
              <w:rPr>
                <w:rFonts w:hint="eastAsia" w:ascii="Times New Roman" w:hAnsi="Times New Roman" w:eastAsia="宋体"/>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rPr>
            </w:pPr>
            <w:r>
              <w:rPr>
                <w:rFonts w:hint="default" w:ascii="Times New Roman" w:hAnsi="Times New Roman" w:eastAsia="宋体"/>
                <w:b/>
                <w:bCs/>
                <w:color w:val="auto"/>
                <w:sz w:val="24"/>
              </w:rPr>
              <w:t>1.</w:t>
            </w:r>
            <w:r>
              <w:rPr>
                <w:rFonts w:hint="eastAsia" w:ascii="Times New Roman" w:hAnsi="Times New Roman" w:eastAsia="宋体"/>
                <w:b/>
                <w:bCs/>
                <w:color w:val="auto"/>
                <w:sz w:val="24"/>
                <w:lang w:val="en-US" w:eastAsia="zh-CN"/>
              </w:rPr>
              <w:t>6</w:t>
            </w:r>
            <w:r>
              <w:rPr>
                <w:rFonts w:hint="default" w:ascii="Times New Roman" w:hAnsi="Times New Roman" w:eastAsia="宋体"/>
                <w:b/>
                <w:bCs/>
                <w:color w:val="auto"/>
                <w:sz w:val="24"/>
              </w:rPr>
              <w:t>环境质量现状结论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lang w:eastAsia="zh-CN"/>
              </w:rPr>
              <w:t>（</w:t>
            </w:r>
            <w:r>
              <w:rPr>
                <w:rFonts w:hint="default" w:ascii="Times New Roman" w:hAnsi="Times New Roman" w:eastAsia="宋体"/>
                <w:color w:val="auto"/>
                <w:sz w:val="24"/>
                <w:lang w:val="en-US" w:eastAsia="zh-CN"/>
              </w:rPr>
              <w:t>1</w:t>
            </w:r>
            <w:r>
              <w:rPr>
                <w:rFonts w:hint="default" w:ascii="Times New Roman" w:hAnsi="Times New Roman" w:eastAsia="宋体"/>
                <w:color w:val="auto"/>
                <w:sz w:val="24"/>
                <w:lang w:eastAsia="zh-CN"/>
              </w:rPr>
              <w:t>）</w:t>
            </w:r>
            <w:r>
              <w:rPr>
                <w:rFonts w:hint="default" w:ascii="Times New Roman" w:hAnsi="Times New Roman" w:eastAsia="宋体"/>
                <w:color w:val="auto"/>
                <w:sz w:val="24"/>
              </w:rPr>
              <w:t>环境空气：本项目区域环境空气质量不能稳定达到《环境空气质量标准》（GB3095-2012）中的二级标准</w:t>
            </w:r>
            <w:r>
              <w:rPr>
                <w:rFonts w:hint="eastAsia" w:ascii="Times New Roman" w:hAnsi="Times New Roman" w:eastAsia="宋体"/>
                <w:color w:val="auto"/>
                <w:sz w:val="24"/>
                <w:lang w:eastAsia="zh-CN"/>
              </w:rPr>
              <w:t>，但已有所好转</w:t>
            </w:r>
            <w:r>
              <w:rPr>
                <w:rFonts w:hint="default" w:ascii="Times New Roman" w:hAnsi="Times New Roman" w:eastAsia="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lang w:val="en-US" w:eastAsia="zh-CN"/>
              </w:rPr>
            </w:pPr>
            <w:r>
              <w:rPr>
                <w:rFonts w:hint="default" w:ascii="Times New Roman" w:hAnsi="Times New Roman" w:eastAsia="宋体"/>
                <w:color w:val="auto"/>
                <w:sz w:val="24"/>
                <w:lang w:eastAsia="zh-CN"/>
              </w:rPr>
              <w:t>（</w:t>
            </w:r>
            <w:r>
              <w:rPr>
                <w:rFonts w:hint="default" w:ascii="Times New Roman" w:hAnsi="Times New Roman" w:eastAsia="宋体"/>
                <w:color w:val="auto"/>
                <w:sz w:val="24"/>
                <w:lang w:val="en-US" w:eastAsia="zh-CN"/>
              </w:rPr>
              <w:t>2</w:t>
            </w:r>
            <w:r>
              <w:rPr>
                <w:rFonts w:hint="default" w:ascii="Times New Roman" w:hAnsi="Times New Roman" w:eastAsia="宋体"/>
                <w:color w:val="auto"/>
                <w:sz w:val="24"/>
                <w:lang w:eastAsia="zh-CN"/>
              </w:rPr>
              <w:t>）</w:t>
            </w:r>
            <w:r>
              <w:rPr>
                <w:rFonts w:hint="default" w:ascii="Times New Roman" w:hAnsi="Times New Roman" w:eastAsia="宋体"/>
                <w:color w:val="auto"/>
                <w:sz w:val="24"/>
              </w:rPr>
              <w:t>地表水：</w:t>
            </w:r>
            <w:r>
              <w:rPr>
                <w:rFonts w:hint="eastAsia" w:ascii="Times New Roman" w:hAnsi="Times New Roman" w:eastAsia="宋体"/>
                <w:color w:val="auto"/>
                <w:sz w:val="24"/>
                <w:lang w:val="en-US" w:eastAsia="zh-CN"/>
              </w:rPr>
              <w:t>牟汶河水质满足</w:t>
            </w:r>
            <w:r>
              <w:rPr>
                <w:rFonts w:hint="default" w:ascii="Times New Roman" w:hAnsi="Times New Roman" w:eastAsia="宋体"/>
                <w:color w:val="auto"/>
                <w:sz w:val="24"/>
                <w:lang w:eastAsia="zh-CN"/>
              </w:rPr>
              <w:t>Ⅳ类水质</w:t>
            </w:r>
            <w:r>
              <w:rPr>
                <w:rFonts w:hint="eastAsia" w:ascii="Times New Roman" w:hAnsi="Times New Roman" w:eastAsia="宋体"/>
                <w:color w:val="auto"/>
                <w:sz w:val="24"/>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lang w:eastAsia="zh-CN"/>
              </w:rPr>
              <w:t>（</w:t>
            </w:r>
            <w:r>
              <w:rPr>
                <w:rFonts w:hint="default" w:ascii="Times New Roman" w:hAnsi="Times New Roman" w:eastAsia="宋体"/>
                <w:color w:val="auto"/>
                <w:sz w:val="24"/>
                <w:lang w:val="en-US" w:eastAsia="zh-CN"/>
              </w:rPr>
              <w:t>3</w:t>
            </w:r>
            <w:r>
              <w:rPr>
                <w:rFonts w:hint="default" w:ascii="Times New Roman" w:hAnsi="Times New Roman" w:eastAsia="宋体"/>
                <w:color w:val="auto"/>
                <w:sz w:val="24"/>
                <w:lang w:eastAsia="zh-CN"/>
              </w:rPr>
              <w:t>）</w:t>
            </w:r>
            <w:r>
              <w:rPr>
                <w:rFonts w:hint="default" w:ascii="Times New Roman" w:hAnsi="Times New Roman" w:eastAsia="宋体"/>
                <w:color w:val="auto"/>
                <w:sz w:val="24"/>
              </w:rPr>
              <w:t>声环境质量：该区域环境噪声达到《声环境质量标准》（GB3096-2008）中的2类区标准。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lang w:eastAsia="zh-CN"/>
              </w:rPr>
              <w:t>（</w:t>
            </w:r>
            <w:r>
              <w:rPr>
                <w:rFonts w:hint="default" w:ascii="Times New Roman" w:hAnsi="Times New Roman" w:eastAsia="宋体"/>
                <w:color w:val="auto"/>
                <w:sz w:val="24"/>
                <w:lang w:val="en-US" w:eastAsia="zh-CN"/>
              </w:rPr>
              <w:t>4</w:t>
            </w:r>
            <w:r>
              <w:rPr>
                <w:rFonts w:hint="default" w:ascii="Times New Roman" w:hAnsi="Times New Roman" w:eastAsia="宋体"/>
                <w:color w:val="auto"/>
                <w:sz w:val="24"/>
                <w:lang w:eastAsia="zh-CN"/>
              </w:rPr>
              <w:t>）</w:t>
            </w:r>
            <w:r>
              <w:rPr>
                <w:rFonts w:hint="default" w:ascii="Times New Roman" w:hAnsi="Times New Roman" w:eastAsia="宋体"/>
                <w:color w:val="auto"/>
                <w:sz w:val="24"/>
              </w:rPr>
              <w:t>地下水：本地区地下水除粪大肠菌群超标外，其他项目基本符合《地下水质量标准》（GB/T14848-</w:t>
            </w:r>
            <w:r>
              <w:rPr>
                <w:rFonts w:hint="default" w:ascii="Times New Roman" w:hAnsi="Times New Roman" w:eastAsia="宋体"/>
                <w:color w:val="auto"/>
                <w:sz w:val="24"/>
                <w:lang w:val="en-US" w:eastAsia="zh-CN"/>
              </w:rPr>
              <w:t>2017</w:t>
            </w:r>
            <w:r>
              <w:rPr>
                <w:rFonts w:hint="default" w:ascii="Times New Roman" w:hAnsi="Times New Roman" w:eastAsia="宋体"/>
                <w:color w:val="auto"/>
                <w:sz w:val="24"/>
              </w:rPr>
              <w:t>）Ⅲ类水质标准。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lang w:eastAsia="zh-CN"/>
              </w:rPr>
              <w:t>（</w:t>
            </w:r>
            <w:r>
              <w:rPr>
                <w:rFonts w:hint="default" w:ascii="Times New Roman" w:hAnsi="Times New Roman" w:eastAsia="宋体"/>
                <w:color w:val="auto"/>
                <w:sz w:val="24"/>
                <w:lang w:val="en-US" w:eastAsia="zh-CN"/>
              </w:rPr>
              <w:t>5</w:t>
            </w:r>
            <w:r>
              <w:rPr>
                <w:rFonts w:hint="default" w:ascii="Times New Roman" w:hAnsi="Times New Roman" w:eastAsia="宋体"/>
                <w:color w:val="auto"/>
                <w:sz w:val="24"/>
                <w:lang w:eastAsia="zh-CN"/>
              </w:rPr>
              <w:t>）</w:t>
            </w:r>
            <w:r>
              <w:rPr>
                <w:rFonts w:hint="default" w:ascii="Times New Roman" w:hAnsi="Times New Roman" w:eastAsia="宋体"/>
                <w:color w:val="auto"/>
                <w:sz w:val="24"/>
              </w:rPr>
              <w:t>生态环境：该区域内自然资源赋存很少，动、植物为我国华北地区农业生态系统的常见种类，无珍稀、濒危动、植物物种种类。境内除农作物外，其余均为人工植被，生态环境良好。</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2.</w:t>
            </w:r>
            <w:r>
              <w:rPr>
                <w:rFonts w:hint="default" w:ascii="Times New Roman" w:hAnsi="Times New Roman" w:eastAsia="宋体"/>
                <w:b/>
                <w:bCs/>
                <w:color w:val="auto"/>
                <w:sz w:val="24"/>
              </w:rPr>
              <w:t>营运期主要污染及环境影响结论</w:t>
            </w:r>
          </w:p>
          <w:p>
            <w:pPr>
              <w:keepNext w:val="0"/>
              <w:pageBreakBefore w:val="0"/>
              <w:kinsoku/>
              <w:wordWrap/>
              <w:overflowPunct/>
              <w:topLinePunct w:val="0"/>
              <w:bidi w:val="0"/>
              <w:snapToGrid w:val="0"/>
              <w:spacing w:line="360" w:lineRule="auto"/>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2</w:t>
            </w:r>
            <w:r>
              <w:rPr>
                <w:rFonts w:hint="default" w:ascii="Times New Roman" w:hAnsi="Times New Roman" w:eastAsia="宋体"/>
                <w:b/>
                <w:bCs/>
                <w:color w:val="auto"/>
                <w:sz w:val="24"/>
              </w:rPr>
              <w:t>.1废气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项目生产过程产生的大气污染物主要为</w:t>
            </w:r>
            <w:r>
              <w:rPr>
                <w:rFonts w:hint="eastAsia"/>
                <w:color w:val="auto"/>
                <w:sz w:val="24"/>
                <w:lang w:val="en-US" w:eastAsia="zh-CN"/>
              </w:rPr>
              <w:t>加热炉焦炉煤气燃烧废气以及焊接烟尘</w:t>
            </w:r>
            <w:r>
              <w:rPr>
                <w:rFonts w:hint="default" w:ascii="Times New Roman" w:hAnsi="Times New Roman" w:eastAsia="宋体"/>
                <w:color w:val="auto"/>
                <w:sz w:val="24"/>
                <w:lang w:val="en-US" w:eastAsia="zh-CN"/>
              </w:rPr>
              <w:t>。</w:t>
            </w:r>
          </w:p>
          <w:p>
            <w:pPr>
              <w:pStyle w:val="62"/>
              <w:keepLines/>
              <w:widowControl/>
              <w:autoSpaceDE/>
              <w:autoSpaceDN/>
              <w:adjustRightInd/>
              <w:spacing w:line="360" w:lineRule="auto"/>
              <w:ind w:firstLine="460" w:firstLineChars="200"/>
              <w:outlineLvl w:val="9"/>
              <w:rPr>
                <w:rFonts w:hint="eastAsia" w:ascii="Times New Roman" w:hAnsi="Times New Roman" w:cs="Times New Roman"/>
                <w:color w:val="auto"/>
                <w:spacing w:val="-5"/>
                <w:sz w:val="24"/>
                <w:lang w:val="en-US" w:eastAsia="zh-CN"/>
              </w:rPr>
            </w:pPr>
            <w:r>
              <w:rPr>
                <w:rFonts w:hint="default" w:ascii="Times New Roman" w:hAnsi="Times New Roman" w:cs="Times New Roman"/>
                <w:color w:val="auto"/>
                <w:spacing w:val="-5"/>
                <w:kern w:val="0"/>
                <w:sz w:val="24"/>
                <w:szCs w:val="20"/>
                <w:vertAlign w:val="baseline"/>
                <w:lang w:val="en-US" w:eastAsia="zh-CN" w:bidi="ar-SA"/>
              </w:rPr>
              <w:t>项目</w:t>
            </w:r>
            <w:r>
              <w:rPr>
                <w:rFonts w:hint="eastAsia" w:ascii="Times New Roman" w:hAnsi="Times New Roman" w:cs="Times New Roman"/>
                <w:color w:val="auto"/>
                <w:spacing w:val="-5"/>
                <w:kern w:val="0"/>
                <w:sz w:val="24"/>
                <w:szCs w:val="20"/>
                <w:vertAlign w:val="baseline"/>
                <w:lang w:val="en-US" w:eastAsia="zh-CN" w:bidi="ar-SA"/>
              </w:rPr>
              <w:t>加热炉废气经SCR脱硝+双碱法脱硫+湿式静电除尘设施处理后经22米排气筒排放，个污染物排放量为</w:t>
            </w:r>
            <w:r>
              <w:rPr>
                <w:rFonts w:hint="eastAsia" w:ascii="Times New Roman" w:hAnsi="Times New Roman" w:cs="Times New Roman"/>
                <w:bCs/>
                <w:color w:val="auto"/>
                <w:kern w:val="10"/>
                <w:sz w:val="24"/>
                <w:szCs w:val="21"/>
                <w:lang w:val="en-US" w:eastAsia="zh-CN" w:bidi="ar-SA"/>
              </w:rPr>
              <w:t>颗粒物0.46t/a，SO</w:t>
            </w:r>
            <w:r>
              <w:rPr>
                <w:rFonts w:hint="eastAsia" w:ascii="Times New Roman" w:hAnsi="Times New Roman" w:cs="Times New Roman"/>
                <w:bCs/>
                <w:color w:val="auto"/>
                <w:kern w:val="10"/>
                <w:sz w:val="24"/>
                <w:szCs w:val="21"/>
                <w:vertAlign w:val="subscript"/>
                <w:lang w:val="en-US" w:eastAsia="zh-CN" w:bidi="ar-SA"/>
              </w:rPr>
              <w:t>2</w:t>
            </w:r>
            <w:r>
              <w:rPr>
                <w:rFonts w:hint="eastAsia" w:ascii="Times New Roman" w:hAnsi="Times New Roman" w:cs="Times New Roman"/>
                <w:bCs/>
                <w:color w:val="auto"/>
                <w:kern w:val="10"/>
                <w:sz w:val="24"/>
                <w:szCs w:val="21"/>
                <w:lang w:val="en-US" w:eastAsia="zh-CN" w:bidi="ar-SA"/>
              </w:rPr>
              <w:t>0.61t/a，NOx2.07t/a；排放浓度为颗粒物3.7mg/m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lang w:val="en-US" w:eastAsia="zh-CN" w:bidi="ar-SA"/>
              </w:rPr>
              <w:t>，SO</w:t>
            </w:r>
            <w:r>
              <w:rPr>
                <w:rFonts w:hint="eastAsia" w:ascii="Times New Roman" w:hAnsi="Times New Roman" w:cs="Times New Roman"/>
                <w:bCs/>
                <w:color w:val="auto"/>
                <w:kern w:val="10"/>
                <w:sz w:val="24"/>
                <w:szCs w:val="21"/>
                <w:vertAlign w:val="subscript"/>
                <w:lang w:val="en-US" w:eastAsia="zh-CN" w:bidi="ar-SA"/>
              </w:rPr>
              <w:t>2</w:t>
            </w:r>
            <w:r>
              <w:rPr>
                <w:rFonts w:hint="eastAsia" w:ascii="Times New Roman" w:hAnsi="Times New Roman" w:cs="Times New Roman"/>
                <w:bCs/>
                <w:color w:val="auto"/>
                <w:kern w:val="10"/>
                <w:sz w:val="24"/>
                <w:szCs w:val="21"/>
                <w:lang w:val="en-US" w:eastAsia="zh-CN" w:bidi="ar-SA"/>
              </w:rPr>
              <w:t>4.4mg/m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lang w:val="en-US" w:eastAsia="zh-CN" w:bidi="ar-SA"/>
              </w:rPr>
              <w:t>，NOx16.7mg/m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color w:val="auto"/>
                <w:spacing w:val="-6"/>
                <w:sz w:val="24"/>
                <w:highlight w:val="none"/>
                <w:lang w:val="en-US" w:eastAsia="zh-CN"/>
              </w:rPr>
              <w:t>。项目加热炉废气排放符合</w:t>
            </w:r>
            <w:r>
              <w:rPr>
                <w:rFonts w:hint="eastAsia" w:ascii="Times New Roman" w:hAnsi="Times New Roman" w:cs="Times New Roman"/>
                <w:color w:val="auto"/>
                <w:sz w:val="24"/>
                <w:lang w:val="en-US" w:eastAsia="zh-CN"/>
              </w:rPr>
              <w:t>《钢铁工业大气污染物排放标准》（DB37/990-2019）表1标准（</w:t>
            </w:r>
            <w:r>
              <w:rPr>
                <w:rFonts w:hint="eastAsia" w:ascii="Times New Roman" w:hAnsi="Times New Roman" w:cs="Times New Roman"/>
                <w:bCs/>
                <w:color w:val="auto"/>
                <w:kern w:val="10"/>
                <w:sz w:val="24"/>
                <w:szCs w:val="21"/>
                <w:lang w:val="en-US" w:eastAsia="zh-CN" w:bidi="ar-SA"/>
              </w:rPr>
              <w:t>颗粒物10mg/m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lang w:val="en-US" w:eastAsia="zh-CN" w:bidi="ar-SA"/>
              </w:rPr>
              <w:t>，SO</w:t>
            </w:r>
            <w:r>
              <w:rPr>
                <w:rFonts w:hint="eastAsia" w:ascii="Times New Roman" w:hAnsi="Times New Roman" w:cs="Times New Roman"/>
                <w:bCs/>
                <w:color w:val="auto"/>
                <w:kern w:val="10"/>
                <w:sz w:val="24"/>
                <w:szCs w:val="21"/>
                <w:vertAlign w:val="subscript"/>
                <w:lang w:val="en-US" w:eastAsia="zh-CN" w:bidi="ar-SA"/>
              </w:rPr>
              <w:t>2</w:t>
            </w:r>
            <w:r>
              <w:rPr>
                <w:rFonts w:hint="eastAsia" w:ascii="Times New Roman" w:hAnsi="Times New Roman" w:cs="Times New Roman"/>
                <w:bCs/>
                <w:color w:val="auto"/>
                <w:kern w:val="10"/>
                <w:sz w:val="24"/>
                <w:szCs w:val="21"/>
                <w:lang w:val="en-US" w:eastAsia="zh-CN" w:bidi="ar-SA"/>
              </w:rPr>
              <w:t>50mg/m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bCs/>
                <w:color w:val="auto"/>
                <w:kern w:val="10"/>
                <w:sz w:val="24"/>
                <w:szCs w:val="21"/>
                <w:lang w:val="en-US" w:eastAsia="zh-CN" w:bidi="ar-SA"/>
              </w:rPr>
              <w:t>，NOx150mg/m</w:t>
            </w:r>
            <w:r>
              <w:rPr>
                <w:rFonts w:hint="eastAsia" w:ascii="Times New Roman" w:hAnsi="Times New Roman" w:cs="Times New Roman"/>
                <w:bCs/>
                <w:color w:val="auto"/>
                <w:kern w:val="10"/>
                <w:sz w:val="24"/>
                <w:szCs w:val="21"/>
                <w:vertAlign w:val="superscript"/>
                <w:lang w:val="en-US" w:eastAsia="zh-CN" w:bidi="ar-SA"/>
              </w:rPr>
              <w:t>3</w:t>
            </w:r>
            <w:r>
              <w:rPr>
                <w:rFonts w:hint="eastAsia" w:ascii="Times New Roman" w:hAnsi="Times New Roman" w:cs="Times New Roman"/>
                <w:color w:val="auto"/>
                <w:sz w:val="24"/>
                <w:lang w:val="en-US" w:eastAsia="zh-CN"/>
              </w:rPr>
              <w:t>）。NH</w:t>
            </w:r>
            <w:r>
              <w:rPr>
                <w:rFonts w:hint="eastAsia" w:ascii="Times New Roman" w:hAnsi="Times New Roman" w:cs="Times New Roman"/>
                <w:color w:val="auto"/>
                <w:sz w:val="24"/>
                <w:vertAlign w:val="subscript"/>
                <w:lang w:val="en-US" w:eastAsia="zh-CN"/>
              </w:rPr>
              <w:t>3</w:t>
            </w:r>
            <w:r>
              <w:rPr>
                <w:rFonts w:hint="eastAsia" w:ascii="Times New Roman" w:hAnsi="Times New Roman" w:cs="Times New Roman"/>
                <w:color w:val="auto"/>
                <w:sz w:val="24"/>
                <w:vertAlign w:val="baseline"/>
                <w:lang w:val="en-US" w:eastAsia="zh-CN"/>
              </w:rPr>
              <w:t>排放符合《恶臭污染物排放标准》表2标准（NH</w:t>
            </w:r>
            <w:r>
              <w:rPr>
                <w:rFonts w:hint="eastAsia" w:ascii="Times New Roman" w:hAnsi="Times New Roman" w:cs="Times New Roman"/>
                <w:color w:val="auto"/>
                <w:sz w:val="24"/>
                <w:vertAlign w:val="subscript"/>
                <w:lang w:val="en-US" w:eastAsia="zh-CN"/>
              </w:rPr>
              <w:t>3</w:t>
            </w:r>
            <w:r>
              <w:rPr>
                <w:rFonts w:hint="eastAsia" w:ascii="Times New Roman" w:hAnsi="Times New Roman" w:cs="Times New Roman"/>
                <w:color w:val="auto"/>
                <w:sz w:val="24"/>
                <w:vertAlign w:val="baseline"/>
                <w:lang w:val="en-US" w:eastAsia="zh-CN"/>
              </w:rPr>
              <w:t>8.7kg/h）</w:t>
            </w:r>
            <w:r>
              <w:rPr>
                <w:rFonts w:hint="eastAsia" w:ascii="Times New Roman" w:hAnsi="Times New Roman" w:cs="Times New Roman"/>
                <w:color w:val="auto"/>
                <w:sz w:val="24"/>
                <w:lang w:val="en-US" w:eastAsia="zh-CN"/>
              </w:rPr>
              <w:t>。</w:t>
            </w:r>
          </w:p>
          <w:p>
            <w:pPr>
              <w:spacing w:line="360" w:lineRule="auto"/>
              <w:ind w:firstLine="480" w:firstLineChars="200"/>
              <w:outlineLvl w:val="9"/>
              <w:rPr>
                <w:rFonts w:hint="eastAsia" w:ascii="Times New Roman" w:hAnsi="Times New Roman" w:eastAsia="宋体" w:cs="Times New Roman"/>
                <w:color w:val="auto"/>
                <w:sz w:val="24"/>
                <w:szCs w:val="24"/>
                <w:highlight w:val="none"/>
                <w:lang w:eastAsia="zh-CN"/>
              </w:rPr>
            </w:pPr>
            <w:r>
              <w:rPr>
                <w:rFonts w:hint="eastAsia" w:cs="Times New Roman"/>
                <w:b w:val="0"/>
                <w:bCs w:val="0"/>
                <w:color w:val="auto"/>
                <w:sz w:val="24"/>
                <w:szCs w:val="24"/>
                <w:lang w:val="en-US" w:eastAsia="zh-CN"/>
              </w:rPr>
              <w:t>项目焊接烟尘经过移动式烟尘净化器处理后无组织排放，</w:t>
            </w:r>
            <w:r>
              <w:rPr>
                <w:rFonts w:hint="eastAsia" w:ascii="Times New Roman" w:hAnsi="Times New Roman" w:eastAsia="宋体" w:cs="Times New Roman"/>
                <w:color w:val="auto"/>
                <w:sz w:val="24"/>
                <w:highlight w:val="none"/>
                <w:lang w:val="en-US" w:eastAsia="zh-CN"/>
              </w:rPr>
              <w:t>无组织颗粒物最大落地浓度为</w:t>
            </w:r>
            <w:r>
              <w:rPr>
                <w:rFonts w:hint="eastAsia" w:cs="Times New Roman"/>
                <w:color w:val="auto"/>
                <w:sz w:val="24"/>
                <w:highlight w:val="none"/>
                <w:lang w:val="en-US" w:eastAsia="zh-CN"/>
              </w:rPr>
              <w:t>0.004017</w:t>
            </w:r>
            <w:r>
              <w:rPr>
                <w:rFonts w:hint="eastAsia" w:ascii="Times New Roman" w:hAnsi="Times New Roman" w:eastAsia="宋体" w:cs="Times New Roman"/>
                <w:color w:val="auto"/>
                <w:sz w:val="24"/>
                <w:highlight w:val="none"/>
                <w:lang w:val="en-US" w:eastAsia="zh-CN"/>
              </w:rPr>
              <w:t>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，颗粒物无组织排放满足</w:t>
            </w:r>
            <w:r>
              <w:rPr>
                <w:rFonts w:hint="eastAsia" w:ascii="Times New Roman" w:hAnsi="Times New Roman" w:cs="Times New Roman"/>
                <w:color w:val="auto"/>
                <w:sz w:val="24"/>
                <w:lang w:val="en-US" w:eastAsia="zh-CN"/>
              </w:rPr>
              <w:t>《钢铁工业大气污染物排放标准》（DB</w:t>
            </w:r>
            <w:r>
              <w:rPr>
                <w:rFonts w:hint="eastAsia" w:cs="Times New Roman"/>
                <w:color w:val="auto"/>
                <w:sz w:val="24"/>
                <w:lang w:val="en-US" w:eastAsia="zh-CN"/>
              </w:rPr>
              <w:t>37/990</w:t>
            </w:r>
            <w:r>
              <w:rPr>
                <w:rFonts w:hint="eastAsia" w:ascii="Times New Roman" w:hAnsi="Times New Roman" w:cs="Times New Roman"/>
                <w:color w:val="auto"/>
                <w:sz w:val="24"/>
                <w:lang w:val="en-US" w:eastAsia="zh-CN"/>
              </w:rPr>
              <w:t>-2019）</w:t>
            </w:r>
            <w:r>
              <w:rPr>
                <w:rFonts w:hint="eastAsia" w:cs="Times New Roman"/>
                <w:color w:val="auto"/>
                <w:sz w:val="24"/>
                <w:highlight w:val="none"/>
                <w:lang w:val="en-US" w:eastAsia="zh-CN"/>
              </w:rPr>
              <w:t>表2标准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颗粒物1.0mg/m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2.</w:t>
            </w:r>
            <w:r>
              <w:rPr>
                <w:rFonts w:hint="default" w:ascii="Times New Roman" w:hAnsi="Times New Roman" w:eastAsia="宋体"/>
                <w:b/>
                <w:bCs/>
                <w:color w:val="auto"/>
                <w:sz w:val="24"/>
              </w:rPr>
              <w:t>2废水</w:t>
            </w:r>
          </w:p>
          <w:p>
            <w:pPr>
              <w:keepNext w:val="0"/>
              <w:pageBreakBefore w:val="0"/>
              <w:kinsoku/>
              <w:wordWrap/>
              <w:overflowPunct/>
              <w:topLinePunct w:val="0"/>
              <w:bidi w:val="0"/>
              <w:spacing w:line="360" w:lineRule="auto"/>
              <w:ind w:firstLine="480" w:firstLineChars="200"/>
              <w:outlineLvl w:val="9"/>
              <w:rPr>
                <w:rFonts w:hint="default" w:ascii="Times New Roman" w:hAnsi="Times New Roman" w:eastAsia="宋体"/>
                <w:color w:val="auto"/>
                <w:sz w:val="24"/>
              </w:rPr>
            </w:pPr>
            <w:r>
              <w:rPr>
                <w:rFonts w:hint="eastAsia" w:ascii="Times New Roman" w:hAnsi="Times New Roman" w:eastAsia="宋体"/>
                <w:color w:val="auto"/>
                <w:sz w:val="24"/>
                <w:lang w:eastAsia="zh-CN"/>
              </w:rPr>
              <w:t>项目</w:t>
            </w:r>
            <w:r>
              <w:rPr>
                <w:rFonts w:hint="eastAsia" w:ascii="Times New Roman" w:hAnsi="Times New Roman" w:eastAsia="宋体"/>
                <w:color w:val="auto"/>
                <w:sz w:val="24"/>
                <w:lang w:val="en-US" w:eastAsia="zh-CN"/>
              </w:rPr>
              <w:t>生产过程用水经沉淀后循环使用，不外排。新增员工200人，生活污水产生量为</w:t>
            </w:r>
            <w:r>
              <w:rPr>
                <w:rFonts w:hint="eastAsia"/>
                <w:color w:val="auto"/>
                <w:sz w:val="24"/>
                <w:lang w:val="en-US" w:eastAsia="zh-CN"/>
              </w:rPr>
              <w:t>2560</w:t>
            </w:r>
            <w:r>
              <w:rPr>
                <w:rFonts w:hint="eastAsia" w:ascii="Times New Roman" w:hAnsi="Times New Roman" w:eastAsia="宋体"/>
                <w:color w:val="auto"/>
                <w:sz w:val="24"/>
                <w:lang w:val="en-US" w:eastAsia="zh-CN"/>
              </w:rPr>
              <w:t>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lang w:val="en-US" w:eastAsia="zh-CN"/>
              </w:rPr>
              <w:t>/a，</w:t>
            </w:r>
            <w:r>
              <w:rPr>
                <w:rFonts w:hint="default" w:ascii="Times New Roman" w:hAnsi="Times New Roman" w:eastAsia="宋体"/>
                <w:color w:val="auto"/>
                <w:sz w:val="24"/>
                <w:lang w:eastAsia="zh-CN"/>
              </w:rPr>
              <w:t>生活污水</w:t>
            </w:r>
            <w:r>
              <w:rPr>
                <w:rFonts w:hint="eastAsia" w:ascii="Times New Roman" w:hAnsi="Times New Roman" w:eastAsia="宋体"/>
                <w:color w:val="auto"/>
                <w:sz w:val="24"/>
                <w:lang w:val="en-US" w:eastAsia="zh-CN"/>
              </w:rPr>
              <w:t>经厂区自建的污水处理设施处理后</w:t>
            </w:r>
            <w:r>
              <w:rPr>
                <w:rFonts w:hint="default" w:ascii="Times New Roman" w:hAnsi="Times New Roman" w:eastAsia="宋体"/>
                <w:color w:val="auto"/>
                <w:sz w:val="24"/>
              </w:rPr>
              <w:t>水质能够达到《</w:t>
            </w:r>
            <w:r>
              <w:rPr>
                <w:rFonts w:hint="default" w:ascii="Times New Roman" w:hAnsi="Times New Roman" w:eastAsia="宋体"/>
                <w:color w:val="auto"/>
                <w:sz w:val="24"/>
                <w:lang w:eastAsia="zh-CN"/>
              </w:rPr>
              <w:t xml:space="preserve">城市污水再生利用 </w:t>
            </w:r>
            <w:r>
              <w:rPr>
                <w:rFonts w:hint="eastAsia" w:ascii="Times New Roman" w:hAnsi="Times New Roman" w:eastAsia="宋体"/>
                <w:color w:val="auto"/>
                <w:sz w:val="24"/>
                <w:lang w:val="en-US" w:eastAsia="zh-CN"/>
              </w:rPr>
              <w:t>城市杂用水水质</w:t>
            </w:r>
            <w:r>
              <w:rPr>
                <w:rFonts w:hint="default" w:ascii="Times New Roman" w:hAnsi="Times New Roman" w:eastAsia="宋体"/>
                <w:color w:val="auto"/>
                <w:sz w:val="24"/>
                <w:lang w:eastAsia="zh-CN"/>
              </w:rPr>
              <w:t>》（GB</w:t>
            </w:r>
            <w:r>
              <w:rPr>
                <w:rFonts w:hint="eastAsia" w:ascii="Times New Roman" w:hAnsi="Times New Roman" w:eastAsia="宋体"/>
                <w:color w:val="auto"/>
                <w:sz w:val="24"/>
                <w:lang w:val="en-US" w:eastAsia="zh-CN"/>
              </w:rPr>
              <w:t>/</w:t>
            </w:r>
            <w:r>
              <w:rPr>
                <w:rFonts w:hint="default" w:ascii="Times New Roman" w:hAnsi="Times New Roman" w:eastAsia="宋体"/>
                <w:color w:val="auto"/>
                <w:sz w:val="24"/>
                <w:lang w:eastAsia="zh-CN"/>
              </w:rPr>
              <w:t>T</w:t>
            </w:r>
            <w:r>
              <w:rPr>
                <w:rFonts w:hint="eastAsia" w:ascii="Times New Roman" w:hAnsi="Times New Roman" w:eastAsia="宋体"/>
                <w:color w:val="auto"/>
                <w:sz w:val="24"/>
                <w:lang w:val="en-US" w:eastAsia="zh-CN"/>
              </w:rPr>
              <w:t>19923-2005</w:t>
            </w:r>
            <w:r>
              <w:rPr>
                <w:rFonts w:hint="default" w:ascii="Times New Roman" w:hAnsi="Times New Roman" w:eastAsia="宋体"/>
                <w:color w:val="auto"/>
                <w:sz w:val="24"/>
                <w:lang w:eastAsia="zh-CN"/>
              </w:rPr>
              <w:t>）</w:t>
            </w:r>
            <w:r>
              <w:rPr>
                <w:rFonts w:hint="default" w:ascii="Times New Roman" w:hAnsi="Times New Roman" w:eastAsia="宋体"/>
                <w:color w:val="auto"/>
                <w:sz w:val="24"/>
              </w:rPr>
              <w:t>标准</w:t>
            </w:r>
            <w:r>
              <w:rPr>
                <w:rFonts w:hint="eastAsia"/>
                <w:color w:val="auto"/>
                <w:sz w:val="24"/>
                <w:lang w:eastAsia="zh-CN"/>
              </w:rPr>
              <w:t>和</w:t>
            </w:r>
            <w:r>
              <w:rPr>
                <w:rFonts w:hint="eastAsia"/>
                <w:color w:val="auto"/>
                <w:sz w:val="24"/>
                <w:lang w:val="en-US" w:eastAsia="zh-CN"/>
              </w:rPr>
              <w:t>《城市污水再生利用 工业用水水质》（GBT19923-2005）标准</w:t>
            </w:r>
            <w:r>
              <w:rPr>
                <w:rFonts w:hint="default" w:ascii="Times New Roman" w:hAnsi="Times New Roman" w:eastAsia="宋体"/>
                <w:color w:val="auto"/>
                <w:sz w:val="24"/>
              </w:rPr>
              <w:t>要求，</w:t>
            </w:r>
            <w:r>
              <w:rPr>
                <w:rFonts w:ascii="Times New Roman" w:hAnsi="Times New Roman" w:eastAsia="宋体"/>
                <w:color w:val="auto"/>
                <w:sz w:val="24"/>
              </w:rPr>
              <w:t>回用于</w:t>
            </w:r>
            <w:r>
              <w:rPr>
                <w:rFonts w:hint="eastAsia" w:ascii="Times New Roman" w:hAnsi="Times New Roman" w:eastAsia="宋体"/>
                <w:color w:val="auto"/>
                <w:sz w:val="24"/>
                <w:lang w:val="en-US" w:eastAsia="zh-CN"/>
              </w:rPr>
              <w:t>厂区绿化和</w:t>
            </w:r>
            <w:r>
              <w:rPr>
                <w:rFonts w:hint="eastAsia"/>
                <w:color w:val="auto"/>
                <w:sz w:val="24"/>
                <w:lang w:val="en-US" w:eastAsia="zh-CN"/>
              </w:rPr>
              <w:t>热轧用水</w:t>
            </w:r>
            <w:r>
              <w:rPr>
                <w:rFonts w:hint="default" w:ascii="Times New Roman" w:hAnsi="Times New Roman" w:eastAsia="宋体"/>
                <w:color w:val="auto"/>
                <w:sz w:val="24"/>
              </w:rPr>
              <w:t>，不会影响地表水环境。</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2</w:t>
            </w:r>
            <w:r>
              <w:rPr>
                <w:rFonts w:hint="default" w:ascii="Times New Roman" w:hAnsi="Times New Roman" w:eastAsia="宋体"/>
                <w:b/>
                <w:bCs/>
                <w:color w:val="auto"/>
                <w:sz w:val="24"/>
              </w:rPr>
              <w:t>.3噪声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rPr>
              <w:t>拟建项目生产过程中主要噪声源为</w:t>
            </w:r>
            <w:r>
              <w:rPr>
                <w:rFonts w:hint="eastAsia"/>
                <w:color w:val="auto"/>
                <w:sz w:val="24"/>
                <w:lang w:val="en-US" w:eastAsia="zh-CN"/>
              </w:rPr>
              <w:t>轧机和机加工设备</w:t>
            </w:r>
            <w:r>
              <w:rPr>
                <w:rFonts w:hint="eastAsia" w:ascii="Times New Roman" w:hAnsi="Times New Roman" w:eastAsia="宋体"/>
                <w:color w:val="auto"/>
                <w:sz w:val="24"/>
                <w:lang w:val="en-US" w:eastAsia="zh-CN"/>
              </w:rPr>
              <w:t>等</w:t>
            </w:r>
            <w:r>
              <w:rPr>
                <w:rFonts w:hint="default" w:ascii="Times New Roman" w:hAnsi="Times New Roman" w:eastAsia="宋体"/>
                <w:color w:val="auto"/>
                <w:sz w:val="24"/>
                <w:lang w:eastAsia="zh-CN"/>
              </w:rPr>
              <w:t>运行产生的噪声</w:t>
            </w:r>
            <w:r>
              <w:rPr>
                <w:rFonts w:hint="default" w:ascii="Times New Roman" w:hAnsi="Times New Roman" w:eastAsia="宋体"/>
                <w:color w:val="auto"/>
                <w:sz w:val="24"/>
              </w:rPr>
              <w:t>，</w:t>
            </w:r>
            <w:r>
              <w:rPr>
                <w:rFonts w:hint="eastAsia" w:ascii="Times New Roman" w:hAnsi="Times New Roman" w:eastAsia="宋体"/>
                <w:color w:val="auto"/>
                <w:sz w:val="24"/>
                <w:lang w:val="en-US" w:eastAsia="zh-CN"/>
              </w:rPr>
              <w:t>通过</w:t>
            </w:r>
            <w:r>
              <w:rPr>
                <w:rFonts w:hint="default" w:ascii="Times New Roman" w:hAnsi="Times New Roman" w:eastAsia="宋体"/>
                <w:color w:val="auto"/>
                <w:sz w:val="24"/>
              </w:rPr>
              <w:t>将生产设备全部置于</w:t>
            </w:r>
            <w:r>
              <w:rPr>
                <w:rFonts w:hint="eastAsia" w:ascii="Times New Roman" w:hAnsi="Times New Roman" w:eastAsia="宋体"/>
                <w:color w:val="auto"/>
                <w:sz w:val="24"/>
                <w:lang w:val="en-US" w:eastAsia="zh-CN"/>
              </w:rPr>
              <w:t>车间</w:t>
            </w:r>
            <w:r>
              <w:rPr>
                <w:rFonts w:hint="default" w:ascii="Times New Roman" w:hAnsi="Times New Roman" w:eastAsia="宋体"/>
                <w:color w:val="auto"/>
                <w:sz w:val="24"/>
              </w:rPr>
              <w:t>内，在高噪音设备基底配隔板、减振垫，合理布置车间内的机械设备</w:t>
            </w:r>
            <w:r>
              <w:rPr>
                <w:rFonts w:hint="eastAsia" w:ascii="Times New Roman" w:hAnsi="Times New Roman" w:eastAsia="宋体"/>
                <w:color w:val="auto"/>
                <w:sz w:val="24"/>
                <w:lang w:eastAsia="zh-CN"/>
              </w:rPr>
              <w:t>，</w:t>
            </w:r>
            <w:r>
              <w:rPr>
                <w:rFonts w:hint="default" w:ascii="Times New Roman" w:hAnsi="Times New Roman" w:eastAsia="宋体"/>
                <w:color w:val="auto"/>
                <w:sz w:val="24"/>
              </w:rPr>
              <w:t>在采取降噪措施后，产生的噪声经墙体阻隔和距离衰减后，对周围环境影响较小</w:t>
            </w:r>
            <w:r>
              <w:rPr>
                <w:rFonts w:hint="default" w:ascii="Times New Roman" w:hAnsi="Times New Roman" w:eastAsia="宋体"/>
                <w:color w:val="auto"/>
                <w:sz w:val="24"/>
                <w:lang w:eastAsia="zh-CN"/>
              </w:rPr>
              <w:t>，</w:t>
            </w:r>
            <w:r>
              <w:rPr>
                <w:rFonts w:hint="default" w:ascii="Times New Roman" w:hAnsi="Times New Roman" w:eastAsia="宋体"/>
                <w:color w:val="auto"/>
                <w:sz w:val="24"/>
                <w:lang w:val="en-US" w:eastAsia="zh-CN"/>
              </w:rPr>
              <w:t>项目厂界噪声</w:t>
            </w:r>
            <w:r>
              <w:rPr>
                <w:rFonts w:hint="eastAsia" w:ascii="Times New Roman" w:hAnsi="Times New Roman" w:eastAsia="宋体"/>
                <w:color w:val="auto"/>
                <w:sz w:val="24"/>
                <w:lang w:val="en-US" w:eastAsia="zh-CN"/>
              </w:rPr>
              <w:t>可满足</w:t>
            </w:r>
            <w:r>
              <w:rPr>
                <w:rFonts w:hint="default" w:ascii="Times New Roman" w:hAnsi="Times New Roman" w:eastAsia="宋体"/>
                <w:color w:val="auto"/>
                <w:sz w:val="24"/>
                <w:lang w:val="en-US" w:eastAsia="zh-CN"/>
              </w:rPr>
              <w:t>《工业企业厂界环境噪声排放标准》</w:t>
            </w:r>
            <w:r>
              <w:rPr>
                <w:rFonts w:hint="default" w:ascii="Times New Roman" w:hAnsi="Times New Roman" w:eastAsia="宋体"/>
                <w:color w:val="auto"/>
                <w:sz w:val="24"/>
              </w:rPr>
              <w:t>（GB12348-2008）</w:t>
            </w:r>
            <w:r>
              <w:rPr>
                <w:rFonts w:hint="default" w:ascii="Times New Roman" w:hAnsi="Times New Roman" w:eastAsia="宋体"/>
                <w:color w:val="auto"/>
                <w:sz w:val="24"/>
                <w:lang w:val="en-US" w:eastAsia="zh-CN"/>
              </w:rPr>
              <w:t>2类功能区标准。</w:t>
            </w:r>
          </w:p>
          <w:p>
            <w:pPr>
              <w:keepNext w:val="0"/>
              <w:pageBreakBefore w:val="0"/>
              <w:kinsoku/>
              <w:wordWrap/>
              <w:overflowPunct/>
              <w:topLinePunct w:val="0"/>
              <w:bidi w:val="0"/>
              <w:snapToGrid w:val="0"/>
              <w:spacing w:line="360" w:lineRule="auto"/>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2.</w:t>
            </w:r>
            <w:r>
              <w:rPr>
                <w:rFonts w:hint="default" w:ascii="Times New Roman" w:hAnsi="Times New Roman" w:eastAsia="宋体"/>
                <w:b/>
                <w:bCs/>
                <w:color w:val="auto"/>
                <w:sz w:val="24"/>
              </w:rPr>
              <w:t>4固体废物</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本项目产生的固体废物主要为</w:t>
            </w:r>
            <w:r>
              <w:rPr>
                <w:rFonts w:hint="default" w:cs="Times New Roman"/>
                <w:color w:val="auto"/>
                <w:sz w:val="24"/>
                <w:szCs w:val="24"/>
                <w:highlight w:val="none"/>
                <w:lang w:val="en-US" w:eastAsia="zh-CN"/>
              </w:rPr>
              <w:t>氧化铁皮、废钢料头、</w:t>
            </w:r>
            <w:r>
              <w:rPr>
                <w:rFonts w:hint="eastAsia" w:cs="Times New Roman"/>
                <w:color w:val="FF0000"/>
                <w:sz w:val="24"/>
                <w:szCs w:val="24"/>
                <w:highlight w:val="none"/>
                <w:lang w:val="en-US" w:eastAsia="zh-CN"/>
              </w:rPr>
              <w:t>废铁屑、</w:t>
            </w:r>
            <w:r>
              <w:rPr>
                <w:rFonts w:hint="eastAsia" w:cs="Times New Roman"/>
                <w:color w:val="auto"/>
                <w:sz w:val="24"/>
                <w:szCs w:val="24"/>
                <w:highlight w:val="none"/>
                <w:lang w:val="en-US" w:eastAsia="zh-CN"/>
              </w:rPr>
              <w:t>废油桶、</w:t>
            </w:r>
            <w:r>
              <w:rPr>
                <w:rFonts w:hint="default" w:cs="Times New Roman"/>
                <w:color w:val="auto"/>
                <w:sz w:val="24"/>
                <w:szCs w:val="24"/>
                <w:highlight w:val="none"/>
                <w:lang w:val="en-US" w:eastAsia="zh-CN"/>
              </w:rPr>
              <w:t>脱硫石膏、废催化剂、</w:t>
            </w:r>
            <w:r>
              <w:rPr>
                <w:rFonts w:hint="default" w:ascii="Times New Roman" w:hAnsi="Times New Roman" w:eastAsia="宋体" w:cs="Times New Roman"/>
                <w:color w:val="auto"/>
                <w:sz w:val="24"/>
                <w:szCs w:val="24"/>
                <w:highlight w:val="none"/>
                <w:lang w:val="en-US" w:eastAsia="zh-CN"/>
              </w:rPr>
              <w:t>职工生活垃圾。</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w:t>
            </w:r>
            <w:r>
              <w:rPr>
                <w:rFonts w:hint="default" w:cs="Times New Roman"/>
                <w:color w:val="auto"/>
                <w:sz w:val="24"/>
                <w:szCs w:val="24"/>
                <w:highlight w:val="none"/>
                <w:lang w:val="en-US" w:eastAsia="zh-CN"/>
              </w:rPr>
              <w:t>氧化铁皮</w:t>
            </w:r>
            <w:r>
              <w:rPr>
                <w:rFonts w:hint="eastAsia" w:cs="Times New Roman"/>
                <w:color w:val="auto"/>
                <w:sz w:val="24"/>
                <w:szCs w:val="24"/>
                <w:highlight w:val="none"/>
                <w:lang w:val="en-US" w:eastAsia="zh-CN"/>
              </w:rPr>
              <w:t>、</w:t>
            </w:r>
            <w:r>
              <w:rPr>
                <w:rFonts w:hint="default" w:cs="Times New Roman"/>
                <w:color w:val="auto"/>
                <w:sz w:val="24"/>
                <w:szCs w:val="24"/>
                <w:highlight w:val="none"/>
                <w:lang w:val="en-US" w:eastAsia="zh-CN"/>
              </w:rPr>
              <w:t>废钢料头</w:t>
            </w:r>
            <w:r>
              <w:rPr>
                <w:rFonts w:hint="eastAsia" w:cs="Times New Roman"/>
                <w:color w:val="auto"/>
                <w:sz w:val="24"/>
                <w:szCs w:val="24"/>
                <w:highlight w:val="none"/>
                <w:lang w:val="en-US" w:eastAsia="zh-CN"/>
              </w:rPr>
              <w:t>、</w:t>
            </w:r>
            <w:r>
              <w:rPr>
                <w:rFonts w:hint="eastAsia" w:cs="Times New Roman"/>
                <w:color w:val="FF0000"/>
                <w:sz w:val="24"/>
                <w:szCs w:val="24"/>
                <w:highlight w:val="none"/>
                <w:lang w:val="en-US" w:eastAsia="zh-CN"/>
              </w:rPr>
              <w:t>废铁屑、</w:t>
            </w:r>
            <w:r>
              <w:rPr>
                <w:rFonts w:hint="default" w:cs="Times New Roman"/>
                <w:color w:val="auto"/>
                <w:sz w:val="24"/>
                <w:szCs w:val="24"/>
                <w:highlight w:val="none"/>
                <w:lang w:val="en-US" w:eastAsia="zh-CN"/>
              </w:rPr>
              <w:t>脱硫石膏</w:t>
            </w:r>
            <w:r>
              <w:rPr>
                <w:rFonts w:hint="eastAsia" w:cs="Times New Roman"/>
                <w:color w:val="auto"/>
                <w:sz w:val="24"/>
                <w:szCs w:val="24"/>
                <w:highlight w:val="none"/>
                <w:lang w:val="en-US" w:eastAsia="zh-CN"/>
              </w:rPr>
              <w:t>等一般固废均外售综合利用。</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default" w:cs="Times New Roman"/>
                <w:color w:val="auto"/>
                <w:sz w:val="24"/>
                <w:szCs w:val="24"/>
                <w:highlight w:val="none"/>
                <w:lang w:val="en-US" w:eastAsia="zh-CN"/>
              </w:rPr>
              <w:t>废催化剂</w:t>
            </w:r>
            <w:r>
              <w:rPr>
                <w:rFonts w:hint="eastAsia" w:cs="Times New Roman"/>
                <w:color w:val="auto"/>
                <w:sz w:val="24"/>
                <w:szCs w:val="24"/>
                <w:highlight w:val="none"/>
                <w:lang w:val="en-US" w:eastAsia="zh-CN"/>
              </w:rPr>
              <w:t>、废油桶等危险废物均暂存入</w:t>
            </w:r>
            <w:r>
              <w:rPr>
                <w:rFonts w:hint="default" w:cs="Times New Roman"/>
                <w:color w:val="auto"/>
                <w:sz w:val="24"/>
                <w:szCs w:val="24"/>
                <w:highlight w:val="none"/>
                <w:lang w:val="en-US" w:eastAsia="zh-CN"/>
              </w:rPr>
              <w:t>危废暂存间，委托有资质单位处置</w:t>
            </w:r>
            <w:r>
              <w:rPr>
                <w:rFonts w:hint="eastAsia"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spacing w:beforeLines="0" w:afterLines="0"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生活垃圾</w:t>
            </w:r>
            <w:r>
              <w:rPr>
                <w:rFonts w:hint="default" w:cs="Times New Roman"/>
                <w:color w:val="auto"/>
                <w:sz w:val="24"/>
                <w:szCs w:val="24"/>
                <w:highlight w:val="none"/>
                <w:lang w:val="en-US" w:eastAsia="zh-CN"/>
              </w:rPr>
              <w:t>委托</w:t>
            </w:r>
            <w:r>
              <w:rPr>
                <w:rFonts w:hint="eastAsia" w:cs="Times New Roman"/>
                <w:color w:val="auto"/>
                <w:sz w:val="24"/>
                <w:szCs w:val="24"/>
                <w:highlight w:val="none"/>
                <w:lang w:val="en-US" w:eastAsia="zh-CN"/>
              </w:rPr>
              <w:t>环卫</w:t>
            </w:r>
            <w:r>
              <w:rPr>
                <w:rFonts w:hint="default" w:cs="Times New Roman"/>
                <w:color w:val="auto"/>
                <w:sz w:val="24"/>
                <w:szCs w:val="24"/>
                <w:highlight w:val="none"/>
                <w:lang w:val="en-US" w:eastAsia="zh-CN"/>
              </w:rPr>
              <w:t>部门定期清运</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eastAsia" w:ascii="Times New Roman" w:hAnsi="Times New Roman" w:eastAsia="宋体"/>
                <w:color w:val="auto"/>
                <w:sz w:val="24"/>
                <w:lang w:val="en-US" w:eastAsia="zh-CN"/>
              </w:rPr>
              <w:t>本</w:t>
            </w:r>
            <w:r>
              <w:rPr>
                <w:rFonts w:hint="eastAsia" w:ascii="Times New Roman" w:hAnsi="Times New Roman" w:eastAsia="宋体"/>
                <w:color w:val="auto"/>
                <w:sz w:val="24"/>
              </w:rPr>
              <w:t>项目固体废弃物的处理和处置措施</w:t>
            </w:r>
            <w:r>
              <w:rPr>
                <w:rFonts w:ascii="Times New Roman" w:hAnsi="Times New Roman" w:eastAsia="宋体"/>
                <w:color w:val="auto"/>
                <w:sz w:val="24"/>
              </w:rPr>
              <w:t>符合</w:t>
            </w:r>
            <w:r>
              <w:rPr>
                <w:rFonts w:hint="eastAsia" w:ascii="Times New Roman" w:hAnsi="Times New Roman" w:eastAsia="宋体"/>
                <w:color w:val="auto"/>
                <w:sz w:val="24"/>
                <w:lang w:val="en-US" w:eastAsia="zh-CN"/>
              </w:rPr>
              <w:t>《一般工业固体废物贮存、处置场污染控制标准》（GB18599-2001）</w:t>
            </w:r>
            <w:r>
              <w:rPr>
                <w:rFonts w:hint="default" w:ascii="Times New Roman" w:hAnsi="Times New Roman" w:eastAsia="宋体"/>
                <w:color w:val="auto"/>
                <w:sz w:val="24"/>
                <w:lang w:val="en-US" w:eastAsia="zh-CN"/>
              </w:rPr>
              <w:t>及修</w:t>
            </w:r>
            <w:r>
              <w:rPr>
                <w:rFonts w:hint="default" w:ascii="Times New Roman" w:hAnsi="Times New Roman" w:eastAsia="宋体"/>
                <w:color w:val="auto"/>
                <w:sz w:val="24"/>
                <w:lang w:eastAsia="zh-CN"/>
              </w:rPr>
              <w:t>改单要求</w:t>
            </w:r>
            <w:r>
              <w:rPr>
                <w:rFonts w:hint="eastAsia" w:ascii="Times New Roman" w:hAnsi="Times New Roman" w:eastAsia="宋体"/>
                <w:color w:val="auto"/>
                <w:sz w:val="24"/>
                <w:lang w:val="en-US" w:eastAsia="zh-CN"/>
              </w:rPr>
              <w:t>以及</w:t>
            </w:r>
            <w:r>
              <w:rPr>
                <w:rFonts w:hint="default" w:ascii="Times New Roman" w:hAnsi="Times New Roman" w:eastAsia="宋体"/>
                <w:color w:val="auto"/>
                <w:sz w:val="24"/>
                <w:lang w:val="en-US" w:eastAsia="zh-CN"/>
              </w:rPr>
              <w:t>《危险废物贮存污染控制标准》</w:t>
            </w:r>
            <w:r>
              <w:rPr>
                <w:rFonts w:hint="eastAsia" w:ascii="Times New Roman" w:hAnsi="Times New Roman" w:eastAsia="宋体"/>
                <w:color w:val="auto"/>
                <w:sz w:val="24"/>
                <w:lang w:val="en-US" w:eastAsia="zh-CN"/>
              </w:rPr>
              <w:t>（GB18597-2001）及修改单要求</w:t>
            </w:r>
            <w:r>
              <w:rPr>
                <w:rFonts w:hint="eastAsia" w:ascii="Times New Roman" w:hAnsi="Times New Roman" w:eastAsia="宋体"/>
                <w:color w:val="auto"/>
                <w:sz w:val="24"/>
              </w:rPr>
              <w:t>，对周围</w:t>
            </w:r>
            <w:r>
              <w:rPr>
                <w:rFonts w:ascii="Times New Roman" w:hAnsi="Times New Roman" w:eastAsia="宋体"/>
                <w:color w:val="auto"/>
                <w:sz w:val="24"/>
              </w:rPr>
              <w:t>环境影响很小。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3.</w:t>
            </w:r>
            <w:r>
              <w:rPr>
                <w:rFonts w:hint="default" w:ascii="Times New Roman" w:hAnsi="Times New Roman" w:eastAsia="宋体"/>
                <w:b/>
                <w:bCs/>
                <w:color w:val="auto"/>
                <w:sz w:val="24"/>
              </w:rPr>
              <w:t>防治污染和改善生态环境的环保措施有效性结论</w:t>
            </w:r>
          </w:p>
          <w:p>
            <w:pPr>
              <w:keepNext w:val="0"/>
              <w:pageBreakBefore w:val="0"/>
              <w:kinsoku/>
              <w:wordWrap/>
              <w:overflowPunct/>
              <w:topLinePunct w:val="0"/>
              <w:bidi w:val="0"/>
              <w:snapToGrid w:val="0"/>
              <w:spacing w:line="360" w:lineRule="auto"/>
              <w:ind w:firstLine="480" w:firstLineChars="200"/>
              <w:rPr>
                <w:rFonts w:hint="default" w:ascii="Times New Roman" w:hAnsi="Times New Roman" w:eastAsia="宋体"/>
                <w:color w:val="auto"/>
                <w:sz w:val="24"/>
              </w:rPr>
            </w:pPr>
            <w:r>
              <w:rPr>
                <w:rFonts w:hint="default" w:ascii="Times New Roman" w:hAnsi="Times New Roman" w:eastAsia="宋体"/>
                <w:color w:val="auto"/>
                <w:sz w:val="24"/>
              </w:rPr>
              <w:t>本项目环保投资预计</w:t>
            </w:r>
            <w:r>
              <w:rPr>
                <w:rFonts w:hint="eastAsia"/>
                <w:color w:val="auto"/>
                <w:sz w:val="24"/>
                <w:lang w:val="en-US" w:eastAsia="zh-CN"/>
              </w:rPr>
              <w:t>315</w:t>
            </w:r>
            <w:r>
              <w:rPr>
                <w:rFonts w:hint="default" w:ascii="Times New Roman" w:hAnsi="Times New Roman" w:eastAsia="宋体"/>
                <w:color w:val="auto"/>
                <w:sz w:val="24"/>
              </w:rPr>
              <w:t>万元，占项目总投资的</w:t>
            </w:r>
            <w:r>
              <w:rPr>
                <w:rFonts w:hint="eastAsia"/>
                <w:color w:val="auto"/>
                <w:sz w:val="24"/>
                <w:lang w:val="en-US" w:eastAsia="zh-CN"/>
              </w:rPr>
              <w:t>9.7</w:t>
            </w:r>
            <w:r>
              <w:rPr>
                <w:rFonts w:hint="default" w:ascii="Times New Roman" w:hAnsi="Times New Roman" w:eastAsia="宋体"/>
                <w:color w:val="auto"/>
                <w:sz w:val="24"/>
              </w:rPr>
              <w:t>%。环保投资建设内容主要包括</w:t>
            </w:r>
            <w:r>
              <w:rPr>
                <w:rFonts w:hint="eastAsia" w:ascii="Times New Roman" w:hAnsi="Times New Roman" w:eastAsia="宋体"/>
                <w:color w:val="auto"/>
                <w:sz w:val="24"/>
                <w:lang w:val="en-US" w:eastAsia="zh-CN"/>
              </w:rPr>
              <w:t>SCR</w:t>
            </w:r>
            <w:r>
              <w:rPr>
                <w:rFonts w:hint="eastAsia"/>
                <w:color w:val="auto"/>
                <w:sz w:val="24"/>
                <w:lang w:val="en-US" w:eastAsia="zh-CN"/>
              </w:rPr>
              <w:t>脱硝设施</w:t>
            </w:r>
            <w:r>
              <w:rPr>
                <w:rFonts w:hint="eastAsia" w:ascii="Times New Roman" w:hAnsi="Times New Roman" w:eastAsia="宋体"/>
                <w:color w:val="auto"/>
                <w:sz w:val="24"/>
                <w:lang w:val="en-US" w:eastAsia="zh-CN"/>
              </w:rPr>
              <w:t>、</w:t>
            </w:r>
            <w:r>
              <w:rPr>
                <w:rFonts w:hint="eastAsia"/>
                <w:color w:val="auto"/>
                <w:sz w:val="24"/>
                <w:lang w:val="en-US" w:eastAsia="zh-CN"/>
              </w:rPr>
              <w:t>脱硫设施</w:t>
            </w:r>
            <w:r>
              <w:rPr>
                <w:rFonts w:hint="eastAsia" w:ascii="Times New Roman" w:hAnsi="Times New Roman" w:eastAsia="宋体"/>
                <w:color w:val="auto"/>
                <w:sz w:val="24"/>
                <w:lang w:val="en-US" w:eastAsia="zh-CN"/>
              </w:rPr>
              <w:t>、</w:t>
            </w:r>
            <w:r>
              <w:rPr>
                <w:rFonts w:hint="eastAsia"/>
                <w:color w:val="auto"/>
                <w:sz w:val="24"/>
                <w:lang w:val="en-US" w:eastAsia="zh-CN"/>
              </w:rPr>
              <w:t>湿式静电除尘设施、</w:t>
            </w:r>
            <w:r>
              <w:rPr>
                <w:rFonts w:hint="eastAsia" w:ascii="Times New Roman" w:hAnsi="Times New Roman" w:eastAsia="宋体"/>
                <w:color w:val="auto"/>
                <w:sz w:val="24"/>
                <w:lang w:val="en-US" w:eastAsia="zh-CN"/>
              </w:rPr>
              <w:t>地埋式污水处理设施、危废暂存间、排气筒</w:t>
            </w:r>
            <w:r>
              <w:rPr>
                <w:rFonts w:hint="default" w:ascii="Times New Roman" w:hAnsi="Times New Roman" w:eastAsia="宋体"/>
                <w:color w:val="auto"/>
                <w:sz w:val="24"/>
              </w:rPr>
              <w:t>等设施。这些环保措施的实施，有效解决了本工程营运期的污染物排放问题，其防治污染、改善生态环境的环保措施可行、有效。</w:t>
            </w:r>
          </w:p>
          <w:p>
            <w:pPr>
              <w:keepNext w:val="0"/>
              <w:pageBreakBefore w:val="0"/>
              <w:kinsoku/>
              <w:wordWrap/>
              <w:overflowPunct/>
              <w:topLinePunct w:val="0"/>
              <w:bidi w:val="0"/>
              <w:snapToGrid w:val="0"/>
              <w:spacing w:line="360" w:lineRule="auto"/>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4.</w:t>
            </w:r>
            <w:r>
              <w:rPr>
                <w:rFonts w:hint="default" w:ascii="Times New Roman" w:hAnsi="Times New Roman" w:eastAsia="宋体"/>
                <w:b/>
                <w:bCs/>
                <w:color w:val="auto"/>
                <w:sz w:val="24"/>
              </w:rPr>
              <w:t>总量控制</w:t>
            </w:r>
          </w:p>
          <w:p>
            <w:pPr>
              <w:spacing w:line="360" w:lineRule="auto"/>
              <w:ind w:firstLine="480" w:firstLineChars="200"/>
              <w:jc w:val="both"/>
              <w:rPr>
                <w:rFonts w:hint="default" w:ascii="Times New Roman" w:hAnsi="Times New Roman" w:eastAsia="宋体" w:cs="Times New Roman"/>
                <w:snapToGrid w:val="0"/>
                <w:color w:val="auto"/>
                <w:kern w:val="0"/>
                <w:sz w:val="24"/>
                <w:highlight w:val="none"/>
                <w:lang w:eastAsia="zh-CN"/>
              </w:rPr>
            </w:pPr>
            <w:r>
              <w:rPr>
                <w:rFonts w:hint="eastAsia" w:cs="Times New Roman"/>
                <w:snapToGrid w:val="0"/>
                <w:color w:val="auto"/>
                <w:kern w:val="0"/>
                <w:sz w:val="24"/>
                <w:szCs w:val="24"/>
                <w:lang w:val="en-US" w:eastAsia="zh-CN"/>
              </w:rPr>
              <w:t>项目生产废水循环使用不外排，生活污水经自建地埋式污</w:t>
            </w:r>
            <w:r>
              <w:rPr>
                <w:rFonts w:hint="eastAsia" w:cs="Times New Roman"/>
                <w:snapToGrid w:val="0"/>
                <w:color w:val="auto"/>
                <w:kern w:val="0"/>
                <w:sz w:val="24"/>
                <w:szCs w:val="24"/>
                <w:highlight w:val="none"/>
                <w:lang w:val="en-US" w:eastAsia="zh-CN"/>
              </w:rPr>
              <w:t>水处理设施处理后回用，不外排；</w:t>
            </w:r>
            <w:r>
              <w:rPr>
                <w:rFonts w:hint="eastAsia" w:cs="Times New Roman"/>
                <w:color w:val="auto"/>
                <w:sz w:val="24"/>
                <w:szCs w:val="32"/>
                <w:highlight w:val="none"/>
                <w:vertAlign w:val="baseline"/>
                <w:lang w:val="en-US" w:eastAsia="zh-CN"/>
              </w:rPr>
              <w:t>项目采用莱钢集团焦炉煤气作为燃料，根据核算，项目排放氮氧化物2.07t/a，二氧化硫0.61t/a，颗粒物0.4642t/a。</w:t>
            </w:r>
            <w:r>
              <w:rPr>
                <w:rFonts w:hint="default" w:ascii="Times New Roman" w:hAnsi="Times New Roman" w:cs="Times New Roman"/>
                <w:color w:val="auto"/>
                <w:sz w:val="24"/>
                <w:highlight w:val="none"/>
                <w:lang w:eastAsia="zh-CN"/>
              </w:rPr>
              <w:t>根据《关于印发山东省建设项目主要大气污染物排放总量替代指标核算及管理办法的通知》（鲁环发〔2019〕132号）要求，本项目需申请总量</w:t>
            </w:r>
            <w:r>
              <w:rPr>
                <w:rFonts w:hint="eastAsia" w:cs="Times New Roman"/>
                <w:color w:val="auto"/>
                <w:sz w:val="24"/>
                <w:szCs w:val="32"/>
                <w:highlight w:val="none"/>
                <w:vertAlign w:val="baseline"/>
                <w:lang w:val="en-US" w:eastAsia="zh-CN"/>
              </w:rPr>
              <w:t>氮氧化物2.07t/a，二氧化硫0.61t/a，颗粒物0.4642t/a</w:t>
            </w:r>
            <w:r>
              <w:rPr>
                <w:rFonts w:hint="eastAsia" w:cs="Times New Roman"/>
                <w:color w:val="auto"/>
                <w:sz w:val="24"/>
                <w:highlight w:val="none"/>
                <w:lang w:eastAsia="zh-CN"/>
              </w:rPr>
              <w:t>。</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5.</w:t>
            </w:r>
            <w:r>
              <w:rPr>
                <w:rFonts w:hint="default" w:ascii="Times New Roman" w:hAnsi="Times New Roman" w:eastAsia="宋体"/>
                <w:b/>
                <w:bCs/>
                <w:color w:val="auto"/>
                <w:sz w:val="24"/>
              </w:rPr>
              <w:t>环境风险分析</w:t>
            </w:r>
          </w:p>
          <w:p>
            <w:pPr>
              <w:pStyle w:val="62"/>
              <w:keepNext w:val="0"/>
              <w:pageBreakBefore w:val="0"/>
              <w:kinsoku/>
              <w:wordWrap/>
              <w:overflowPunct/>
              <w:topLinePunct w:val="0"/>
              <w:bidi w:val="0"/>
              <w:spacing w:line="360" w:lineRule="auto"/>
              <w:ind w:firstLine="460" w:firstLineChars="200"/>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项目运行过程中需要加强风险防范工作。在项目建设过程中认真落实各种风险防范措施，通过相应的技术手段降低风险发生概率。项目设计中应对风险事故规定严格的对策措施，厂方制定完善的环境风险应急预案。根据风险事故环境影响预测结果，企业应加强管理，杜绝风险事故。并在风险事故发生后，及时采取风险防范措施及应急预案，可使风险事故对环境的危害得到有效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6.</w:t>
            </w:r>
            <w:r>
              <w:rPr>
                <w:rFonts w:hint="default" w:ascii="Times New Roman" w:hAnsi="Times New Roman" w:eastAsia="宋体"/>
                <w:b/>
                <w:bCs/>
                <w:color w:val="auto"/>
                <w:sz w:val="24"/>
              </w:rPr>
              <w:t>建设项目综合评价结论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rPr>
              <w:t>该项目符合国家产业政策，符合当地发展规划。项目所在区域内环境质量现状一般，无重大环境制约要素，采取的污染物治理技术可行，措施有效。工程实施后对环境影响小，基本维持当地环境质量现状。只要落实本报告表提出的环保对策措施，本项目建设从环境保护角度而言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7.</w:t>
            </w:r>
            <w:r>
              <w:rPr>
                <w:rFonts w:hint="default" w:ascii="Times New Roman" w:hAnsi="Times New Roman" w:eastAsia="宋体"/>
                <w:b/>
                <w:bCs/>
                <w:color w:val="auto"/>
                <w:sz w:val="24"/>
                <w:lang w:val="en-US" w:eastAsia="zh-CN"/>
              </w:rPr>
              <w:t>环保措施及“三同时”验收清单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b/>
                <w:bCs/>
                <w:color w:val="auto"/>
                <w:sz w:val="21"/>
                <w:szCs w:val="21"/>
                <w:lang w:val="en-US" w:eastAsia="zh-CN"/>
              </w:rPr>
            </w:pPr>
            <w:r>
              <w:rPr>
                <w:rFonts w:hint="default" w:ascii="Times New Roman" w:hAnsi="Times New Roman" w:eastAsia="宋体"/>
                <w:b/>
                <w:bCs/>
                <w:color w:val="auto"/>
                <w:sz w:val="21"/>
                <w:szCs w:val="21"/>
                <w:lang w:val="en-US" w:eastAsia="zh-CN"/>
              </w:rPr>
              <w:t>表9-1 项目运营期环保措施及“三同时”验收清单</w:t>
            </w:r>
          </w:p>
          <w:tbl>
            <w:tblPr>
              <w:tblStyle w:val="24"/>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167"/>
              <w:gridCol w:w="1373"/>
              <w:gridCol w:w="1540"/>
              <w:gridCol w:w="1923"/>
              <w:gridCol w:w="27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阶段</w:t>
                  </w:r>
                </w:p>
              </w:tc>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right"/>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内容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类型</w:t>
                  </w: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排放源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（编号）</w:t>
                  </w:r>
                </w:p>
              </w:tc>
              <w:tc>
                <w:tcPr>
                  <w:tcW w:w="1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污染物名称</w:t>
                  </w:r>
                </w:p>
              </w:tc>
              <w:tc>
                <w:tcPr>
                  <w:tcW w:w="1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防治措施</w:t>
                  </w:r>
                </w:p>
              </w:tc>
              <w:tc>
                <w:tcPr>
                  <w:tcW w:w="27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运营期</w:t>
                  </w:r>
                </w:p>
              </w:tc>
              <w:tc>
                <w:tcPr>
                  <w:tcW w:w="11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大气污染物</w:t>
                  </w:r>
                </w:p>
              </w:tc>
              <w:tc>
                <w:tcPr>
                  <w:tcW w:w="13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highlight w:val="none"/>
                      <w:lang w:val="en-US" w:eastAsia="zh-CN"/>
                    </w:rPr>
                    <w:t>加热炉废气</w:t>
                  </w:r>
                </w:p>
              </w:tc>
              <w:tc>
                <w:tcPr>
                  <w:tcW w:w="1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19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SCR脱硝+双碱法脱硫+湿式静电除尘</w:t>
                  </w:r>
                </w:p>
              </w:tc>
              <w:tc>
                <w:tcPr>
                  <w:tcW w:w="27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rPr>
                  </w:pPr>
                  <w:r>
                    <w:rPr>
                      <w:rFonts w:hint="eastAsia" w:ascii="Times New Roman" w:hAnsi="Times New Roman" w:cs="Times New Roman"/>
                      <w:color w:val="auto"/>
                      <w:sz w:val="21"/>
                      <w:szCs w:val="21"/>
                      <w:highlight w:val="none"/>
                      <w:lang w:val="en-US" w:eastAsia="zh-CN"/>
                    </w:rPr>
                    <w:t>《钢铁工业大气污染物排放标准》（DB</w:t>
                  </w:r>
                  <w:r>
                    <w:rPr>
                      <w:rFonts w:hint="eastAsia" w:cs="Times New Roman"/>
                      <w:color w:val="auto"/>
                      <w:sz w:val="21"/>
                      <w:szCs w:val="21"/>
                      <w:highlight w:val="none"/>
                      <w:lang w:val="en-US" w:eastAsia="zh-CN"/>
                    </w:rPr>
                    <w:t>37/990</w:t>
                  </w:r>
                  <w:r>
                    <w:rPr>
                      <w:rFonts w:hint="eastAsia" w:ascii="Times New Roman" w:hAnsi="Times New Roman" w:cs="Times New Roman"/>
                      <w:color w:val="auto"/>
                      <w:sz w:val="21"/>
                      <w:szCs w:val="21"/>
                      <w:highlight w:val="none"/>
                      <w:lang w:val="en-US" w:eastAsia="zh-CN"/>
                    </w:rPr>
                    <w:t>-2019）表1标准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1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rPr>
                  </w:pPr>
                </w:p>
              </w:tc>
              <w:tc>
                <w:tcPr>
                  <w:tcW w:w="27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highlight w:val="none"/>
                      <w:lang w:val="en-US" w:eastAsia="zh-CN"/>
                    </w:rPr>
                    <w:t>颗粒物</w:t>
                  </w:r>
                </w:p>
              </w:tc>
              <w:tc>
                <w:tcPr>
                  <w:tcW w:w="1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eastAsia="zh-CN"/>
                    </w:rPr>
                  </w:pPr>
                </w:p>
              </w:tc>
              <w:tc>
                <w:tcPr>
                  <w:tcW w:w="27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1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eastAsia="zh-CN"/>
                    </w:rPr>
                  </w:pPr>
                  <w:r>
                    <w:rPr>
                      <w:rFonts w:hint="eastAsia" w:cs="Times New Roman"/>
                      <w:color w:val="auto"/>
                      <w:sz w:val="21"/>
                      <w:szCs w:val="21"/>
                      <w:lang w:eastAsia="zh-CN"/>
                    </w:rPr>
                    <w:t>合理匹配尿素喷入量</w:t>
                  </w:r>
                </w:p>
              </w:tc>
              <w:tc>
                <w:tcPr>
                  <w:tcW w:w="27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rPr>
                  </w:pPr>
                  <w:r>
                    <w:rPr>
                      <w:rFonts w:hint="eastAsia" w:cs="Times New Roman"/>
                      <w:color w:val="auto"/>
                      <w:sz w:val="21"/>
                      <w:szCs w:val="21"/>
                      <w:highlight w:val="none"/>
                      <w:lang w:val="en-US" w:eastAsia="zh-CN"/>
                    </w:rPr>
                    <w:t>《恶臭污染物排放标准》（GB14554-93）表2标准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highlight w:val="none"/>
                      <w:lang w:val="en-US" w:eastAsia="zh-CN"/>
                    </w:rPr>
                    <w:t>机加工车间</w:t>
                  </w:r>
                </w:p>
              </w:tc>
              <w:tc>
                <w:tcPr>
                  <w:tcW w:w="1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highlight w:val="none"/>
                      <w:lang w:val="en-US" w:eastAsia="zh-CN"/>
                    </w:rPr>
                    <w:t>颗粒物</w:t>
                  </w:r>
                </w:p>
              </w:tc>
              <w:tc>
                <w:tcPr>
                  <w:tcW w:w="1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移动式烟尘净化器</w:t>
                  </w:r>
                </w:p>
              </w:tc>
              <w:tc>
                <w:tcPr>
                  <w:tcW w:w="27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rPr>
                  </w:pPr>
                  <w:r>
                    <w:rPr>
                      <w:rFonts w:hint="eastAsia" w:ascii="Times New Roman" w:hAnsi="Times New Roman" w:cs="Times New Roman"/>
                      <w:color w:val="auto"/>
                      <w:sz w:val="21"/>
                      <w:szCs w:val="21"/>
                      <w:highlight w:val="none"/>
                      <w:lang w:val="en-US" w:eastAsia="zh-CN"/>
                    </w:rPr>
                    <w:t>《钢铁工业大气污染物排放标准》（DB</w:t>
                  </w:r>
                  <w:r>
                    <w:rPr>
                      <w:rFonts w:hint="eastAsia" w:cs="Times New Roman"/>
                      <w:color w:val="auto"/>
                      <w:sz w:val="21"/>
                      <w:szCs w:val="21"/>
                      <w:highlight w:val="none"/>
                      <w:lang w:val="en-US" w:eastAsia="zh-CN"/>
                    </w:rPr>
                    <w:t>37/990</w:t>
                  </w:r>
                  <w:r>
                    <w:rPr>
                      <w:rFonts w:hint="eastAsia" w:ascii="Times New Roman" w:hAnsi="Times New Roman" w:cs="Times New Roman"/>
                      <w:color w:val="auto"/>
                      <w:sz w:val="21"/>
                      <w:szCs w:val="21"/>
                      <w:highlight w:val="none"/>
                      <w:lang w:val="en-US" w:eastAsia="zh-CN"/>
                    </w:rPr>
                    <w:t>-2019）表</w:t>
                  </w: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水污染物</w:t>
                  </w: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生产废水</w:t>
                  </w:r>
                </w:p>
              </w:tc>
              <w:tc>
                <w:tcPr>
                  <w:tcW w:w="1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COD、SS</w:t>
                  </w:r>
                </w:p>
              </w:tc>
              <w:tc>
                <w:tcPr>
                  <w:tcW w:w="1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沉淀池沉淀后回用</w:t>
                  </w:r>
                </w:p>
              </w:tc>
              <w:tc>
                <w:tcPr>
                  <w:tcW w:w="27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全部回用不外排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生活污水</w:t>
                  </w:r>
                </w:p>
              </w:tc>
              <w:tc>
                <w:tcPr>
                  <w:tcW w:w="1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COD、氨氮等</w:t>
                  </w:r>
                </w:p>
              </w:tc>
              <w:tc>
                <w:tcPr>
                  <w:tcW w:w="1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经自建污水处理站处理后回用于厂区绿化</w:t>
                  </w:r>
                  <w:r>
                    <w:rPr>
                      <w:rFonts w:hint="eastAsia"/>
                      <w:color w:val="auto"/>
                      <w:sz w:val="21"/>
                      <w:szCs w:val="21"/>
                      <w:lang w:val="en-US" w:eastAsia="zh-CN"/>
                    </w:rPr>
                    <w:t>和热轧用水</w:t>
                  </w:r>
                </w:p>
              </w:tc>
              <w:tc>
                <w:tcPr>
                  <w:tcW w:w="278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满足《城市污水再生利用 城市杂用水水质》（GB/T18920-2002）标准</w:t>
                  </w:r>
                  <w:r>
                    <w:rPr>
                      <w:rFonts w:hint="eastAsia"/>
                      <w:color w:val="auto"/>
                      <w:sz w:val="21"/>
                      <w:szCs w:val="21"/>
                      <w:lang w:val="en-US" w:eastAsia="zh-CN"/>
                    </w:rPr>
                    <w:t>和《城市污水再生利用 工业用水水质》（GBT19923-2005）标准</w:t>
                  </w:r>
                  <w:r>
                    <w:rPr>
                      <w:rFonts w:hint="eastAsia" w:ascii="Times New Roman" w:hAnsi="Times New Roman" w:eastAsia="宋体"/>
                      <w:color w:val="auto"/>
                      <w:sz w:val="21"/>
                      <w:szCs w:val="21"/>
                      <w:lang w:val="en-US" w:eastAsia="zh-CN"/>
                    </w:rPr>
                    <w:t>要求</w:t>
                  </w:r>
                  <w:r>
                    <w:rPr>
                      <w:rFonts w:hint="eastAsia"/>
                      <w:color w:val="auto"/>
                      <w:sz w:val="21"/>
                      <w:szCs w:val="21"/>
                      <w:lang w:val="en-US" w:eastAsia="zh-CN"/>
                    </w:rPr>
                    <w:t>后</w:t>
                  </w:r>
                  <w:r>
                    <w:rPr>
                      <w:rFonts w:hint="eastAsia" w:ascii="Times New Roman" w:hAnsi="Times New Roman" w:eastAsia="宋体"/>
                      <w:color w:val="auto"/>
                      <w:sz w:val="21"/>
                      <w:szCs w:val="21"/>
                      <w:lang w:val="en-US" w:eastAsia="zh-CN"/>
                    </w:rPr>
                    <w:t>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固体废物</w:t>
                  </w:r>
                </w:p>
              </w:tc>
              <w:tc>
                <w:tcPr>
                  <w:tcW w:w="13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highlight w:val="none"/>
                      <w:lang w:val="en-US" w:eastAsia="zh-CN"/>
                    </w:rPr>
                    <w:t>生产过程</w:t>
                  </w:r>
                </w:p>
              </w:tc>
              <w:tc>
                <w:tcPr>
                  <w:tcW w:w="1540" w:type="dxa"/>
                  <w:tcBorders>
                    <w:tl2br w:val="nil"/>
                    <w:tr2bl w:val="nil"/>
                  </w:tcBorders>
                  <w:noWrap w:val="0"/>
                  <w:vAlign w:val="center"/>
                </w:tcPr>
                <w:p>
                  <w:pPr>
                    <w:pStyle w:val="2"/>
                    <w:spacing w:after="0"/>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color w:val="auto"/>
                      <w:highlight w:val="none"/>
                      <w:vertAlign w:val="baseline"/>
                      <w:lang w:val="en-US" w:eastAsia="zh-CN"/>
                    </w:rPr>
                    <w:t>氧化铁皮</w:t>
                  </w:r>
                </w:p>
              </w:tc>
              <w:tc>
                <w:tcPr>
                  <w:tcW w:w="1923" w:type="dxa"/>
                  <w:vMerge w:val="restart"/>
                  <w:tcBorders>
                    <w:tl2br w:val="nil"/>
                    <w:tr2bl w:val="nil"/>
                  </w:tcBorders>
                  <w:noWrap w:val="0"/>
                  <w:vAlign w:val="center"/>
                </w:tcPr>
                <w:p>
                  <w:pPr>
                    <w:rPr>
                      <w:color w:val="auto"/>
                    </w:rPr>
                  </w:pPr>
                  <w:r>
                    <w:rPr>
                      <w:rFonts w:hint="eastAsia" w:cs="Times New Roman"/>
                      <w:color w:val="auto"/>
                      <w:sz w:val="21"/>
                      <w:szCs w:val="21"/>
                      <w:lang w:val="en-US" w:eastAsia="zh-CN"/>
                    </w:rPr>
                    <w:t>外售综合利用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27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《一般工业固体废物贮存、处置场污染控制标准》（GB18599-2001）</w:t>
                  </w:r>
                  <w:r>
                    <w:rPr>
                      <w:rFonts w:hint="default" w:ascii="Times New Roman" w:hAnsi="Times New Roman" w:eastAsia="宋体"/>
                      <w:color w:val="auto"/>
                      <w:sz w:val="21"/>
                      <w:szCs w:val="21"/>
                      <w:lang w:val="en-US" w:eastAsia="zh-CN"/>
                    </w:rPr>
                    <w:t>及修</w:t>
                  </w:r>
                  <w:r>
                    <w:rPr>
                      <w:rFonts w:hint="default" w:ascii="Times New Roman" w:hAnsi="Times New Roman" w:eastAsia="宋体"/>
                      <w:color w:val="auto"/>
                      <w:sz w:val="21"/>
                      <w:szCs w:val="21"/>
                      <w:lang w:eastAsia="zh-CN"/>
                    </w:rPr>
                    <w:t>改单要求</w:t>
                  </w:r>
                  <w:r>
                    <w:rPr>
                      <w:rFonts w:hint="eastAsia" w:ascii="Times New Roman" w:hAnsi="Times New Roman" w:eastAsia="宋体"/>
                      <w:color w:val="auto"/>
                      <w:sz w:val="21"/>
                      <w:szCs w:val="21"/>
                      <w:lang w:val="en-US" w:eastAsia="zh-CN"/>
                    </w:rPr>
                    <w:t>以及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p>
              </w:tc>
              <w:tc>
                <w:tcPr>
                  <w:tcW w:w="1540" w:type="dxa"/>
                  <w:tcBorders>
                    <w:tl2br w:val="nil"/>
                    <w:tr2bl w:val="nil"/>
                  </w:tcBorders>
                  <w:noWrap w:val="0"/>
                  <w:vAlign w:val="center"/>
                </w:tcPr>
                <w:p>
                  <w:pPr>
                    <w:pStyle w:val="2"/>
                    <w:spacing w:after="0"/>
                    <w:ind w:left="0" w:leftChars="0" w:right="0" w:rightChars="0" w:firstLine="0" w:firstLineChars="0"/>
                    <w:jc w:val="center"/>
                    <w:rPr>
                      <w:rFonts w:hint="eastAsia"/>
                      <w:color w:val="auto"/>
                      <w:highlight w:val="none"/>
                      <w:vertAlign w:val="baseline"/>
                      <w:lang w:val="en-US" w:eastAsia="zh-CN"/>
                    </w:rPr>
                  </w:pPr>
                  <w:r>
                    <w:rPr>
                      <w:rFonts w:hint="eastAsia"/>
                      <w:color w:val="FF0000"/>
                      <w:highlight w:val="none"/>
                      <w:vertAlign w:val="baseline"/>
                      <w:lang w:val="en-US" w:eastAsia="zh-CN"/>
                    </w:rPr>
                    <w:t>废铁屑</w:t>
                  </w:r>
                </w:p>
              </w:tc>
              <w:tc>
                <w:tcPr>
                  <w:tcW w:w="1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27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lang w:val="en-US" w:eastAsia="zh-CN"/>
                    </w:rPr>
                  </w:pPr>
                </w:p>
              </w:tc>
              <w:tc>
                <w:tcPr>
                  <w:tcW w:w="1540" w:type="dxa"/>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color w:val="auto"/>
                      <w:highlight w:val="none"/>
                      <w:vertAlign w:val="baseline"/>
                      <w:lang w:val="en-US" w:eastAsia="zh-CN"/>
                    </w:rPr>
                    <w:t>废钢料头</w:t>
                  </w:r>
                </w:p>
              </w:tc>
              <w:tc>
                <w:tcPr>
                  <w:tcW w:w="1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27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highlight w:val="none"/>
                      <w:lang w:val="en-US" w:eastAsia="zh-CN"/>
                    </w:rPr>
                    <w:t>员工生活</w:t>
                  </w:r>
                </w:p>
              </w:tc>
              <w:tc>
                <w:tcPr>
                  <w:tcW w:w="1540" w:type="dxa"/>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color w:val="auto"/>
                      <w:highlight w:val="none"/>
                      <w:vertAlign w:val="baseline"/>
                      <w:lang w:val="en-US" w:eastAsia="zh-CN"/>
                    </w:rPr>
                    <w:t>生活垃圾</w:t>
                  </w:r>
                </w:p>
              </w:tc>
              <w:tc>
                <w:tcPr>
                  <w:tcW w:w="1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环卫清运</w:t>
                  </w:r>
                </w:p>
              </w:tc>
              <w:tc>
                <w:tcPr>
                  <w:tcW w:w="27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cs="Times New Roman"/>
                      <w:color w:val="auto"/>
                      <w:sz w:val="21"/>
                      <w:szCs w:val="21"/>
                      <w:highlight w:val="none"/>
                      <w:lang w:val="en-US" w:eastAsia="zh-CN"/>
                    </w:rPr>
                    <w:t>废气治理</w:t>
                  </w:r>
                </w:p>
              </w:tc>
              <w:tc>
                <w:tcPr>
                  <w:tcW w:w="1540" w:type="dxa"/>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color w:val="auto"/>
                      <w:highlight w:val="none"/>
                      <w:vertAlign w:val="baseline"/>
                      <w:lang w:val="en-US" w:eastAsia="zh-CN"/>
                    </w:rPr>
                    <w:t>脱硫石膏</w:t>
                  </w:r>
                </w:p>
              </w:tc>
              <w:tc>
                <w:tcPr>
                  <w:tcW w:w="19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cs="Times New Roman"/>
                      <w:color w:val="auto"/>
                      <w:sz w:val="21"/>
                      <w:szCs w:val="21"/>
                      <w:lang w:val="en-US" w:eastAsia="zh-CN"/>
                    </w:rPr>
                    <w:t>有资质单位处置</w:t>
                  </w:r>
                </w:p>
              </w:tc>
              <w:tc>
                <w:tcPr>
                  <w:tcW w:w="27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《危险废物贮存污染控制标准》</w:t>
                  </w:r>
                  <w:r>
                    <w:rPr>
                      <w:rFonts w:hint="eastAsia" w:ascii="Times New Roman" w:hAnsi="Times New Roman" w:eastAsia="宋体"/>
                      <w:color w:val="auto"/>
                      <w:sz w:val="21"/>
                      <w:szCs w:val="21"/>
                      <w:lang w:val="en-US" w:eastAsia="zh-CN"/>
                    </w:rPr>
                    <w:t>（GB18597-2001）及修改单要求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lang w:val="en-US" w:eastAsia="zh-CN"/>
                    </w:rPr>
                  </w:pPr>
                </w:p>
              </w:tc>
              <w:tc>
                <w:tcPr>
                  <w:tcW w:w="1540" w:type="dxa"/>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color w:val="auto"/>
                      <w:highlight w:val="none"/>
                      <w:vertAlign w:val="baseline"/>
                      <w:lang w:val="en-US" w:eastAsia="zh-CN"/>
                    </w:rPr>
                    <w:t>废催化剂</w:t>
                  </w:r>
                </w:p>
              </w:tc>
              <w:tc>
                <w:tcPr>
                  <w:tcW w:w="1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olor w:val="auto"/>
                      <w:sz w:val="21"/>
                      <w:szCs w:val="21"/>
                      <w:lang w:val="en-US" w:eastAsia="zh-CN"/>
                    </w:rPr>
                  </w:pPr>
                </w:p>
              </w:tc>
              <w:tc>
                <w:tcPr>
                  <w:tcW w:w="27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1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highlight w:val="none"/>
                      <w:lang w:val="en-US" w:eastAsia="zh-CN"/>
                    </w:rPr>
                    <w:t>设备维护</w:t>
                  </w:r>
                </w:p>
              </w:tc>
              <w:tc>
                <w:tcPr>
                  <w:tcW w:w="1540" w:type="dxa"/>
                  <w:tcBorders>
                    <w:tl2br w:val="nil"/>
                    <w:tr2bl w:val="nil"/>
                  </w:tcBorders>
                  <w:noWrap w:val="0"/>
                  <w:vAlign w:val="center"/>
                </w:tcPr>
                <w:p>
                  <w:pPr>
                    <w:pStyle w:val="2"/>
                    <w:spacing w:after="0"/>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color w:val="auto"/>
                      <w:highlight w:val="none"/>
                      <w:vertAlign w:val="baseline"/>
                      <w:lang w:val="en-US" w:eastAsia="zh-CN"/>
                    </w:rPr>
                    <w:t>废油桶</w:t>
                  </w:r>
                </w:p>
              </w:tc>
              <w:tc>
                <w:tcPr>
                  <w:tcW w:w="1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有资质单位处置</w:t>
                  </w:r>
                </w:p>
              </w:tc>
              <w:tc>
                <w:tcPr>
                  <w:tcW w:w="27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rPr>
                  </w:pPr>
                </w:p>
              </w:tc>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olor w:val="auto"/>
                      <w:sz w:val="21"/>
                      <w:szCs w:val="21"/>
                    </w:rPr>
                  </w:pPr>
                  <w:r>
                    <w:rPr>
                      <w:rFonts w:hint="default" w:ascii="Times New Roman" w:hAnsi="Times New Roman" w:eastAsia="宋体"/>
                      <w:color w:val="auto"/>
                      <w:sz w:val="21"/>
                      <w:szCs w:val="21"/>
                    </w:rPr>
                    <w:t>噪声</w:t>
                  </w:r>
                </w:p>
              </w:tc>
              <w:tc>
                <w:tcPr>
                  <w:tcW w:w="762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eastAsia="宋体"/>
                      <w:color w:val="auto"/>
                      <w:sz w:val="21"/>
                      <w:szCs w:val="21"/>
                    </w:rPr>
                  </w:pPr>
                  <w:r>
                    <w:rPr>
                      <w:rFonts w:hint="default" w:ascii="Times New Roman" w:hAnsi="Times New Roman" w:eastAsia="宋体"/>
                      <w:color w:val="auto"/>
                      <w:sz w:val="21"/>
                      <w:szCs w:val="21"/>
                    </w:rPr>
                    <w:t>建设单位将生产设备全部置于生产车间内，在高噪音设备基底配隔板、减振垫，合理布置车间内的机械设备。噪声在采取合理的噪声防治措施后，经车间屏蔽和车间距厂界距离的衰减，能够满足《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eastAsia="宋体"/>
                      <w:color w:val="auto"/>
                      <w:sz w:val="21"/>
                      <w:szCs w:val="21"/>
                    </w:rPr>
                  </w:pPr>
                </w:p>
              </w:tc>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eastAsia="宋体"/>
                      <w:color w:val="auto"/>
                      <w:sz w:val="21"/>
                      <w:szCs w:val="21"/>
                    </w:rPr>
                  </w:pPr>
                  <w:r>
                    <w:rPr>
                      <w:rFonts w:hint="default" w:ascii="Times New Roman" w:hAnsi="Times New Roman" w:eastAsia="宋体"/>
                      <w:color w:val="auto"/>
                      <w:sz w:val="21"/>
                      <w:szCs w:val="21"/>
                    </w:rPr>
                    <w:t>其他</w:t>
                  </w:r>
                </w:p>
              </w:tc>
              <w:tc>
                <w:tcPr>
                  <w:tcW w:w="762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eastAsia="宋体"/>
                      <w:color w:val="auto"/>
                      <w:sz w:val="21"/>
                      <w:szCs w:val="21"/>
                    </w:rPr>
                  </w:pPr>
                  <w:r>
                    <w:rPr>
                      <w:rFonts w:hint="default" w:ascii="Times New Roman" w:hAnsi="Times New Roman" w:eastAsia="宋体"/>
                      <w:color w:val="auto"/>
                      <w:sz w:val="21"/>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dxa"/>
                  <w:vMerge w:val="continue"/>
                  <w:tcBorders>
                    <w:tl2br w:val="nil"/>
                    <w:tr2bl w:val="nil"/>
                  </w:tcBorders>
                  <w:noWrap w:val="0"/>
                  <w:vAlign w:val="top"/>
                </w:tcPr>
                <w:p>
                  <w:pPr>
                    <w:pStyle w:val="32"/>
                    <w:keepNext w:val="0"/>
                    <w:keepLines w:val="0"/>
                    <w:pageBreakBefore w:val="0"/>
                    <w:widowControl w:val="0"/>
                    <w:kinsoku/>
                    <w:wordWrap/>
                    <w:overflowPunct/>
                    <w:topLinePunct w:val="0"/>
                    <w:bidi w:val="0"/>
                    <w:snapToGrid/>
                    <w:textAlignment w:val="auto"/>
                    <w:rPr>
                      <w:rFonts w:hint="default" w:ascii="Times New Roman" w:hAnsi="Times New Roman" w:eastAsia="宋体"/>
                      <w:color w:val="auto"/>
                      <w:sz w:val="21"/>
                      <w:szCs w:val="21"/>
                    </w:rPr>
                  </w:pPr>
                </w:p>
              </w:tc>
              <w:tc>
                <w:tcPr>
                  <w:tcW w:w="8790" w:type="dxa"/>
                  <w:gridSpan w:val="5"/>
                  <w:tcBorders>
                    <w:tl2br w:val="nil"/>
                    <w:tr2bl w:val="nil"/>
                  </w:tcBorders>
                  <w:noWrap w:val="0"/>
                  <w:vAlign w:val="top"/>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生态保护措施：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eastAsia="宋体"/>
                      <w:color w:val="auto"/>
                      <w:sz w:val="21"/>
                      <w:szCs w:val="21"/>
                    </w:rPr>
                  </w:pPr>
                  <w:r>
                    <w:rPr>
                      <w:rFonts w:hint="default" w:ascii="Times New Roman" w:hAnsi="Times New Roman" w:eastAsia="宋体"/>
                      <w:color w:val="auto"/>
                      <w:sz w:val="21"/>
                      <w:szCs w:val="21"/>
                    </w:rPr>
                    <w:t>拟建项目主要通过确保污染物达标排放、加强对周围绿化树木的保护和管理等途径来保护周围生态环境。</w:t>
                  </w:r>
                </w:p>
                <w:p>
                  <w:pPr>
                    <w:pStyle w:val="32"/>
                    <w:keepNext w:val="0"/>
                    <w:keepLines w:val="0"/>
                    <w:pageBreakBefore w:val="0"/>
                    <w:widowControl w:val="0"/>
                    <w:kinsoku/>
                    <w:wordWrap/>
                    <w:overflowPunct/>
                    <w:topLinePunct w:val="0"/>
                    <w:bidi w:val="0"/>
                    <w:snapToGrid/>
                    <w:textAlignment w:val="auto"/>
                    <w:rPr>
                      <w:rFonts w:hint="default" w:ascii="Times New Roman" w:hAnsi="Times New Roman" w:eastAsia="宋体"/>
                      <w:color w:val="auto"/>
                      <w:sz w:val="21"/>
                      <w:szCs w:val="21"/>
                    </w:rPr>
                  </w:pPr>
                </w:p>
                <w:p>
                  <w:pPr>
                    <w:pStyle w:val="32"/>
                    <w:keepNext w:val="0"/>
                    <w:keepLines w:val="0"/>
                    <w:pageBreakBefore w:val="0"/>
                    <w:widowControl w:val="0"/>
                    <w:kinsoku/>
                    <w:wordWrap/>
                    <w:overflowPunct/>
                    <w:topLinePunct w:val="0"/>
                    <w:bidi w:val="0"/>
                    <w:snapToGrid/>
                    <w:textAlignment w:val="auto"/>
                    <w:rPr>
                      <w:rFonts w:hint="default" w:ascii="Times New Roman" w:hAnsi="Times New Roman" w:eastAsia="宋体"/>
                      <w:color w:val="auto"/>
                      <w:sz w:val="21"/>
                      <w:szCs w:val="21"/>
                    </w:rPr>
                  </w:pPr>
                </w:p>
                <w:p>
                  <w:pPr>
                    <w:pStyle w:val="32"/>
                    <w:keepNext w:val="0"/>
                    <w:keepLines w:val="0"/>
                    <w:pageBreakBefore w:val="0"/>
                    <w:widowControl w:val="0"/>
                    <w:kinsoku/>
                    <w:wordWrap/>
                    <w:overflowPunct/>
                    <w:topLinePunct w:val="0"/>
                    <w:bidi w:val="0"/>
                    <w:snapToGrid/>
                    <w:textAlignment w:val="auto"/>
                    <w:rPr>
                      <w:rFonts w:hint="default" w:ascii="Times New Roman" w:hAnsi="Times New Roman" w:eastAsia="宋体"/>
                      <w:color w:val="auto"/>
                      <w:sz w:val="21"/>
                      <w:szCs w:val="21"/>
                    </w:rPr>
                  </w:pPr>
                </w:p>
                <w:p>
                  <w:pPr>
                    <w:pStyle w:val="32"/>
                    <w:keepNext w:val="0"/>
                    <w:keepLines w:val="0"/>
                    <w:pageBreakBefore w:val="0"/>
                    <w:widowControl w:val="0"/>
                    <w:kinsoku/>
                    <w:wordWrap/>
                    <w:overflowPunct/>
                    <w:topLinePunct w:val="0"/>
                    <w:bidi w:val="0"/>
                    <w:snapToGrid/>
                    <w:textAlignment w:val="auto"/>
                    <w:rPr>
                      <w:rFonts w:hint="default" w:ascii="Times New Roman" w:hAnsi="Times New Roman" w:eastAsia="宋体"/>
                      <w:color w:val="auto"/>
                      <w:sz w:val="21"/>
                      <w:szCs w:val="21"/>
                    </w:rPr>
                  </w:pPr>
                </w:p>
              </w:tc>
            </w:tr>
          </w:tbl>
          <w:p>
            <w:pPr>
              <w:spacing w:line="360" w:lineRule="auto"/>
              <w:rPr>
                <w:rFonts w:hint="eastAsia" w:ascii="Times New Roman" w:hAnsi="Times New Roman" w:eastAsia="宋体"/>
                <w:b/>
                <w:bCs/>
                <w:color w:val="auto"/>
                <w:sz w:val="24"/>
                <w:lang w:eastAsia="zh-CN"/>
              </w:rPr>
            </w:pPr>
            <w:r>
              <w:rPr>
                <w:rFonts w:hint="default" w:ascii="Times New Roman" w:hAnsi="Times New Roman" w:eastAsia="宋体"/>
                <w:b/>
                <w:bCs/>
                <w:color w:val="auto"/>
                <w:sz w:val="24"/>
              </w:rPr>
              <w:t>2</w:t>
            </w:r>
            <w:r>
              <w:rPr>
                <w:rFonts w:hint="eastAsia"/>
                <w:b/>
                <w:bCs/>
                <w:color w:val="auto"/>
                <w:sz w:val="24"/>
                <w:lang w:eastAsia="zh-CN"/>
              </w:rPr>
              <w:t>建议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lang w:val="en-US" w:eastAsia="zh-CN"/>
              </w:rPr>
            </w:pPr>
            <w:r>
              <w:rPr>
                <w:rFonts w:hint="default" w:ascii="Times New Roman" w:hAnsi="Times New Roman" w:eastAsia="宋体"/>
                <w:color w:val="auto"/>
                <w:sz w:val="24"/>
              </w:rPr>
              <w:t>2.1</w:t>
            </w:r>
            <w:r>
              <w:rPr>
                <w:rFonts w:hint="default" w:ascii="Times New Roman" w:hAnsi="Times New Roman" w:eastAsia="宋体"/>
                <w:color w:val="auto"/>
                <w:sz w:val="24"/>
                <w:lang w:val="en-US" w:eastAsia="zh-CN"/>
              </w:rPr>
              <w:t xml:space="preserve"> </w:t>
            </w:r>
            <w:r>
              <w:rPr>
                <w:rFonts w:hint="eastAsia" w:ascii="Times New Roman" w:hAnsi="Times New Roman" w:eastAsia="宋体"/>
                <w:color w:val="auto"/>
                <w:sz w:val="24"/>
                <w:lang w:val="en-US" w:eastAsia="zh-CN"/>
              </w:rPr>
              <w:t>合理匹配风机风量，分期建设运行过程中，满足正常生产情况下确保各项污染物达标排放。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rPr>
              <w:t>2.2认真贯彻落实已制定的环保措施，严格执行建设项目</w:t>
            </w:r>
            <w:r>
              <w:rPr>
                <w:rFonts w:hint="default" w:ascii="Times New Roman" w:hAnsi="Times New Roman" w:eastAsia="宋体"/>
                <w:color w:val="auto"/>
                <w:sz w:val="24"/>
                <w:lang w:eastAsia="zh-CN"/>
              </w:rPr>
              <w:t>“</w:t>
            </w:r>
            <w:r>
              <w:rPr>
                <w:rFonts w:hint="default" w:ascii="Times New Roman" w:hAnsi="Times New Roman" w:eastAsia="宋体"/>
                <w:color w:val="auto"/>
                <w:sz w:val="24"/>
              </w:rPr>
              <w:t>三同时</w:t>
            </w:r>
            <w:r>
              <w:rPr>
                <w:rFonts w:hint="default" w:ascii="Times New Roman" w:hAnsi="Times New Roman" w:eastAsia="宋体"/>
                <w:color w:val="auto"/>
                <w:sz w:val="24"/>
                <w:lang w:eastAsia="zh-CN"/>
              </w:rPr>
              <w:t>”</w:t>
            </w:r>
            <w:r>
              <w:rPr>
                <w:rFonts w:hint="default" w:ascii="Times New Roman" w:hAnsi="Times New Roman" w:eastAsia="宋体"/>
                <w:color w:val="auto"/>
                <w:sz w:val="24"/>
              </w:rPr>
              <w:t>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rPr>
              <w:t xml:space="preserve">2.3 </w:t>
            </w:r>
            <w:r>
              <w:rPr>
                <w:rFonts w:hint="eastAsia"/>
                <w:color w:val="auto"/>
                <w:sz w:val="24"/>
                <w:lang w:eastAsia="zh-CN"/>
              </w:rPr>
              <w:t>项目例行监测增加对氨的监测</w:t>
            </w:r>
            <w:r>
              <w:rPr>
                <w:rFonts w:hint="default" w:ascii="Times New Roman" w:hAnsi="Times New Roman" w:eastAsia="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rPr>
              <w:t>2.</w:t>
            </w:r>
            <w:r>
              <w:rPr>
                <w:rFonts w:hint="eastAsia" w:ascii="Times New Roman" w:hAnsi="Times New Roman" w:eastAsia="宋体"/>
                <w:color w:val="auto"/>
                <w:sz w:val="24"/>
                <w:lang w:val="en-US" w:eastAsia="zh-CN"/>
              </w:rPr>
              <w:t>4</w:t>
            </w:r>
            <w:r>
              <w:rPr>
                <w:rFonts w:hint="default" w:ascii="Times New Roman" w:hAnsi="Times New Roman" w:eastAsia="宋体"/>
                <w:color w:val="auto"/>
                <w:sz w:val="24"/>
              </w:rPr>
              <w:t>加强设备及环保设施的日常维护，确保其正常运转，减少环境污染。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rPr>
              <w:t>2.</w:t>
            </w:r>
            <w:r>
              <w:rPr>
                <w:rFonts w:hint="eastAsia" w:ascii="Times New Roman" w:hAnsi="Times New Roman" w:eastAsia="宋体"/>
                <w:color w:val="auto"/>
                <w:sz w:val="24"/>
                <w:lang w:val="en-US" w:eastAsia="zh-CN"/>
              </w:rPr>
              <w:t>5</w:t>
            </w:r>
            <w:r>
              <w:rPr>
                <w:rFonts w:hint="default" w:ascii="Times New Roman" w:hAnsi="Times New Roman" w:eastAsia="宋体"/>
                <w:color w:val="auto"/>
                <w:sz w:val="24"/>
              </w:rPr>
              <w:t>设置固体废物收集存放处，并进行有效的防渗漏处理，项目生产过程中产生的固体废物分类收集暂存。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olor w:val="auto"/>
                <w:sz w:val="24"/>
              </w:rPr>
            </w:pPr>
            <w:r>
              <w:rPr>
                <w:rFonts w:hint="default" w:ascii="Times New Roman" w:hAnsi="Times New Roman" w:eastAsia="宋体"/>
                <w:color w:val="auto"/>
                <w:sz w:val="24"/>
              </w:rPr>
              <w:t>2.</w:t>
            </w:r>
            <w:r>
              <w:rPr>
                <w:rFonts w:hint="eastAsia" w:ascii="Times New Roman" w:hAnsi="Times New Roman" w:eastAsia="宋体"/>
                <w:color w:val="auto"/>
                <w:sz w:val="24"/>
                <w:lang w:val="en-US" w:eastAsia="zh-CN"/>
              </w:rPr>
              <w:t>6</w:t>
            </w:r>
            <w:r>
              <w:rPr>
                <w:rFonts w:hint="default" w:ascii="Times New Roman" w:hAnsi="Times New Roman" w:eastAsia="宋体"/>
                <w:color w:val="auto"/>
                <w:sz w:val="24"/>
              </w:rPr>
              <w:t>建设单位须强化生态保护意识，充分利用自然条件，多种花草树木，提高绿化面积，起到防尘降噪、净化空气的作用，给职工提供一个优美的生活工作环境。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olor w:val="auto"/>
                <w:sz w:val="24"/>
                <w:lang w:eastAsia="zh-CN"/>
              </w:rPr>
            </w:pPr>
            <w:r>
              <w:rPr>
                <w:rFonts w:hint="eastAsia" w:ascii="Times New Roman" w:hAnsi="Times New Roman" w:eastAsia="宋体"/>
                <w:color w:val="auto"/>
                <w:sz w:val="24"/>
                <w:lang w:val="en-US" w:eastAsia="zh-CN"/>
              </w:rPr>
              <w:t>2.7</w:t>
            </w:r>
            <w:r>
              <w:rPr>
                <w:rFonts w:hint="default" w:ascii="Times New Roman" w:hAnsi="Times New Roman" w:eastAsia="宋体"/>
                <w:color w:val="auto"/>
                <w:sz w:val="24"/>
              </w:rPr>
              <w:t>严格按照环境影响评价文件要求进行建设，不准擅自变更建设项目的地点、性质、规模等。建设项目的地点、性质、规模及生产工艺等发生变化，建设单位应重新办理建设项目环境影响评价手续，并报有审批权的环保部门批准</w:t>
            </w:r>
            <w:r>
              <w:rPr>
                <w:rFonts w:hint="eastAsia" w:ascii="Times New Roman" w:hAnsi="Times New Roman" w:eastAsia="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olor w:val="auto"/>
                <w:sz w:val="24"/>
                <w:lang w:eastAsia="zh-CN"/>
              </w:rPr>
            </w:pPr>
          </w:p>
          <w:p>
            <w:pPr>
              <w:pStyle w:val="2"/>
              <w:rPr>
                <w:rFonts w:hint="eastAsia"/>
                <w:color w:val="auto"/>
                <w:lang w:eastAsia="zh-CN"/>
              </w:rPr>
            </w:pPr>
          </w:p>
          <w:p>
            <w:pPr>
              <w:rPr>
                <w:rFonts w:hint="eastAsia" w:ascii="Times New Roman" w:hAnsi="Times New Roman" w:eastAsia="宋体"/>
                <w:color w:val="auto"/>
                <w:sz w:val="24"/>
                <w:lang w:eastAsia="zh-CN"/>
              </w:rPr>
            </w:pPr>
          </w:p>
          <w:p>
            <w:pPr>
              <w:pStyle w:val="2"/>
              <w:rPr>
                <w:rFonts w:hint="eastAsia" w:ascii="Times New Roman" w:hAnsi="Times New Roman" w:eastAsia="宋体"/>
                <w:color w:val="auto"/>
                <w:sz w:val="24"/>
                <w:lang w:eastAsia="zh-CN"/>
              </w:rPr>
            </w:pPr>
          </w:p>
          <w:p>
            <w:pPr>
              <w:rPr>
                <w:rFonts w:hint="eastAsia" w:ascii="Times New Roman" w:hAnsi="Times New Roman" w:eastAsia="宋体"/>
                <w:color w:val="auto"/>
                <w:sz w:val="24"/>
                <w:lang w:eastAsia="zh-CN"/>
              </w:rPr>
            </w:pPr>
          </w:p>
          <w:p>
            <w:pPr>
              <w:pStyle w:val="32"/>
              <w:rPr>
                <w:rFonts w:hint="default" w:ascii="Times New Roman" w:hAnsi="Times New Roman" w:eastAsia="宋体" w:cs="Times New Roman"/>
                <w:color w:val="auto"/>
                <w:w w:val="103"/>
                <w:sz w:val="24"/>
              </w:rPr>
            </w:pPr>
          </w:p>
          <w:p>
            <w:pPr>
              <w:pStyle w:val="32"/>
              <w:rPr>
                <w:rFonts w:hint="default" w:ascii="Times New Roman" w:hAnsi="Times New Roman" w:eastAsia="宋体" w:cs="Times New Roman"/>
                <w:color w:val="auto"/>
                <w:w w:val="103"/>
                <w:sz w:val="24"/>
              </w:rPr>
            </w:pPr>
          </w:p>
          <w:p>
            <w:pPr>
              <w:pStyle w:val="32"/>
              <w:rPr>
                <w:rFonts w:hint="default" w:ascii="Times New Roman" w:hAnsi="Times New Roman" w:eastAsia="宋体" w:cs="Times New Roman"/>
                <w:color w:val="auto"/>
                <w:w w:val="103"/>
                <w:sz w:val="24"/>
              </w:rPr>
            </w:pPr>
          </w:p>
          <w:p>
            <w:pPr>
              <w:pStyle w:val="32"/>
              <w:rPr>
                <w:rFonts w:hint="default" w:ascii="Times New Roman" w:hAnsi="Times New Roman" w:eastAsia="宋体" w:cs="Times New Roman"/>
                <w:color w:val="auto"/>
                <w:w w:val="103"/>
                <w:sz w:val="24"/>
              </w:rPr>
            </w:pPr>
          </w:p>
          <w:p>
            <w:pPr>
              <w:pStyle w:val="32"/>
              <w:rPr>
                <w:rFonts w:hint="default" w:ascii="Times New Roman" w:hAnsi="Times New Roman" w:eastAsia="宋体" w:cs="Times New Roman"/>
                <w:color w:val="auto"/>
                <w:w w:val="103"/>
                <w:sz w:val="24"/>
              </w:rPr>
            </w:pPr>
          </w:p>
        </w:tc>
      </w:tr>
    </w:tbl>
    <w:tbl>
      <w:tblPr>
        <w:tblStyle w:val="24"/>
        <w:tblpPr w:leftFromText="180" w:rightFromText="180" w:vertAnchor="text" w:horzAnchor="margin" w:tblpXSpec="center" w:tblpY="-155"/>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8" w:hRule="atLeast"/>
          <w:jc w:val="center"/>
        </w:trPr>
        <w:tc>
          <w:tcPr>
            <w:tcW w:w="9600" w:type="dxa"/>
            <w:noWrap w:val="0"/>
            <w:vAlign w:val="top"/>
          </w:tcPr>
          <w:p>
            <w:pPr>
              <w:jc w:val="center"/>
              <w:rPr>
                <w:rFonts w:hint="default" w:ascii="Times New Roman" w:hAnsi="Times New Roman" w:cs="Times New Roman"/>
                <w:bCs/>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8"/>
                <w:szCs w:val="28"/>
              </w:rPr>
            </w:pPr>
            <w:r>
              <w:rPr>
                <w:rFonts w:hint="default" w:ascii="Times New Roman" w:hAnsi="Times New Roman" w:cs="Times New Roman"/>
                <w:bCs/>
                <w:color w:val="auto"/>
                <w:sz w:val="36"/>
                <w:szCs w:val="36"/>
              </w:rPr>
              <w:t>注       释</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一、本报告表附件、附图：</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附件1项目委托书</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lang w:eastAsia="zh-CN"/>
              </w:rPr>
              <w:t>附件</w:t>
            </w:r>
            <w:r>
              <w:rPr>
                <w:rFonts w:hint="default" w:ascii="Times New Roman" w:hAnsi="Times New Roman" w:cs="Times New Roman"/>
                <w:color w:val="auto"/>
                <w:sz w:val="28"/>
                <w:szCs w:val="28"/>
                <w:lang w:val="en-US" w:eastAsia="zh-CN"/>
              </w:rPr>
              <w:t>2其他与环评有关的行政管理文件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附图</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项目地理位置图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附图2项目平面布置图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eastAsia="zh-CN"/>
              </w:rPr>
              <w:t>附图</w:t>
            </w:r>
            <w:r>
              <w:rPr>
                <w:rFonts w:hint="default" w:ascii="Times New Roman" w:hAnsi="Times New Roman" w:cs="Times New Roman"/>
                <w:color w:val="auto"/>
                <w:sz w:val="28"/>
                <w:szCs w:val="28"/>
                <w:lang w:val="en-US" w:eastAsia="zh-CN"/>
              </w:rPr>
              <w:t>3敏感目标分布图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二、如果本报告表不能说明项目产生的污染及对环境造成的影响，应进行专项评价。根据建设项目的特点和当地环境特征，应选下列1-2项进行专项评价。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1、大气环境影响专项评价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2、水环境影响专项评价（包括地表水和地下水）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3、生态影响专项评价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4、声影响专项评价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5、土壤影响专项评价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6、固体废弃物影响专项评价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以上专项评价未包括的可另列专项，专项评价按照《环境影响评价技术导则》中的要求进行。</w:t>
            </w:r>
          </w:p>
          <w:p>
            <w:pPr>
              <w:rPr>
                <w:rFonts w:hint="default" w:ascii="Times New Roman" w:hAnsi="Times New Roman" w:cs="Times New Roman"/>
                <w:bCs/>
                <w:color w:val="auto"/>
                <w:sz w:val="44"/>
              </w:rPr>
            </w:pPr>
          </w:p>
        </w:tc>
      </w:tr>
    </w:tbl>
    <w:p>
      <w:pPr>
        <w:ind w:firstLine="5320" w:firstLineChars="1900"/>
        <w:rPr>
          <w:color w:val="auto"/>
        </w:rPr>
      </w:pPr>
      <w:r>
        <w:rPr>
          <w:rFonts w:hint="default" w:ascii="Times New Roman" w:hAnsi="Times New Roman" w:cs="Times New Roman"/>
          <w:color w:val="auto"/>
          <w:sz w:val="28"/>
        </w:rPr>
        <w:t>山东省环境保护局翻印</w:t>
      </w:r>
    </w:p>
    <w:p>
      <w:pPr>
        <w:rPr>
          <w:color w:val="auto"/>
        </w:rPr>
      </w:pPr>
    </w:p>
    <w:sectPr>
      <w:footerReference r:id="rId7"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font-weight : 400">
    <w:altName w:val="微软雅黑"/>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6"/>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245AAA"/>
    <w:multiLevelType w:val="multilevel"/>
    <w:tmpl w:val="92245AAA"/>
    <w:lvl w:ilvl="0" w:tentative="0">
      <w:start w:val="9"/>
      <w:numFmt w:val="decimal"/>
      <w:lvlText w:val="%1"/>
      <w:lvlJc w:val="left"/>
      <w:pPr>
        <w:tabs>
          <w:tab w:val="left" w:pos="624"/>
        </w:tabs>
        <w:ind w:left="600" w:hanging="600"/>
      </w:pPr>
      <w:rPr>
        <w:rFonts w:hint="default"/>
      </w:rPr>
    </w:lvl>
    <w:lvl w:ilvl="1" w:tentative="0">
      <w:start w:val="1"/>
      <w:numFmt w:val="decimal"/>
      <w:lvlText w:val="%1.%2"/>
      <w:lvlJc w:val="left"/>
      <w:pPr>
        <w:tabs>
          <w:tab w:val="left" w:pos="720"/>
        </w:tabs>
        <w:ind w:left="720" w:hanging="720"/>
      </w:pPr>
      <w:rPr>
        <w:rFonts w:hint="eastAsia" w:ascii="Times New Roman" w:hAnsi="Times New Roman" w:cs="Times New Roman"/>
        <w:bCs w:val="0"/>
        <w:i w:val="0"/>
        <w:iCs w:val="0"/>
        <w:caps w:val="0"/>
        <w:smallCaps w:val="0"/>
        <w:strike w:val="0"/>
        <w:dstrike w:val="0"/>
        <w:vanish w:val="0"/>
        <w:spacing w:val="0"/>
        <w:kern w:val="0"/>
        <w:position w:val="0"/>
        <w:u w:val="none"/>
        <w:vertAlign w:val="baseline"/>
      </w:rPr>
    </w:lvl>
    <w:lvl w:ilvl="2" w:tentative="0">
      <w:start w:val="1"/>
      <w:numFmt w:val="decimal"/>
      <w:pStyle w:val="84"/>
      <w:lvlText w:val="%1.%2.%3"/>
      <w:lvlJc w:val="left"/>
      <w:pPr>
        <w:tabs>
          <w:tab w:val="left" w:pos="5257"/>
        </w:tabs>
        <w:ind w:left="0" w:firstLine="0"/>
      </w:pPr>
      <w:rPr>
        <w:rFonts w:hint="default" w:cs="Arial"/>
      </w:rPr>
    </w:lvl>
    <w:lvl w:ilvl="3" w:tentative="0">
      <w:start w:val="1"/>
      <w:numFmt w:val="decimal"/>
      <w:lvlText w:val="%1.%2.%3.%4"/>
      <w:lvlJc w:val="left"/>
      <w:pPr>
        <w:tabs>
          <w:tab w:val="left" w:pos="1080"/>
        </w:tabs>
        <w:ind w:left="1080" w:hanging="1080"/>
      </w:pPr>
      <w:rPr>
        <w:rFonts w:hint="default" w:ascii="Times New Roman" w:hAnsi="Times New Roman" w:cs="Times New Roman"/>
      </w:rPr>
    </w:lvl>
    <w:lvl w:ilvl="4" w:tentative="0">
      <w:start w:val="1"/>
      <w:numFmt w:val="decimal"/>
      <w:lvlText w:val="%1.%2.%3.%4.%5"/>
      <w:lvlJc w:val="left"/>
      <w:pPr>
        <w:tabs>
          <w:tab w:val="left" w:pos="1440"/>
        </w:tabs>
        <w:ind w:left="1440" w:hanging="144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2160"/>
        </w:tabs>
        <w:ind w:left="2160" w:hanging="216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
    <w:nsid w:val="B6916CB1"/>
    <w:multiLevelType w:val="singleLevel"/>
    <w:tmpl w:val="B6916CB1"/>
    <w:lvl w:ilvl="0" w:tentative="0">
      <w:start w:val="2"/>
      <w:numFmt w:val="chineseCounting"/>
      <w:suff w:val="nothing"/>
      <w:lvlText w:val="（%1）"/>
      <w:lvlJc w:val="left"/>
      <w:rPr>
        <w:rFonts w:hint="eastAsia"/>
      </w:rPr>
    </w:lvl>
  </w:abstractNum>
  <w:abstractNum w:abstractNumId="2">
    <w:nsid w:val="B7255EE1"/>
    <w:multiLevelType w:val="singleLevel"/>
    <w:tmpl w:val="B7255EE1"/>
    <w:lvl w:ilvl="0" w:tentative="0">
      <w:start w:val="1"/>
      <w:numFmt w:val="chineseCounting"/>
      <w:suff w:val="nothing"/>
      <w:lvlText w:val="%1、"/>
      <w:lvlJc w:val="left"/>
      <w:rPr>
        <w:rFonts w:hint="eastAsia"/>
      </w:rPr>
    </w:lvl>
  </w:abstractNum>
  <w:abstractNum w:abstractNumId="3">
    <w:nsid w:val="1D7B3E55"/>
    <w:multiLevelType w:val="multilevel"/>
    <w:tmpl w:val="1D7B3E55"/>
    <w:lvl w:ilvl="0" w:tentative="0">
      <w:start w:val="1"/>
      <w:numFmt w:val="decimal"/>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1E3FF0B"/>
    <w:multiLevelType w:val="singleLevel"/>
    <w:tmpl w:val="31E3FF0B"/>
    <w:lvl w:ilvl="0" w:tentative="0">
      <w:start w:val="1"/>
      <w:numFmt w:val="decimal"/>
      <w:suff w:val="nothing"/>
      <w:lvlText w:val="%1）"/>
      <w:lvlJc w:val="left"/>
    </w:lvl>
  </w:abstractNum>
  <w:abstractNum w:abstractNumId="5">
    <w:nsid w:val="4ACFD9CC"/>
    <w:multiLevelType w:val="singleLevel"/>
    <w:tmpl w:val="4ACFD9CC"/>
    <w:lvl w:ilvl="0" w:tentative="0">
      <w:start w:val="1"/>
      <w:numFmt w:val="decimal"/>
      <w:suff w:val="nothing"/>
      <w:lvlText w:val="（%1）"/>
      <w:lvlJc w:val="left"/>
    </w:lvl>
  </w:abstractNum>
  <w:abstractNum w:abstractNumId="6">
    <w:nsid w:val="4C3D01B2"/>
    <w:multiLevelType w:val="multilevel"/>
    <w:tmpl w:val="4C3D01B2"/>
    <w:lvl w:ilvl="0" w:tentative="0">
      <w:start w:val="1"/>
      <w:numFmt w:val="decimal"/>
      <w:pStyle w:val="45"/>
      <w:lvlText w:val="表%1    "/>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9D6CB4A"/>
    <w:multiLevelType w:val="singleLevel"/>
    <w:tmpl w:val="59D6CB4A"/>
    <w:lvl w:ilvl="0" w:tentative="0">
      <w:start w:val="1"/>
      <w:numFmt w:val="chineseCounting"/>
      <w:suff w:val="nothing"/>
      <w:lvlText w:val="%1、"/>
      <w:lvlJc w:val="left"/>
    </w:lvl>
  </w:abstractNum>
  <w:abstractNum w:abstractNumId="8">
    <w:nsid w:val="59D73155"/>
    <w:multiLevelType w:val="singleLevel"/>
    <w:tmpl w:val="59D73155"/>
    <w:lvl w:ilvl="0" w:tentative="0">
      <w:start w:val="2"/>
      <w:numFmt w:val="chineseCounting"/>
      <w:suff w:val="nothing"/>
      <w:lvlText w:val="%1、"/>
      <w:lvlJc w:val="left"/>
    </w:lvl>
  </w:abstractNum>
  <w:abstractNum w:abstractNumId="9">
    <w:nsid w:val="5A370DCB"/>
    <w:multiLevelType w:val="singleLevel"/>
    <w:tmpl w:val="5A370DCB"/>
    <w:lvl w:ilvl="0" w:tentative="0">
      <w:start w:val="1"/>
      <w:numFmt w:val="decimal"/>
      <w:suff w:val="space"/>
      <w:lvlText w:val="%1."/>
      <w:lvlJc w:val="left"/>
    </w:lvl>
  </w:abstractNum>
  <w:num w:numId="1">
    <w:abstractNumId w:val="6"/>
  </w:num>
  <w:num w:numId="2">
    <w:abstractNumId w:val="0"/>
  </w:num>
  <w:num w:numId="3">
    <w:abstractNumId w:val="3"/>
  </w:num>
  <w:num w:numId="4">
    <w:abstractNumId w:val="2"/>
  </w:num>
  <w:num w:numId="5">
    <w:abstractNumId w:val="5"/>
  </w:num>
  <w:num w:numId="6">
    <w:abstractNumId w:val="9"/>
  </w:num>
  <w:num w:numId="7">
    <w:abstractNumId w:val="7"/>
  </w:num>
  <w:num w:numId="8">
    <w:abstractNumId w:val="1"/>
  </w:num>
  <w:num w:numId="9">
    <w:abstractNumId w:val="8"/>
  </w:num>
  <w:num w:numId="1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阳关雪">
    <w15:presenceInfo w15:providerId="WPS Office" w15:userId="6089508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hYWZlM2ExZjhmNmYzYzY3OTM5ZGUwYmE2ZmQ1MTkifQ=="/>
  </w:docVars>
  <w:rsids>
    <w:rsidRoot w:val="00872394"/>
    <w:rsid w:val="000010B8"/>
    <w:rsid w:val="0000198F"/>
    <w:rsid w:val="0000245A"/>
    <w:rsid w:val="00003A08"/>
    <w:rsid w:val="000069DE"/>
    <w:rsid w:val="000102CF"/>
    <w:rsid w:val="00011E28"/>
    <w:rsid w:val="00011F7A"/>
    <w:rsid w:val="00012044"/>
    <w:rsid w:val="00013691"/>
    <w:rsid w:val="00013FF9"/>
    <w:rsid w:val="000145FA"/>
    <w:rsid w:val="00014825"/>
    <w:rsid w:val="00021532"/>
    <w:rsid w:val="000219B7"/>
    <w:rsid w:val="00021C89"/>
    <w:rsid w:val="00021FC7"/>
    <w:rsid w:val="00022462"/>
    <w:rsid w:val="00022B8E"/>
    <w:rsid w:val="00023B13"/>
    <w:rsid w:val="00023CA5"/>
    <w:rsid w:val="00024FF8"/>
    <w:rsid w:val="00026290"/>
    <w:rsid w:val="00026617"/>
    <w:rsid w:val="0002674B"/>
    <w:rsid w:val="000303A3"/>
    <w:rsid w:val="00030504"/>
    <w:rsid w:val="000314C8"/>
    <w:rsid w:val="00032758"/>
    <w:rsid w:val="000346BE"/>
    <w:rsid w:val="00034845"/>
    <w:rsid w:val="000356CB"/>
    <w:rsid w:val="000360D0"/>
    <w:rsid w:val="00040AF2"/>
    <w:rsid w:val="00040DEA"/>
    <w:rsid w:val="0004482E"/>
    <w:rsid w:val="00045413"/>
    <w:rsid w:val="00045864"/>
    <w:rsid w:val="000466B1"/>
    <w:rsid w:val="0005023E"/>
    <w:rsid w:val="00050957"/>
    <w:rsid w:val="00050B2C"/>
    <w:rsid w:val="00051131"/>
    <w:rsid w:val="00051A34"/>
    <w:rsid w:val="00052B0B"/>
    <w:rsid w:val="00052EFE"/>
    <w:rsid w:val="00054ADF"/>
    <w:rsid w:val="00054FB5"/>
    <w:rsid w:val="00055853"/>
    <w:rsid w:val="00055CB8"/>
    <w:rsid w:val="00056561"/>
    <w:rsid w:val="000573CC"/>
    <w:rsid w:val="00057461"/>
    <w:rsid w:val="00057D7B"/>
    <w:rsid w:val="00057DD4"/>
    <w:rsid w:val="0006314D"/>
    <w:rsid w:val="00064799"/>
    <w:rsid w:val="000656CC"/>
    <w:rsid w:val="0006647C"/>
    <w:rsid w:val="00072C9E"/>
    <w:rsid w:val="00072F98"/>
    <w:rsid w:val="00073D9B"/>
    <w:rsid w:val="00076C89"/>
    <w:rsid w:val="000774DC"/>
    <w:rsid w:val="00080727"/>
    <w:rsid w:val="00080ED9"/>
    <w:rsid w:val="00081059"/>
    <w:rsid w:val="00081EC3"/>
    <w:rsid w:val="000824F4"/>
    <w:rsid w:val="00082C04"/>
    <w:rsid w:val="00082E05"/>
    <w:rsid w:val="00084569"/>
    <w:rsid w:val="000849AC"/>
    <w:rsid w:val="00085D79"/>
    <w:rsid w:val="00086E8D"/>
    <w:rsid w:val="00087DF8"/>
    <w:rsid w:val="00087FAD"/>
    <w:rsid w:val="00090FE6"/>
    <w:rsid w:val="0009127B"/>
    <w:rsid w:val="000920A7"/>
    <w:rsid w:val="00093365"/>
    <w:rsid w:val="00093EB3"/>
    <w:rsid w:val="0009488E"/>
    <w:rsid w:val="00095516"/>
    <w:rsid w:val="00096ECB"/>
    <w:rsid w:val="00097D69"/>
    <w:rsid w:val="000A0193"/>
    <w:rsid w:val="000A0365"/>
    <w:rsid w:val="000A0EE1"/>
    <w:rsid w:val="000A1506"/>
    <w:rsid w:val="000A1795"/>
    <w:rsid w:val="000A1DA1"/>
    <w:rsid w:val="000A26F9"/>
    <w:rsid w:val="000A2A13"/>
    <w:rsid w:val="000A30B3"/>
    <w:rsid w:val="000A310B"/>
    <w:rsid w:val="000A5503"/>
    <w:rsid w:val="000B0529"/>
    <w:rsid w:val="000B0B4D"/>
    <w:rsid w:val="000B1249"/>
    <w:rsid w:val="000B2637"/>
    <w:rsid w:val="000B269E"/>
    <w:rsid w:val="000B2B35"/>
    <w:rsid w:val="000B2CCE"/>
    <w:rsid w:val="000B3166"/>
    <w:rsid w:val="000B31A5"/>
    <w:rsid w:val="000B33D5"/>
    <w:rsid w:val="000B3875"/>
    <w:rsid w:val="000B3DC3"/>
    <w:rsid w:val="000B5D12"/>
    <w:rsid w:val="000B6274"/>
    <w:rsid w:val="000B6887"/>
    <w:rsid w:val="000B6A2D"/>
    <w:rsid w:val="000B78FD"/>
    <w:rsid w:val="000B7A76"/>
    <w:rsid w:val="000B7EA1"/>
    <w:rsid w:val="000C29DD"/>
    <w:rsid w:val="000C2D6D"/>
    <w:rsid w:val="000C427A"/>
    <w:rsid w:val="000C42D8"/>
    <w:rsid w:val="000C4B59"/>
    <w:rsid w:val="000C4FBF"/>
    <w:rsid w:val="000C6A32"/>
    <w:rsid w:val="000D044B"/>
    <w:rsid w:val="000D0F9A"/>
    <w:rsid w:val="000D2BB9"/>
    <w:rsid w:val="000D2F36"/>
    <w:rsid w:val="000E30EB"/>
    <w:rsid w:val="000E357A"/>
    <w:rsid w:val="000E35D1"/>
    <w:rsid w:val="000E4427"/>
    <w:rsid w:val="000E4E1E"/>
    <w:rsid w:val="000E4FB3"/>
    <w:rsid w:val="000E6C31"/>
    <w:rsid w:val="000E7CE5"/>
    <w:rsid w:val="000F0DBD"/>
    <w:rsid w:val="000F17BF"/>
    <w:rsid w:val="000F1F97"/>
    <w:rsid w:val="000F29C1"/>
    <w:rsid w:val="000F2C73"/>
    <w:rsid w:val="000F3858"/>
    <w:rsid w:val="000F3FF4"/>
    <w:rsid w:val="000F46B8"/>
    <w:rsid w:val="000F4733"/>
    <w:rsid w:val="000F4735"/>
    <w:rsid w:val="000F47EA"/>
    <w:rsid w:val="000F5519"/>
    <w:rsid w:val="000F5777"/>
    <w:rsid w:val="000F5868"/>
    <w:rsid w:val="000F5F53"/>
    <w:rsid w:val="000F6284"/>
    <w:rsid w:val="000F6CF8"/>
    <w:rsid w:val="000F722E"/>
    <w:rsid w:val="000F7318"/>
    <w:rsid w:val="00100072"/>
    <w:rsid w:val="00100B48"/>
    <w:rsid w:val="00100D2C"/>
    <w:rsid w:val="00102D5F"/>
    <w:rsid w:val="0010323B"/>
    <w:rsid w:val="00103960"/>
    <w:rsid w:val="001049B7"/>
    <w:rsid w:val="00104CCA"/>
    <w:rsid w:val="0010774A"/>
    <w:rsid w:val="0011023E"/>
    <w:rsid w:val="0011095A"/>
    <w:rsid w:val="00111623"/>
    <w:rsid w:val="001118AB"/>
    <w:rsid w:val="00111BDB"/>
    <w:rsid w:val="00111F1E"/>
    <w:rsid w:val="00113662"/>
    <w:rsid w:val="0011370C"/>
    <w:rsid w:val="00113D73"/>
    <w:rsid w:val="00113F15"/>
    <w:rsid w:val="00114A82"/>
    <w:rsid w:val="00116740"/>
    <w:rsid w:val="001167E7"/>
    <w:rsid w:val="00117DD5"/>
    <w:rsid w:val="001200DC"/>
    <w:rsid w:val="00120446"/>
    <w:rsid w:val="00121A80"/>
    <w:rsid w:val="00122017"/>
    <w:rsid w:val="001238A1"/>
    <w:rsid w:val="00124418"/>
    <w:rsid w:val="00125C9F"/>
    <w:rsid w:val="0012676F"/>
    <w:rsid w:val="0012738B"/>
    <w:rsid w:val="00127F3E"/>
    <w:rsid w:val="00131080"/>
    <w:rsid w:val="001332A1"/>
    <w:rsid w:val="00136250"/>
    <w:rsid w:val="001372EB"/>
    <w:rsid w:val="001406AF"/>
    <w:rsid w:val="00141351"/>
    <w:rsid w:val="00141A16"/>
    <w:rsid w:val="00141BCC"/>
    <w:rsid w:val="00141CD5"/>
    <w:rsid w:val="00143339"/>
    <w:rsid w:val="00144E69"/>
    <w:rsid w:val="00145427"/>
    <w:rsid w:val="00145658"/>
    <w:rsid w:val="00145B10"/>
    <w:rsid w:val="00147000"/>
    <w:rsid w:val="0014786E"/>
    <w:rsid w:val="00154F5E"/>
    <w:rsid w:val="00155F44"/>
    <w:rsid w:val="0015619F"/>
    <w:rsid w:val="00156BB5"/>
    <w:rsid w:val="001575C8"/>
    <w:rsid w:val="00157C2B"/>
    <w:rsid w:val="00161926"/>
    <w:rsid w:val="001619D1"/>
    <w:rsid w:val="001620C1"/>
    <w:rsid w:val="00162AF5"/>
    <w:rsid w:val="001634E8"/>
    <w:rsid w:val="001636EC"/>
    <w:rsid w:val="001639CF"/>
    <w:rsid w:val="00163B78"/>
    <w:rsid w:val="0016413A"/>
    <w:rsid w:val="0016445F"/>
    <w:rsid w:val="0016531A"/>
    <w:rsid w:val="001662CE"/>
    <w:rsid w:val="0016699A"/>
    <w:rsid w:val="00171E9A"/>
    <w:rsid w:val="00172C6C"/>
    <w:rsid w:val="00173D34"/>
    <w:rsid w:val="00174A76"/>
    <w:rsid w:val="001762C1"/>
    <w:rsid w:val="00177746"/>
    <w:rsid w:val="00181150"/>
    <w:rsid w:val="001843B1"/>
    <w:rsid w:val="0018482D"/>
    <w:rsid w:val="001868DE"/>
    <w:rsid w:val="001874F3"/>
    <w:rsid w:val="00190212"/>
    <w:rsid w:val="001914F2"/>
    <w:rsid w:val="0019159B"/>
    <w:rsid w:val="0019301E"/>
    <w:rsid w:val="00194473"/>
    <w:rsid w:val="00194E02"/>
    <w:rsid w:val="001954BF"/>
    <w:rsid w:val="0019755A"/>
    <w:rsid w:val="001976BE"/>
    <w:rsid w:val="001A022A"/>
    <w:rsid w:val="001A1033"/>
    <w:rsid w:val="001A16B7"/>
    <w:rsid w:val="001A1ABA"/>
    <w:rsid w:val="001A1DF6"/>
    <w:rsid w:val="001A258F"/>
    <w:rsid w:val="001A2803"/>
    <w:rsid w:val="001A28C2"/>
    <w:rsid w:val="001A3E13"/>
    <w:rsid w:val="001A5145"/>
    <w:rsid w:val="001A602D"/>
    <w:rsid w:val="001A605B"/>
    <w:rsid w:val="001A61F1"/>
    <w:rsid w:val="001A7DCA"/>
    <w:rsid w:val="001B101A"/>
    <w:rsid w:val="001B1C73"/>
    <w:rsid w:val="001B1E03"/>
    <w:rsid w:val="001B1F8D"/>
    <w:rsid w:val="001B2DCB"/>
    <w:rsid w:val="001B6E1C"/>
    <w:rsid w:val="001C30EC"/>
    <w:rsid w:val="001C37B7"/>
    <w:rsid w:val="001D2A21"/>
    <w:rsid w:val="001D364B"/>
    <w:rsid w:val="001D3D79"/>
    <w:rsid w:val="001D4107"/>
    <w:rsid w:val="001D65AC"/>
    <w:rsid w:val="001D6804"/>
    <w:rsid w:val="001D6B73"/>
    <w:rsid w:val="001D7FCD"/>
    <w:rsid w:val="001E0BE9"/>
    <w:rsid w:val="001E1D2D"/>
    <w:rsid w:val="001E21A1"/>
    <w:rsid w:val="001E2610"/>
    <w:rsid w:val="001E28D1"/>
    <w:rsid w:val="001E3F3C"/>
    <w:rsid w:val="001E6595"/>
    <w:rsid w:val="001F0968"/>
    <w:rsid w:val="001F1088"/>
    <w:rsid w:val="001F153A"/>
    <w:rsid w:val="001F23E6"/>
    <w:rsid w:val="001F265C"/>
    <w:rsid w:val="001F411E"/>
    <w:rsid w:val="001F4341"/>
    <w:rsid w:val="001F4F1C"/>
    <w:rsid w:val="001F5B21"/>
    <w:rsid w:val="001F5B2C"/>
    <w:rsid w:val="001F7037"/>
    <w:rsid w:val="0020119D"/>
    <w:rsid w:val="002014F1"/>
    <w:rsid w:val="00201DD8"/>
    <w:rsid w:val="00202E1E"/>
    <w:rsid w:val="0020358F"/>
    <w:rsid w:val="002037FA"/>
    <w:rsid w:val="0020468D"/>
    <w:rsid w:val="00204E95"/>
    <w:rsid w:val="00204ED9"/>
    <w:rsid w:val="0020537F"/>
    <w:rsid w:val="0020702E"/>
    <w:rsid w:val="002119E6"/>
    <w:rsid w:val="0021382C"/>
    <w:rsid w:val="00213B56"/>
    <w:rsid w:val="002152B0"/>
    <w:rsid w:val="002152E3"/>
    <w:rsid w:val="002157F8"/>
    <w:rsid w:val="002163ED"/>
    <w:rsid w:val="0021668A"/>
    <w:rsid w:val="0021714D"/>
    <w:rsid w:val="00217CD3"/>
    <w:rsid w:val="0022089F"/>
    <w:rsid w:val="00222846"/>
    <w:rsid w:val="00223732"/>
    <w:rsid w:val="00223D94"/>
    <w:rsid w:val="00224AA1"/>
    <w:rsid w:val="002255A6"/>
    <w:rsid w:val="0022606D"/>
    <w:rsid w:val="00226E96"/>
    <w:rsid w:val="00232EB2"/>
    <w:rsid w:val="002332F5"/>
    <w:rsid w:val="002335E9"/>
    <w:rsid w:val="0023553A"/>
    <w:rsid w:val="00236513"/>
    <w:rsid w:val="0023693B"/>
    <w:rsid w:val="002376F5"/>
    <w:rsid w:val="0024026A"/>
    <w:rsid w:val="002407E9"/>
    <w:rsid w:val="0024104C"/>
    <w:rsid w:val="002430CE"/>
    <w:rsid w:val="00243C25"/>
    <w:rsid w:val="00243CF6"/>
    <w:rsid w:val="00246536"/>
    <w:rsid w:val="00247DE4"/>
    <w:rsid w:val="00251D9C"/>
    <w:rsid w:val="00252AE4"/>
    <w:rsid w:val="0025444D"/>
    <w:rsid w:val="00256B68"/>
    <w:rsid w:val="002577D8"/>
    <w:rsid w:val="00257F8B"/>
    <w:rsid w:val="00260CB5"/>
    <w:rsid w:val="00261693"/>
    <w:rsid w:val="00263BFF"/>
    <w:rsid w:val="00263C74"/>
    <w:rsid w:val="00270033"/>
    <w:rsid w:val="002702BE"/>
    <w:rsid w:val="002707BF"/>
    <w:rsid w:val="00270CE4"/>
    <w:rsid w:val="00271539"/>
    <w:rsid w:val="0027194D"/>
    <w:rsid w:val="002723B9"/>
    <w:rsid w:val="002723FB"/>
    <w:rsid w:val="00272CC6"/>
    <w:rsid w:val="00273246"/>
    <w:rsid w:val="0027369B"/>
    <w:rsid w:val="00275ADB"/>
    <w:rsid w:val="00280BA4"/>
    <w:rsid w:val="0028334B"/>
    <w:rsid w:val="002842FB"/>
    <w:rsid w:val="002851B7"/>
    <w:rsid w:val="0028537E"/>
    <w:rsid w:val="0028541D"/>
    <w:rsid w:val="002860BB"/>
    <w:rsid w:val="002864DE"/>
    <w:rsid w:val="00286F52"/>
    <w:rsid w:val="00286FCC"/>
    <w:rsid w:val="00287925"/>
    <w:rsid w:val="0029131A"/>
    <w:rsid w:val="0029168B"/>
    <w:rsid w:val="0029287D"/>
    <w:rsid w:val="00292B7F"/>
    <w:rsid w:val="0029476A"/>
    <w:rsid w:val="00295C9E"/>
    <w:rsid w:val="00296F80"/>
    <w:rsid w:val="00297E3C"/>
    <w:rsid w:val="002A0ED6"/>
    <w:rsid w:val="002A1F6B"/>
    <w:rsid w:val="002A33EE"/>
    <w:rsid w:val="002A351F"/>
    <w:rsid w:val="002A3C4F"/>
    <w:rsid w:val="002A3F1E"/>
    <w:rsid w:val="002A423E"/>
    <w:rsid w:val="002A4EBE"/>
    <w:rsid w:val="002A6838"/>
    <w:rsid w:val="002A710C"/>
    <w:rsid w:val="002A7876"/>
    <w:rsid w:val="002B01EC"/>
    <w:rsid w:val="002B19AD"/>
    <w:rsid w:val="002B4761"/>
    <w:rsid w:val="002B4FA5"/>
    <w:rsid w:val="002B750C"/>
    <w:rsid w:val="002C11B8"/>
    <w:rsid w:val="002C3438"/>
    <w:rsid w:val="002C361A"/>
    <w:rsid w:val="002C45D1"/>
    <w:rsid w:val="002C481F"/>
    <w:rsid w:val="002C4CBE"/>
    <w:rsid w:val="002C4E3A"/>
    <w:rsid w:val="002C6DD2"/>
    <w:rsid w:val="002D0ED5"/>
    <w:rsid w:val="002D14D0"/>
    <w:rsid w:val="002D1607"/>
    <w:rsid w:val="002D2576"/>
    <w:rsid w:val="002D2DEF"/>
    <w:rsid w:val="002D383F"/>
    <w:rsid w:val="002D3D67"/>
    <w:rsid w:val="002D4C12"/>
    <w:rsid w:val="002D5B6B"/>
    <w:rsid w:val="002E1376"/>
    <w:rsid w:val="002E2681"/>
    <w:rsid w:val="002E6C6C"/>
    <w:rsid w:val="002E7156"/>
    <w:rsid w:val="002F0163"/>
    <w:rsid w:val="002F059E"/>
    <w:rsid w:val="002F13C0"/>
    <w:rsid w:val="002F1E40"/>
    <w:rsid w:val="002F2E31"/>
    <w:rsid w:val="002F6DBD"/>
    <w:rsid w:val="00300FFB"/>
    <w:rsid w:val="003014D3"/>
    <w:rsid w:val="003059EE"/>
    <w:rsid w:val="0030651F"/>
    <w:rsid w:val="00306868"/>
    <w:rsid w:val="00306C82"/>
    <w:rsid w:val="00310480"/>
    <w:rsid w:val="0031270D"/>
    <w:rsid w:val="00312C60"/>
    <w:rsid w:val="00313311"/>
    <w:rsid w:val="003175DC"/>
    <w:rsid w:val="00322DD3"/>
    <w:rsid w:val="003235CD"/>
    <w:rsid w:val="00325B55"/>
    <w:rsid w:val="003262E9"/>
    <w:rsid w:val="0032737B"/>
    <w:rsid w:val="003276C7"/>
    <w:rsid w:val="00327707"/>
    <w:rsid w:val="00327A37"/>
    <w:rsid w:val="003311C4"/>
    <w:rsid w:val="00331DA6"/>
    <w:rsid w:val="00331EC7"/>
    <w:rsid w:val="003321BF"/>
    <w:rsid w:val="00332EE5"/>
    <w:rsid w:val="00334287"/>
    <w:rsid w:val="00334AF8"/>
    <w:rsid w:val="00334C9A"/>
    <w:rsid w:val="00334D54"/>
    <w:rsid w:val="003370C9"/>
    <w:rsid w:val="0033720A"/>
    <w:rsid w:val="00337904"/>
    <w:rsid w:val="003424EC"/>
    <w:rsid w:val="003462F9"/>
    <w:rsid w:val="00346D35"/>
    <w:rsid w:val="00346E77"/>
    <w:rsid w:val="00352CEF"/>
    <w:rsid w:val="00354ED5"/>
    <w:rsid w:val="003557A0"/>
    <w:rsid w:val="003569E1"/>
    <w:rsid w:val="00356BE9"/>
    <w:rsid w:val="00356FC7"/>
    <w:rsid w:val="00357822"/>
    <w:rsid w:val="00361209"/>
    <w:rsid w:val="00361274"/>
    <w:rsid w:val="00361A71"/>
    <w:rsid w:val="00361F29"/>
    <w:rsid w:val="0036263E"/>
    <w:rsid w:val="00364825"/>
    <w:rsid w:val="0036511D"/>
    <w:rsid w:val="003652AC"/>
    <w:rsid w:val="00367302"/>
    <w:rsid w:val="00372A38"/>
    <w:rsid w:val="003736F0"/>
    <w:rsid w:val="0037433F"/>
    <w:rsid w:val="003750E2"/>
    <w:rsid w:val="003753EA"/>
    <w:rsid w:val="00376EE7"/>
    <w:rsid w:val="003804FF"/>
    <w:rsid w:val="003809AA"/>
    <w:rsid w:val="00381286"/>
    <w:rsid w:val="00382368"/>
    <w:rsid w:val="00382C0E"/>
    <w:rsid w:val="003832CD"/>
    <w:rsid w:val="00384FE5"/>
    <w:rsid w:val="003873DC"/>
    <w:rsid w:val="003876DA"/>
    <w:rsid w:val="00387D80"/>
    <w:rsid w:val="00392BE0"/>
    <w:rsid w:val="003939E0"/>
    <w:rsid w:val="00393FF3"/>
    <w:rsid w:val="00394051"/>
    <w:rsid w:val="00394340"/>
    <w:rsid w:val="00396F12"/>
    <w:rsid w:val="00397204"/>
    <w:rsid w:val="00397BF1"/>
    <w:rsid w:val="003A0F65"/>
    <w:rsid w:val="003A24C5"/>
    <w:rsid w:val="003A303B"/>
    <w:rsid w:val="003A47A8"/>
    <w:rsid w:val="003B2212"/>
    <w:rsid w:val="003B297E"/>
    <w:rsid w:val="003B37D7"/>
    <w:rsid w:val="003B48DC"/>
    <w:rsid w:val="003B561F"/>
    <w:rsid w:val="003B57F3"/>
    <w:rsid w:val="003B5911"/>
    <w:rsid w:val="003B5E75"/>
    <w:rsid w:val="003B707A"/>
    <w:rsid w:val="003B7405"/>
    <w:rsid w:val="003B752E"/>
    <w:rsid w:val="003C00E6"/>
    <w:rsid w:val="003C077B"/>
    <w:rsid w:val="003C2631"/>
    <w:rsid w:val="003C27A7"/>
    <w:rsid w:val="003C3072"/>
    <w:rsid w:val="003C417C"/>
    <w:rsid w:val="003C478A"/>
    <w:rsid w:val="003C48CE"/>
    <w:rsid w:val="003C568C"/>
    <w:rsid w:val="003C5EB3"/>
    <w:rsid w:val="003C712C"/>
    <w:rsid w:val="003D163D"/>
    <w:rsid w:val="003D3C28"/>
    <w:rsid w:val="003D5B25"/>
    <w:rsid w:val="003D6DAE"/>
    <w:rsid w:val="003D788A"/>
    <w:rsid w:val="003D7913"/>
    <w:rsid w:val="003E0807"/>
    <w:rsid w:val="003E08E8"/>
    <w:rsid w:val="003E0AD8"/>
    <w:rsid w:val="003E0E50"/>
    <w:rsid w:val="003E2A9F"/>
    <w:rsid w:val="003E32E5"/>
    <w:rsid w:val="003E3BB5"/>
    <w:rsid w:val="003E519D"/>
    <w:rsid w:val="003E5DD4"/>
    <w:rsid w:val="003F0974"/>
    <w:rsid w:val="003F0A05"/>
    <w:rsid w:val="003F17C4"/>
    <w:rsid w:val="003F2E15"/>
    <w:rsid w:val="003F34C0"/>
    <w:rsid w:val="003F4BFC"/>
    <w:rsid w:val="003F51AC"/>
    <w:rsid w:val="00403494"/>
    <w:rsid w:val="00403A78"/>
    <w:rsid w:val="00403D45"/>
    <w:rsid w:val="0040433A"/>
    <w:rsid w:val="004055D7"/>
    <w:rsid w:val="004057DE"/>
    <w:rsid w:val="0040583F"/>
    <w:rsid w:val="00405B94"/>
    <w:rsid w:val="004106D0"/>
    <w:rsid w:val="00410BF4"/>
    <w:rsid w:val="004123B2"/>
    <w:rsid w:val="00412726"/>
    <w:rsid w:val="00412EDF"/>
    <w:rsid w:val="00413F51"/>
    <w:rsid w:val="00414A17"/>
    <w:rsid w:val="004155FF"/>
    <w:rsid w:val="004156EF"/>
    <w:rsid w:val="00416152"/>
    <w:rsid w:val="00416AA6"/>
    <w:rsid w:val="004220B9"/>
    <w:rsid w:val="00422AA6"/>
    <w:rsid w:val="00422E0E"/>
    <w:rsid w:val="00423518"/>
    <w:rsid w:val="00423799"/>
    <w:rsid w:val="0042451E"/>
    <w:rsid w:val="004249CC"/>
    <w:rsid w:val="004259F2"/>
    <w:rsid w:val="00425BFC"/>
    <w:rsid w:val="00425CC2"/>
    <w:rsid w:val="0042670A"/>
    <w:rsid w:val="00426877"/>
    <w:rsid w:val="00427C6E"/>
    <w:rsid w:val="0043064B"/>
    <w:rsid w:val="0043104C"/>
    <w:rsid w:val="00433490"/>
    <w:rsid w:val="00433919"/>
    <w:rsid w:val="0043433F"/>
    <w:rsid w:val="00434679"/>
    <w:rsid w:val="004402BC"/>
    <w:rsid w:val="00440488"/>
    <w:rsid w:val="004430B8"/>
    <w:rsid w:val="00443215"/>
    <w:rsid w:val="00443B96"/>
    <w:rsid w:val="004473FB"/>
    <w:rsid w:val="00447ABF"/>
    <w:rsid w:val="00447FE2"/>
    <w:rsid w:val="00447FFD"/>
    <w:rsid w:val="004502A4"/>
    <w:rsid w:val="0045045B"/>
    <w:rsid w:val="00453120"/>
    <w:rsid w:val="00454716"/>
    <w:rsid w:val="00454B5D"/>
    <w:rsid w:val="00455717"/>
    <w:rsid w:val="00455DB3"/>
    <w:rsid w:val="00455FB1"/>
    <w:rsid w:val="00456962"/>
    <w:rsid w:val="00456F6C"/>
    <w:rsid w:val="004576AE"/>
    <w:rsid w:val="004600E6"/>
    <w:rsid w:val="004603CF"/>
    <w:rsid w:val="00461501"/>
    <w:rsid w:val="004623A7"/>
    <w:rsid w:val="004625B8"/>
    <w:rsid w:val="004625D1"/>
    <w:rsid w:val="004626FF"/>
    <w:rsid w:val="004634BF"/>
    <w:rsid w:val="004639BC"/>
    <w:rsid w:val="00464100"/>
    <w:rsid w:val="00464123"/>
    <w:rsid w:val="004641E6"/>
    <w:rsid w:val="00465C89"/>
    <w:rsid w:val="00466DA9"/>
    <w:rsid w:val="00470E8E"/>
    <w:rsid w:val="00470F1E"/>
    <w:rsid w:val="00471A0B"/>
    <w:rsid w:val="00471AB5"/>
    <w:rsid w:val="004720B9"/>
    <w:rsid w:val="00474B8F"/>
    <w:rsid w:val="004755D2"/>
    <w:rsid w:val="0047650A"/>
    <w:rsid w:val="0047676D"/>
    <w:rsid w:val="00477492"/>
    <w:rsid w:val="00481AEC"/>
    <w:rsid w:val="00482683"/>
    <w:rsid w:val="00482D92"/>
    <w:rsid w:val="004834BF"/>
    <w:rsid w:val="00483801"/>
    <w:rsid w:val="00483B3D"/>
    <w:rsid w:val="00484D84"/>
    <w:rsid w:val="0048598A"/>
    <w:rsid w:val="00486465"/>
    <w:rsid w:val="00486514"/>
    <w:rsid w:val="00487ECA"/>
    <w:rsid w:val="00490EB7"/>
    <w:rsid w:val="004911D8"/>
    <w:rsid w:val="00491C4E"/>
    <w:rsid w:val="00493362"/>
    <w:rsid w:val="0049554A"/>
    <w:rsid w:val="004969AA"/>
    <w:rsid w:val="004A002F"/>
    <w:rsid w:val="004A00D6"/>
    <w:rsid w:val="004A03F6"/>
    <w:rsid w:val="004A06FE"/>
    <w:rsid w:val="004A0E1A"/>
    <w:rsid w:val="004A1C1B"/>
    <w:rsid w:val="004A2363"/>
    <w:rsid w:val="004A3083"/>
    <w:rsid w:val="004A3369"/>
    <w:rsid w:val="004A3804"/>
    <w:rsid w:val="004A4105"/>
    <w:rsid w:val="004A56DF"/>
    <w:rsid w:val="004A70E8"/>
    <w:rsid w:val="004B1A00"/>
    <w:rsid w:val="004B20BD"/>
    <w:rsid w:val="004B25DC"/>
    <w:rsid w:val="004B3EBE"/>
    <w:rsid w:val="004B544E"/>
    <w:rsid w:val="004B5C92"/>
    <w:rsid w:val="004B6A1E"/>
    <w:rsid w:val="004C0075"/>
    <w:rsid w:val="004C0E7A"/>
    <w:rsid w:val="004C152D"/>
    <w:rsid w:val="004C2341"/>
    <w:rsid w:val="004C309A"/>
    <w:rsid w:val="004C3156"/>
    <w:rsid w:val="004C4273"/>
    <w:rsid w:val="004C700F"/>
    <w:rsid w:val="004D2490"/>
    <w:rsid w:val="004D3EFC"/>
    <w:rsid w:val="004D4205"/>
    <w:rsid w:val="004D44BB"/>
    <w:rsid w:val="004D5B79"/>
    <w:rsid w:val="004D7381"/>
    <w:rsid w:val="004D76B9"/>
    <w:rsid w:val="004E17E4"/>
    <w:rsid w:val="004E2E65"/>
    <w:rsid w:val="004E484F"/>
    <w:rsid w:val="004E4D27"/>
    <w:rsid w:val="004E5008"/>
    <w:rsid w:val="004E52A4"/>
    <w:rsid w:val="004E5497"/>
    <w:rsid w:val="004E5D89"/>
    <w:rsid w:val="004E6047"/>
    <w:rsid w:val="004E7FE3"/>
    <w:rsid w:val="004F03EF"/>
    <w:rsid w:val="004F08A2"/>
    <w:rsid w:val="004F0DB0"/>
    <w:rsid w:val="004F1A4F"/>
    <w:rsid w:val="004F3B91"/>
    <w:rsid w:val="004F3C95"/>
    <w:rsid w:val="00500C96"/>
    <w:rsid w:val="00501FC2"/>
    <w:rsid w:val="00501FC3"/>
    <w:rsid w:val="00502271"/>
    <w:rsid w:val="00502F89"/>
    <w:rsid w:val="005033A7"/>
    <w:rsid w:val="005058BA"/>
    <w:rsid w:val="00505B32"/>
    <w:rsid w:val="00505F51"/>
    <w:rsid w:val="00507C24"/>
    <w:rsid w:val="005103B4"/>
    <w:rsid w:val="00510A0A"/>
    <w:rsid w:val="00511359"/>
    <w:rsid w:val="00511615"/>
    <w:rsid w:val="005118B9"/>
    <w:rsid w:val="005129EB"/>
    <w:rsid w:val="00513D7F"/>
    <w:rsid w:val="005142F3"/>
    <w:rsid w:val="00514DEF"/>
    <w:rsid w:val="00517932"/>
    <w:rsid w:val="00517DB7"/>
    <w:rsid w:val="00520686"/>
    <w:rsid w:val="00521A0A"/>
    <w:rsid w:val="0052301F"/>
    <w:rsid w:val="00523394"/>
    <w:rsid w:val="005238EC"/>
    <w:rsid w:val="00523F46"/>
    <w:rsid w:val="00524B3B"/>
    <w:rsid w:val="00525B25"/>
    <w:rsid w:val="0052639B"/>
    <w:rsid w:val="00526804"/>
    <w:rsid w:val="0053038B"/>
    <w:rsid w:val="005323DA"/>
    <w:rsid w:val="0053346C"/>
    <w:rsid w:val="005334D2"/>
    <w:rsid w:val="00533C30"/>
    <w:rsid w:val="00534787"/>
    <w:rsid w:val="00534E0C"/>
    <w:rsid w:val="0053772A"/>
    <w:rsid w:val="0054305A"/>
    <w:rsid w:val="00543501"/>
    <w:rsid w:val="00543607"/>
    <w:rsid w:val="00544730"/>
    <w:rsid w:val="005459F9"/>
    <w:rsid w:val="005461EC"/>
    <w:rsid w:val="005472EE"/>
    <w:rsid w:val="005500DC"/>
    <w:rsid w:val="00551069"/>
    <w:rsid w:val="00551182"/>
    <w:rsid w:val="0055159D"/>
    <w:rsid w:val="00551B77"/>
    <w:rsid w:val="005546F4"/>
    <w:rsid w:val="0055487F"/>
    <w:rsid w:val="00554AD3"/>
    <w:rsid w:val="0055510F"/>
    <w:rsid w:val="0055661B"/>
    <w:rsid w:val="005573CC"/>
    <w:rsid w:val="00557DDE"/>
    <w:rsid w:val="005605EF"/>
    <w:rsid w:val="005616A8"/>
    <w:rsid w:val="00562DEB"/>
    <w:rsid w:val="00563604"/>
    <w:rsid w:val="00563EAF"/>
    <w:rsid w:val="0056448C"/>
    <w:rsid w:val="005647C6"/>
    <w:rsid w:val="00564ADB"/>
    <w:rsid w:val="005654BF"/>
    <w:rsid w:val="005658C2"/>
    <w:rsid w:val="00566E59"/>
    <w:rsid w:val="00567ACF"/>
    <w:rsid w:val="00571748"/>
    <w:rsid w:val="0057269F"/>
    <w:rsid w:val="00572887"/>
    <w:rsid w:val="00572F85"/>
    <w:rsid w:val="00575E04"/>
    <w:rsid w:val="00576C40"/>
    <w:rsid w:val="00580E65"/>
    <w:rsid w:val="005838B5"/>
    <w:rsid w:val="00583A21"/>
    <w:rsid w:val="00585040"/>
    <w:rsid w:val="0058661E"/>
    <w:rsid w:val="00586892"/>
    <w:rsid w:val="0059013A"/>
    <w:rsid w:val="00590DCB"/>
    <w:rsid w:val="00591A49"/>
    <w:rsid w:val="00592443"/>
    <w:rsid w:val="00593079"/>
    <w:rsid w:val="0059568D"/>
    <w:rsid w:val="005960E2"/>
    <w:rsid w:val="00596697"/>
    <w:rsid w:val="005966E2"/>
    <w:rsid w:val="005977BC"/>
    <w:rsid w:val="005A17E3"/>
    <w:rsid w:val="005A18CA"/>
    <w:rsid w:val="005A191E"/>
    <w:rsid w:val="005A219F"/>
    <w:rsid w:val="005A233C"/>
    <w:rsid w:val="005A3D6A"/>
    <w:rsid w:val="005A4806"/>
    <w:rsid w:val="005A5AAE"/>
    <w:rsid w:val="005B00F1"/>
    <w:rsid w:val="005B01C6"/>
    <w:rsid w:val="005B2BDA"/>
    <w:rsid w:val="005B4CCD"/>
    <w:rsid w:val="005B7AE7"/>
    <w:rsid w:val="005C124A"/>
    <w:rsid w:val="005C22B7"/>
    <w:rsid w:val="005C22F8"/>
    <w:rsid w:val="005C26B2"/>
    <w:rsid w:val="005C2B50"/>
    <w:rsid w:val="005C407B"/>
    <w:rsid w:val="005C5610"/>
    <w:rsid w:val="005D0E1E"/>
    <w:rsid w:val="005D15F7"/>
    <w:rsid w:val="005D1853"/>
    <w:rsid w:val="005D1891"/>
    <w:rsid w:val="005D277B"/>
    <w:rsid w:val="005D2B12"/>
    <w:rsid w:val="005D5942"/>
    <w:rsid w:val="005D5AA7"/>
    <w:rsid w:val="005D5B0A"/>
    <w:rsid w:val="005D70AC"/>
    <w:rsid w:val="005D7537"/>
    <w:rsid w:val="005D7F4B"/>
    <w:rsid w:val="005D7FAD"/>
    <w:rsid w:val="005E405C"/>
    <w:rsid w:val="005E4531"/>
    <w:rsid w:val="005E53D7"/>
    <w:rsid w:val="005E6F03"/>
    <w:rsid w:val="005E711E"/>
    <w:rsid w:val="005F0026"/>
    <w:rsid w:val="005F0286"/>
    <w:rsid w:val="005F0CAC"/>
    <w:rsid w:val="005F0D97"/>
    <w:rsid w:val="005F1E73"/>
    <w:rsid w:val="005F3C94"/>
    <w:rsid w:val="005F4011"/>
    <w:rsid w:val="005F44CF"/>
    <w:rsid w:val="005F5488"/>
    <w:rsid w:val="005F7C4E"/>
    <w:rsid w:val="00602169"/>
    <w:rsid w:val="00603C62"/>
    <w:rsid w:val="006041C4"/>
    <w:rsid w:val="006045EF"/>
    <w:rsid w:val="0060505D"/>
    <w:rsid w:val="0060548B"/>
    <w:rsid w:val="00606203"/>
    <w:rsid w:val="00607A94"/>
    <w:rsid w:val="00610259"/>
    <w:rsid w:val="00610B57"/>
    <w:rsid w:val="00611B80"/>
    <w:rsid w:val="00612849"/>
    <w:rsid w:val="006132FE"/>
    <w:rsid w:val="00613E50"/>
    <w:rsid w:val="00613ED2"/>
    <w:rsid w:val="0061412E"/>
    <w:rsid w:val="00614F47"/>
    <w:rsid w:val="0061569B"/>
    <w:rsid w:val="006158E7"/>
    <w:rsid w:val="00616DC3"/>
    <w:rsid w:val="006225DE"/>
    <w:rsid w:val="0062595D"/>
    <w:rsid w:val="006267DC"/>
    <w:rsid w:val="006304FB"/>
    <w:rsid w:val="00630D9B"/>
    <w:rsid w:val="00631182"/>
    <w:rsid w:val="006320C4"/>
    <w:rsid w:val="00632298"/>
    <w:rsid w:val="006328B0"/>
    <w:rsid w:val="00633AB7"/>
    <w:rsid w:val="006346A7"/>
    <w:rsid w:val="006376D9"/>
    <w:rsid w:val="00637754"/>
    <w:rsid w:val="00640778"/>
    <w:rsid w:val="006407C2"/>
    <w:rsid w:val="006408C8"/>
    <w:rsid w:val="00640B45"/>
    <w:rsid w:val="00642616"/>
    <w:rsid w:val="00642F18"/>
    <w:rsid w:val="00643BA9"/>
    <w:rsid w:val="006458FB"/>
    <w:rsid w:val="00646707"/>
    <w:rsid w:val="00650540"/>
    <w:rsid w:val="006519E2"/>
    <w:rsid w:val="00652206"/>
    <w:rsid w:val="006523BF"/>
    <w:rsid w:val="00653CC3"/>
    <w:rsid w:val="0065404A"/>
    <w:rsid w:val="00654992"/>
    <w:rsid w:val="006567AD"/>
    <w:rsid w:val="00661F79"/>
    <w:rsid w:val="00662A6A"/>
    <w:rsid w:val="006633AE"/>
    <w:rsid w:val="00663AF6"/>
    <w:rsid w:val="0066435B"/>
    <w:rsid w:val="00664891"/>
    <w:rsid w:val="0066523D"/>
    <w:rsid w:val="006714FE"/>
    <w:rsid w:val="0067237E"/>
    <w:rsid w:val="006731C4"/>
    <w:rsid w:val="0067343C"/>
    <w:rsid w:val="00674135"/>
    <w:rsid w:val="0067481D"/>
    <w:rsid w:val="0067495D"/>
    <w:rsid w:val="00677FEC"/>
    <w:rsid w:val="006802A8"/>
    <w:rsid w:val="00681176"/>
    <w:rsid w:val="00681658"/>
    <w:rsid w:val="00682450"/>
    <w:rsid w:val="00683090"/>
    <w:rsid w:val="0068414F"/>
    <w:rsid w:val="006843E1"/>
    <w:rsid w:val="006847DD"/>
    <w:rsid w:val="00690C61"/>
    <w:rsid w:val="00691A4E"/>
    <w:rsid w:val="00692146"/>
    <w:rsid w:val="00692268"/>
    <w:rsid w:val="0069297F"/>
    <w:rsid w:val="00695C82"/>
    <w:rsid w:val="00696475"/>
    <w:rsid w:val="00697810"/>
    <w:rsid w:val="00697CA0"/>
    <w:rsid w:val="006A0D48"/>
    <w:rsid w:val="006A1150"/>
    <w:rsid w:val="006A13D7"/>
    <w:rsid w:val="006A1B38"/>
    <w:rsid w:val="006A1BCF"/>
    <w:rsid w:val="006A29B9"/>
    <w:rsid w:val="006A2A4B"/>
    <w:rsid w:val="006A2E49"/>
    <w:rsid w:val="006A3A7A"/>
    <w:rsid w:val="006A40AE"/>
    <w:rsid w:val="006A4826"/>
    <w:rsid w:val="006A59DD"/>
    <w:rsid w:val="006A6F6D"/>
    <w:rsid w:val="006A7494"/>
    <w:rsid w:val="006A79E0"/>
    <w:rsid w:val="006B02FD"/>
    <w:rsid w:val="006B16C0"/>
    <w:rsid w:val="006B34F8"/>
    <w:rsid w:val="006B42EF"/>
    <w:rsid w:val="006B436A"/>
    <w:rsid w:val="006B5490"/>
    <w:rsid w:val="006B58D2"/>
    <w:rsid w:val="006B5DFA"/>
    <w:rsid w:val="006B68CC"/>
    <w:rsid w:val="006C01E7"/>
    <w:rsid w:val="006C0382"/>
    <w:rsid w:val="006C1FB4"/>
    <w:rsid w:val="006C44C5"/>
    <w:rsid w:val="006C45D7"/>
    <w:rsid w:val="006C4B5B"/>
    <w:rsid w:val="006C6789"/>
    <w:rsid w:val="006C68A0"/>
    <w:rsid w:val="006C7471"/>
    <w:rsid w:val="006C7A27"/>
    <w:rsid w:val="006D0B6A"/>
    <w:rsid w:val="006D0C1E"/>
    <w:rsid w:val="006D0F2E"/>
    <w:rsid w:val="006D1EEF"/>
    <w:rsid w:val="006D38DB"/>
    <w:rsid w:val="006D5601"/>
    <w:rsid w:val="006D6122"/>
    <w:rsid w:val="006D6B40"/>
    <w:rsid w:val="006D753E"/>
    <w:rsid w:val="006E064B"/>
    <w:rsid w:val="006E086A"/>
    <w:rsid w:val="006E1A63"/>
    <w:rsid w:val="006E2269"/>
    <w:rsid w:val="006E2A1F"/>
    <w:rsid w:val="006E34B1"/>
    <w:rsid w:val="006E3E2D"/>
    <w:rsid w:val="006E6EE5"/>
    <w:rsid w:val="006E7CC8"/>
    <w:rsid w:val="006F03CA"/>
    <w:rsid w:val="006F0A50"/>
    <w:rsid w:val="006F4110"/>
    <w:rsid w:val="006F4BF7"/>
    <w:rsid w:val="006F4CD4"/>
    <w:rsid w:val="006F511A"/>
    <w:rsid w:val="006F792E"/>
    <w:rsid w:val="00700C46"/>
    <w:rsid w:val="00700E51"/>
    <w:rsid w:val="007013E1"/>
    <w:rsid w:val="00706CD4"/>
    <w:rsid w:val="0070730B"/>
    <w:rsid w:val="00707695"/>
    <w:rsid w:val="00707BDC"/>
    <w:rsid w:val="00712495"/>
    <w:rsid w:val="00713FE0"/>
    <w:rsid w:val="0071552C"/>
    <w:rsid w:val="00716E19"/>
    <w:rsid w:val="007173D4"/>
    <w:rsid w:val="007173D6"/>
    <w:rsid w:val="00717CA0"/>
    <w:rsid w:val="007204AA"/>
    <w:rsid w:val="00721482"/>
    <w:rsid w:val="00721BBE"/>
    <w:rsid w:val="00725AB8"/>
    <w:rsid w:val="00727538"/>
    <w:rsid w:val="007311E4"/>
    <w:rsid w:val="007312EC"/>
    <w:rsid w:val="00732B6C"/>
    <w:rsid w:val="0073412B"/>
    <w:rsid w:val="00735E56"/>
    <w:rsid w:val="0074078E"/>
    <w:rsid w:val="007414C7"/>
    <w:rsid w:val="00741A0F"/>
    <w:rsid w:val="00742763"/>
    <w:rsid w:val="007429A4"/>
    <w:rsid w:val="00743E7C"/>
    <w:rsid w:val="007460C9"/>
    <w:rsid w:val="00746307"/>
    <w:rsid w:val="00746E18"/>
    <w:rsid w:val="00747B12"/>
    <w:rsid w:val="007503F8"/>
    <w:rsid w:val="00750BC4"/>
    <w:rsid w:val="0075182E"/>
    <w:rsid w:val="00751D09"/>
    <w:rsid w:val="00753D4D"/>
    <w:rsid w:val="00753DFE"/>
    <w:rsid w:val="007542C9"/>
    <w:rsid w:val="00755301"/>
    <w:rsid w:val="00755308"/>
    <w:rsid w:val="00755E79"/>
    <w:rsid w:val="00756449"/>
    <w:rsid w:val="00756970"/>
    <w:rsid w:val="00760235"/>
    <w:rsid w:val="00761940"/>
    <w:rsid w:val="0076213C"/>
    <w:rsid w:val="0076370E"/>
    <w:rsid w:val="00764074"/>
    <w:rsid w:val="0076457E"/>
    <w:rsid w:val="00764EDC"/>
    <w:rsid w:val="00764FBA"/>
    <w:rsid w:val="00766148"/>
    <w:rsid w:val="007704FF"/>
    <w:rsid w:val="00771024"/>
    <w:rsid w:val="0077188F"/>
    <w:rsid w:val="00772441"/>
    <w:rsid w:val="007738B6"/>
    <w:rsid w:val="00773D98"/>
    <w:rsid w:val="0077517D"/>
    <w:rsid w:val="00776BCC"/>
    <w:rsid w:val="00777FF7"/>
    <w:rsid w:val="00781863"/>
    <w:rsid w:val="0078396B"/>
    <w:rsid w:val="00784B2B"/>
    <w:rsid w:val="00785299"/>
    <w:rsid w:val="0078560F"/>
    <w:rsid w:val="0078616D"/>
    <w:rsid w:val="0078652B"/>
    <w:rsid w:val="00786992"/>
    <w:rsid w:val="00787445"/>
    <w:rsid w:val="00787744"/>
    <w:rsid w:val="00787F16"/>
    <w:rsid w:val="00791070"/>
    <w:rsid w:val="00791964"/>
    <w:rsid w:val="00791AB6"/>
    <w:rsid w:val="00793F9B"/>
    <w:rsid w:val="00794080"/>
    <w:rsid w:val="00794F81"/>
    <w:rsid w:val="007953E7"/>
    <w:rsid w:val="00795C55"/>
    <w:rsid w:val="007A0036"/>
    <w:rsid w:val="007A0082"/>
    <w:rsid w:val="007A0E44"/>
    <w:rsid w:val="007A1195"/>
    <w:rsid w:val="007A1503"/>
    <w:rsid w:val="007A186E"/>
    <w:rsid w:val="007A1D5D"/>
    <w:rsid w:val="007A28B7"/>
    <w:rsid w:val="007A7D60"/>
    <w:rsid w:val="007B1E07"/>
    <w:rsid w:val="007B2280"/>
    <w:rsid w:val="007B3E48"/>
    <w:rsid w:val="007B3FA0"/>
    <w:rsid w:val="007B402B"/>
    <w:rsid w:val="007B4D73"/>
    <w:rsid w:val="007B5473"/>
    <w:rsid w:val="007B7262"/>
    <w:rsid w:val="007B768C"/>
    <w:rsid w:val="007B7851"/>
    <w:rsid w:val="007B7904"/>
    <w:rsid w:val="007C191C"/>
    <w:rsid w:val="007C1D6C"/>
    <w:rsid w:val="007C3053"/>
    <w:rsid w:val="007C3C8C"/>
    <w:rsid w:val="007C45BC"/>
    <w:rsid w:val="007C5123"/>
    <w:rsid w:val="007C5F96"/>
    <w:rsid w:val="007C6134"/>
    <w:rsid w:val="007C6F17"/>
    <w:rsid w:val="007C722B"/>
    <w:rsid w:val="007C7330"/>
    <w:rsid w:val="007D0A13"/>
    <w:rsid w:val="007D0D2B"/>
    <w:rsid w:val="007D1295"/>
    <w:rsid w:val="007D1B69"/>
    <w:rsid w:val="007D381C"/>
    <w:rsid w:val="007D3E4F"/>
    <w:rsid w:val="007D488B"/>
    <w:rsid w:val="007D64B6"/>
    <w:rsid w:val="007D7A65"/>
    <w:rsid w:val="007E0A23"/>
    <w:rsid w:val="007E1B5B"/>
    <w:rsid w:val="007E4A7F"/>
    <w:rsid w:val="007E518F"/>
    <w:rsid w:val="007E5A4F"/>
    <w:rsid w:val="007E6161"/>
    <w:rsid w:val="007E673A"/>
    <w:rsid w:val="007E6844"/>
    <w:rsid w:val="007F1AE6"/>
    <w:rsid w:val="007F22DD"/>
    <w:rsid w:val="007F3418"/>
    <w:rsid w:val="007F5EE8"/>
    <w:rsid w:val="007F66CB"/>
    <w:rsid w:val="007F6F08"/>
    <w:rsid w:val="008018F7"/>
    <w:rsid w:val="008032D3"/>
    <w:rsid w:val="008032F3"/>
    <w:rsid w:val="00803865"/>
    <w:rsid w:val="008047B5"/>
    <w:rsid w:val="00805769"/>
    <w:rsid w:val="0080638F"/>
    <w:rsid w:val="00806C57"/>
    <w:rsid w:val="00810248"/>
    <w:rsid w:val="00810A2E"/>
    <w:rsid w:val="00811DF8"/>
    <w:rsid w:val="00812D60"/>
    <w:rsid w:val="00813EC3"/>
    <w:rsid w:val="00814185"/>
    <w:rsid w:val="00814620"/>
    <w:rsid w:val="00814770"/>
    <w:rsid w:val="008156AD"/>
    <w:rsid w:val="00815889"/>
    <w:rsid w:val="008159D7"/>
    <w:rsid w:val="00816A25"/>
    <w:rsid w:val="00817418"/>
    <w:rsid w:val="00826C74"/>
    <w:rsid w:val="00826DA1"/>
    <w:rsid w:val="00827E14"/>
    <w:rsid w:val="00830FA0"/>
    <w:rsid w:val="00831A84"/>
    <w:rsid w:val="00831C78"/>
    <w:rsid w:val="00832100"/>
    <w:rsid w:val="0083273A"/>
    <w:rsid w:val="00833EEA"/>
    <w:rsid w:val="00834897"/>
    <w:rsid w:val="00834D61"/>
    <w:rsid w:val="00835220"/>
    <w:rsid w:val="00836DD4"/>
    <w:rsid w:val="008375B5"/>
    <w:rsid w:val="0084001B"/>
    <w:rsid w:val="008424E3"/>
    <w:rsid w:val="0084276F"/>
    <w:rsid w:val="0084281C"/>
    <w:rsid w:val="00842E5D"/>
    <w:rsid w:val="00843231"/>
    <w:rsid w:val="00846F5D"/>
    <w:rsid w:val="00850100"/>
    <w:rsid w:val="008513ED"/>
    <w:rsid w:val="008519C0"/>
    <w:rsid w:val="00857687"/>
    <w:rsid w:val="00861956"/>
    <w:rsid w:val="0086196C"/>
    <w:rsid w:val="0086198D"/>
    <w:rsid w:val="0086267E"/>
    <w:rsid w:val="00862D2D"/>
    <w:rsid w:val="00863B87"/>
    <w:rsid w:val="008648B5"/>
    <w:rsid w:val="008658CA"/>
    <w:rsid w:val="0086606E"/>
    <w:rsid w:val="008664C9"/>
    <w:rsid w:val="0086697A"/>
    <w:rsid w:val="00866BE2"/>
    <w:rsid w:val="00867347"/>
    <w:rsid w:val="00867DAB"/>
    <w:rsid w:val="00871A1E"/>
    <w:rsid w:val="00871B59"/>
    <w:rsid w:val="00872193"/>
    <w:rsid w:val="00872394"/>
    <w:rsid w:val="0087252E"/>
    <w:rsid w:val="00872F5B"/>
    <w:rsid w:val="00874033"/>
    <w:rsid w:val="0087443B"/>
    <w:rsid w:val="0087729B"/>
    <w:rsid w:val="008772C6"/>
    <w:rsid w:val="008806B6"/>
    <w:rsid w:val="0088103E"/>
    <w:rsid w:val="00881CF0"/>
    <w:rsid w:val="00882F5C"/>
    <w:rsid w:val="008830E7"/>
    <w:rsid w:val="00886C9E"/>
    <w:rsid w:val="00887E31"/>
    <w:rsid w:val="00887E72"/>
    <w:rsid w:val="00890EF3"/>
    <w:rsid w:val="0089256B"/>
    <w:rsid w:val="00893924"/>
    <w:rsid w:val="00894365"/>
    <w:rsid w:val="00894D4F"/>
    <w:rsid w:val="00896BA2"/>
    <w:rsid w:val="00897999"/>
    <w:rsid w:val="00897B99"/>
    <w:rsid w:val="008A0030"/>
    <w:rsid w:val="008A07D5"/>
    <w:rsid w:val="008A20D5"/>
    <w:rsid w:val="008A3865"/>
    <w:rsid w:val="008A51CF"/>
    <w:rsid w:val="008A5BFC"/>
    <w:rsid w:val="008A65C5"/>
    <w:rsid w:val="008A6B0A"/>
    <w:rsid w:val="008A7747"/>
    <w:rsid w:val="008B1374"/>
    <w:rsid w:val="008B32C8"/>
    <w:rsid w:val="008B3861"/>
    <w:rsid w:val="008B4193"/>
    <w:rsid w:val="008B505F"/>
    <w:rsid w:val="008B54AA"/>
    <w:rsid w:val="008B6727"/>
    <w:rsid w:val="008B6BBF"/>
    <w:rsid w:val="008C0DC2"/>
    <w:rsid w:val="008C152F"/>
    <w:rsid w:val="008C17E2"/>
    <w:rsid w:val="008C1B5A"/>
    <w:rsid w:val="008C45D6"/>
    <w:rsid w:val="008C46FA"/>
    <w:rsid w:val="008C51DE"/>
    <w:rsid w:val="008C568E"/>
    <w:rsid w:val="008C6A6F"/>
    <w:rsid w:val="008C783A"/>
    <w:rsid w:val="008D002C"/>
    <w:rsid w:val="008D1287"/>
    <w:rsid w:val="008D1BAA"/>
    <w:rsid w:val="008D20C3"/>
    <w:rsid w:val="008D3171"/>
    <w:rsid w:val="008D3639"/>
    <w:rsid w:val="008D3D17"/>
    <w:rsid w:val="008D476D"/>
    <w:rsid w:val="008D4B62"/>
    <w:rsid w:val="008D5116"/>
    <w:rsid w:val="008D5CE9"/>
    <w:rsid w:val="008D6F45"/>
    <w:rsid w:val="008D713A"/>
    <w:rsid w:val="008D743C"/>
    <w:rsid w:val="008E02DE"/>
    <w:rsid w:val="008E0F7F"/>
    <w:rsid w:val="008E102E"/>
    <w:rsid w:val="008E1436"/>
    <w:rsid w:val="008E177D"/>
    <w:rsid w:val="008E3291"/>
    <w:rsid w:val="008E3D94"/>
    <w:rsid w:val="008E4BDB"/>
    <w:rsid w:val="008E52CC"/>
    <w:rsid w:val="008E6CA8"/>
    <w:rsid w:val="008E74BB"/>
    <w:rsid w:val="008E7729"/>
    <w:rsid w:val="008E78A7"/>
    <w:rsid w:val="008F188E"/>
    <w:rsid w:val="008F2A19"/>
    <w:rsid w:val="008F7DA4"/>
    <w:rsid w:val="00900602"/>
    <w:rsid w:val="0090295E"/>
    <w:rsid w:val="00903267"/>
    <w:rsid w:val="00903605"/>
    <w:rsid w:val="00903806"/>
    <w:rsid w:val="00903E2D"/>
    <w:rsid w:val="0090435F"/>
    <w:rsid w:val="00904C5D"/>
    <w:rsid w:val="0090505D"/>
    <w:rsid w:val="00905563"/>
    <w:rsid w:val="00906995"/>
    <w:rsid w:val="009076FC"/>
    <w:rsid w:val="00907E9F"/>
    <w:rsid w:val="0091003C"/>
    <w:rsid w:val="0091050A"/>
    <w:rsid w:val="009105DD"/>
    <w:rsid w:val="00910E82"/>
    <w:rsid w:val="009135F8"/>
    <w:rsid w:val="00913FFF"/>
    <w:rsid w:val="00920909"/>
    <w:rsid w:val="00921B01"/>
    <w:rsid w:val="00923F78"/>
    <w:rsid w:val="00924051"/>
    <w:rsid w:val="00924C7D"/>
    <w:rsid w:val="009250CC"/>
    <w:rsid w:val="0092587A"/>
    <w:rsid w:val="00927769"/>
    <w:rsid w:val="00927DCC"/>
    <w:rsid w:val="009300F8"/>
    <w:rsid w:val="009301A4"/>
    <w:rsid w:val="0093179C"/>
    <w:rsid w:val="00934723"/>
    <w:rsid w:val="00934BDA"/>
    <w:rsid w:val="00935F83"/>
    <w:rsid w:val="00936C2A"/>
    <w:rsid w:val="00936C42"/>
    <w:rsid w:val="0094510C"/>
    <w:rsid w:val="00945904"/>
    <w:rsid w:val="00947F1B"/>
    <w:rsid w:val="00950D16"/>
    <w:rsid w:val="0095198D"/>
    <w:rsid w:val="0095207B"/>
    <w:rsid w:val="00954FB1"/>
    <w:rsid w:val="00955840"/>
    <w:rsid w:val="0095643E"/>
    <w:rsid w:val="00957583"/>
    <w:rsid w:val="00960BC3"/>
    <w:rsid w:val="00960E41"/>
    <w:rsid w:val="00961BC3"/>
    <w:rsid w:val="0096419C"/>
    <w:rsid w:val="00964B3F"/>
    <w:rsid w:val="009669BC"/>
    <w:rsid w:val="00967664"/>
    <w:rsid w:val="00970E99"/>
    <w:rsid w:val="00970F2F"/>
    <w:rsid w:val="009715BE"/>
    <w:rsid w:val="009715F8"/>
    <w:rsid w:val="00971CB6"/>
    <w:rsid w:val="0097202A"/>
    <w:rsid w:val="0097295F"/>
    <w:rsid w:val="00972971"/>
    <w:rsid w:val="00973406"/>
    <w:rsid w:val="009734A1"/>
    <w:rsid w:val="009742FC"/>
    <w:rsid w:val="009752F1"/>
    <w:rsid w:val="00976F76"/>
    <w:rsid w:val="00977C65"/>
    <w:rsid w:val="00977FC1"/>
    <w:rsid w:val="00980FB5"/>
    <w:rsid w:val="00981858"/>
    <w:rsid w:val="00982BEE"/>
    <w:rsid w:val="009847E1"/>
    <w:rsid w:val="00985794"/>
    <w:rsid w:val="0098785F"/>
    <w:rsid w:val="00987B38"/>
    <w:rsid w:val="009906C3"/>
    <w:rsid w:val="00990AF1"/>
    <w:rsid w:val="009910D7"/>
    <w:rsid w:val="009919D3"/>
    <w:rsid w:val="00991E03"/>
    <w:rsid w:val="009927FF"/>
    <w:rsid w:val="00993EC2"/>
    <w:rsid w:val="009942BF"/>
    <w:rsid w:val="009957AB"/>
    <w:rsid w:val="00995C39"/>
    <w:rsid w:val="009A0233"/>
    <w:rsid w:val="009A0FB5"/>
    <w:rsid w:val="009A127B"/>
    <w:rsid w:val="009A3047"/>
    <w:rsid w:val="009A30FE"/>
    <w:rsid w:val="009A3648"/>
    <w:rsid w:val="009A3C53"/>
    <w:rsid w:val="009A5B8F"/>
    <w:rsid w:val="009A7433"/>
    <w:rsid w:val="009B0B24"/>
    <w:rsid w:val="009B1258"/>
    <w:rsid w:val="009B3E81"/>
    <w:rsid w:val="009B4F21"/>
    <w:rsid w:val="009B5E7D"/>
    <w:rsid w:val="009C337B"/>
    <w:rsid w:val="009C38A9"/>
    <w:rsid w:val="009C438F"/>
    <w:rsid w:val="009C61FE"/>
    <w:rsid w:val="009C6F4E"/>
    <w:rsid w:val="009C6FAA"/>
    <w:rsid w:val="009D052E"/>
    <w:rsid w:val="009D07C3"/>
    <w:rsid w:val="009D34D5"/>
    <w:rsid w:val="009D3557"/>
    <w:rsid w:val="009D5102"/>
    <w:rsid w:val="009D6C91"/>
    <w:rsid w:val="009D7536"/>
    <w:rsid w:val="009D7731"/>
    <w:rsid w:val="009E033D"/>
    <w:rsid w:val="009E09C7"/>
    <w:rsid w:val="009E0D6A"/>
    <w:rsid w:val="009E226F"/>
    <w:rsid w:val="009E4246"/>
    <w:rsid w:val="009E43B1"/>
    <w:rsid w:val="009E518B"/>
    <w:rsid w:val="009E5869"/>
    <w:rsid w:val="009E5B76"/>
    <w:rsid w:val="009E5B9C"/>
    <w:rsid w:val="009E72D3"/>
    <w:rsid w:val="009F0A5B"/>
    <w:rsid w:val="009F1E28"/>
    <w:rsid w:val="009F2AAD"/>
    <w:rsid w:val="009F325E"/>
    <w:rsid w:val="009F33A9"/>
    <w:rsid w:val="009F4B61"/>
    <w:rsid w:val="009F547C"/>
    <w:rsid w:val="009F5EA8"/>
    <w:rsid w:val="009F634A"/>
    <w:rsid w:val="009F7688"/>
    <w:rsid w:val="009F7B56"/>
    <w:rsid w:val="00A00E74"/>
    <w:rsid w:val="00A00F60"/>
    <w:rsid w:val="00A022CE"/>
    <w:rsid w:val="00A036FE"/>
    <w:rsid w:val="00A04A38"/>
    <w:rsid w:val="00A05597"/>
    <w:rsid w:val="00A06268"/>
    <w:rsid w:val="00A109FC"/>
    <w:rsid w:val="00A10AFF"/>
    <w:rsid w:val="00A12681"/>
    <w:rsid w:val="00A12C0B"/>
    <w:rsid w:val="00A161D2"/>
    <w:rsid w:val="00A1767D"/>
    <w:rsid w:val="00A20044"/>
    <w:rsid w:val="00A2109A"/>
    <w:rsid w:val="00A21EA4"/>
    <w:rsid w:val="00A2224D"/>
    <w:rsid w:val="00A22D75"/>
    <w:rsid w:val="00A2335D"/>
    <w:rsid w:val="00A235DC"/>
    <w:rsid w:val="00A24191"/>
    <w:rsid w:val="00A242A5"/>
    <w:rsid w:val="00A25E5E"/>
    <w:rsid w:val="00A26305"/>
    <w:rsid w:val="00A27C01"/>
    <w:rsid w:val="00A27D6E"/>
    <w:rsid w:val="00A3005B"/>
    <w:rsid w:val="00A30370"/>
    <w:rsid w:val="00A307BB"/>
    <w:rsid w:val="00A309CF"/>
    <w:rsid w:val="00A32572"/>
    <w:rsid w:val="00A33474"/>
    <w:rsid w:val="00A33F40"/>
    <w:rsid w:val="00A3571B"/>
    <w:rsid w:val="00A36A9A"/>
    <w:rsid w:val="00A36ADD"/>
    <w:rsid w:val="00A4046C"/>
    <w:rsid w:val="00A415BD"/>
    <w:rsid w:val="00A41C80"/>
    <w:rsid w:val="00A423CE"/>
    <w:rsid w:val="00A434E8"/>
    <w:rsid w:val="00A43576"/>
    <w:rsid w:val="00A43E97"/>
    <w:rsid w:val="00A4496C"/>
    <w:rsid w:val="00A45484"/>
    <w:rsid w:val="00A45E6D"/>
    <w:rsid w:val="00A50B4D"/>
    <w:rsid w:val="00A52094"/>
    <w:rsid w:val="00A52E08"/>
    <w:rsid w:val="00A53901"/>
    <w:rsid w:val="00A55349"/>
    <w:rsid w:val="00A5647C"/>
    <w:rsid w:val="00A62D63"/>
    <w:rsid w:val="00A62DE7"/>
    <w:rsid w:val="00A63CA7"/>
    <w:rsid w:val="00A6412C"/>
    <w:rsid w:val="00A64A6C"/>
    <w:rsid w:val="00A65267"/>
    <w:rsid w:val="00A65EA9"/>
    <w:rsid w:val="00A676A3"/>
    <w:rsid w:val="00A67CD9"/>
    <w:rsid w:val="00A70184"/>
    <w:rsid w:val="00A70EEA"/>
    <w:rsid w:val="00A7205B"/>
    <w:rsid w:val="00A72FD4"/>
    <w:rsid w:val="00A74ABD"/>
    <w:rsid w:val="00A74DE0"/>
    <w:rsid w:val="00A77728"/>
    <w:rsid w:val="00A80985"/>
    <w:rsid w:val="00A80B50"/>
    <w:rsid w:val="00A80C32"/>
    <w:rsid w:val="00A81704"/>
    <w:rsid w:val="00A8261E"/>
    <w:rsid w:val="00A85021"/>
    <w:rsid w:val="00A85AEE"/>
    <w:rsid w:val="00A85BA1"/>
    <w:rsid w:val="00A94015"/>
    <w:rsid w:val="00A94A9D"/>
    <w:rsid w:val="00A94F3B"/>
    <w:rsid w:val="00A9515A"/>
    <w:rsid w:val="00A97F36"/>
    <w:rsid w:val="00AA0A1B"/>
    <w:rsid w:val="00AA0AC9"/>
    <w:rsid w:val="00AA0DE0"/>
    <w:rsid w:val="00AA35BE"/>
    <w:rsid w:val="00AA4415"/>
    <w:rsid w:val="00AA46D5"/>
    <w:rsid w:val="00AA5A3F"/>
    <w:rsid w:val="00AA5A8D"/>
    <w:rsid w:val="00AA6254"/>
    <w:rsid w:val="00AA6A24"/>
    <w:rsid w:val="00AB2024"/>
    <w:rsid w:val="00AB2429"/>
    <w:rsid w:val="00AB2EBB"/>
    <w:rsid w:val="00AB3A87"/>
    <w:rsid w:val="00AB441B"/>
    <w:rsid w:val="00AB501D"/>
    <w:rsid w:val="00AB5E73"/>
    <w:rsid w:val="00AB5F63"/>
    <w:rsid w:val="00AB5F6C"/>
    <w:rsid w:val="00AB6D87"/>
    <w:rsid w:val="00AB71A5"/>
    <w:rsid w:val="00AC0C29"/>
    <w:rsid w:val="00AC2C1F"/>
    <w:rsid w:val="00AC3876"/>
    <w:rsid w:val="00AC51CE"/>
    <w:rsid w:val="00AC583B"/>
    <w:rsid w:val="00AD069F"/>
    <w:rsid w:val="00AD0F30"/>
    <w:rsid w:val="00AD1273"/>
    <w:rsid w:val="00AD1D5F"/>
    <w:rsid w:val="00AD2A7F"/>
    <w:rsid w:val="00AD2E58"/>
    <w:rsid w:val="00AD3736"/>
    <w:rsid w:val="00AD4209"/>
    <w:rsid w:val="00AD4D2C"/>
    <w:rsid w:val="00AD5FB6"/>
    <w:rsid w:val="00AD7F3A"/>
    <w:rsid w:val="00AE038D"/>
    <w:rsid w:val="00AE1A31"/>
    <w:rsid w:val="00AE25AC"/>
    <w:rsid w:val="00AE2B25"/>
    <w:rsid w:val="00AE47F9"/>
    <w:rsid w:val="00AE5688"/>
    <w:rsid w:val="00AE5C33"/>
    <w:rsid w:val="00AE6ED3"/>
    <w:rsid w:val="00AE7B05"/>
    <w:rsid w:val="00AE7FB2"/>
    <w:rsid w:val="00AF0035"/>
    <w:rsid w:val="00AF1306"/>
    <w:rsid w:val="00AF19EC"/>
    <w:rsid w:val="00AF2C64"/>
    <w:rsid w:val="00AF3257"/>
    <w:rsid w:val="00AF3FA4"/>
    <w:rsid w:val="00AF4A22"/>
    <w:rsid w:val="00AF4F2E"/>
    <w:rsid w:val="00AF5268"/>
    <w:rsid w:val="00AF6F29"/>
    <w:rsid w:val="00AF7820"/>
    <w:rsid w:val="00B024D5"/>
    <w:rsid w:val="00B025E1"/>
    <w:rsid w:val="00B027DB"/>
    <w:rsid w:val="00B02FD0"/>
    <w:rsid w:val="00B06F13"/>
    <w:rsid w:val="00B07666"/>
    <w:rsid w:val="00B07B8B"/>
    <w:rsid w:val="00B10537"/>
    <w:rsid w:val="00B11CF7"/>
    <w:rsid w:val="00B12BF3"/>
    <w:rsid w:val="00B12CDA"/>
    <w:rsid w:val="00B15F41"/>
    <w:rsid w:val="00B169B4"/>
    <w:rsid w:val="00B227E9"/>
    <w:rsid w:val="00B239B1"/>
    <w:rsid w:val="00B24A3E"/>
    <w:rsid w:val="00B24FEC"/>
    <w:rsid w:val="00B25849"/>
    <w:rsid w:val="00B26F8D"/>
    <w:rsid w:val="00B306C6"/>
    <w:rsid w:val="00B31981"/>
    <w:rsid w:val="00B332E9"/>
    <w:rsid w:val="00B333A9"/>
    <w:rsid w:val="00B33962"/>
    <w:rsid w:val="00B33FDD"/>
    <w:rsid w:val="00B34DE5"/>
    <w:rsid w:val="00B35831"/>
    <w:rsid w:val="00B37B20"/>
    <w:rsid w:val="00B409DA"/>
    <w:rsid w:val="00B4171A"/>
    <w:rsid w:val="00B42942"/>
    <w:rsid w:val="00B4361C"/>
    <w:rsid w:val="00B447D1"/>
    <w:rsid w:val="00B44C88"/>
    <w:rsid w:val="00B4519A"/>
    <w:rsid w:val="00B454C4"/>
    <w:rsid w:val="00B45F72"/>
    <w:rsid w:val="00B463FE"/>
    <w:rsid w:val="00B46A33"/>
    <w:rsid w:val="00B47238"/>
    <w:rsid w:val="00B47F5A"/>
    <w:rsid w:val="00B51F2A"/>
    <w:rsid w:val="00B51F70"/>
    <w:rsid w:val="00B5354E"/>
    <w:rsid w:val="00B54DC4"/>
    <w:rsid w:val="00B5570C"/>
    <w:rsid w:val="00B57C6A"/>
    <w:rsid w:val="00B61C4A"/>
    <w:rsid w:val="00B63803"/>
    <w:rsid w:val="00B63E47"/>
    <w:rsid w:val="00B63E6B"/>
    <w:rsid w:val="00B64A9F"/>
    <w:rsid w:val="00B65B1D"/>
    <w:rsid w:val="00B7147C"/>
    <w:rsid w:val="00B72034"/>
    <w:rsid w:val="00B72D29"/>
    <w:rsid w:val="00B73CE1"/>
    <w:rsid w:val="00B73D98"/>
    <w:rsid w:val="00B750C9"/>
    <w:rsid w:val="00B76230"/>
    <w:rsid w:val="00B76385"/>
    <w:rsid w:val="00B7656D"/>
    <w:rsid w:val="00B767F7"/>
    <w:rsid w:val="00B76BD7"/>
    <w:rsid w:val="00B76E44"/>
    <w:rsid w:val="00B775CF"/>
    <w:rsid w:val="00B82DFF"/>
    <w:rsid w:val="00B8307C"/>
    <w:rsid w:val="00B8341F"/>
    <w:rsid w:val="00B853B6"/>
    <w:rsid w:val="00B85FD6"/>
    <w:rsid w:val="00B870AB"/>
    <w:rsid w:val="00B87C63"/>
    <w:rsid w:val="00B87FE3"/>
    <w:rsid w:val="00B906B6"/>
    <w:rsid w:val="00B91E8D"/>
    <w:rsid w:val="00B92977"/>
    <w:rsid w:val="00B930CC"/>
    <w:rsid w:val="00B933D7"/>
    <w:rsid w:val="00B94566"/>
    <w:rsid w:val="00B94860"/>
    <w:rsid w:val="00B953F0"/>
    <w:rsid w:val="00B956C0"/>
    <w:rsid w:val="00B95E58"/>
    <w:rsid w:val="00B96188"/>
    <w:rsid w:val="00B96826"/>
    <w:rsid w:val="00B9684E"/>
    <w:rsid w:val="00B96C65"/>
    <w:rsid w:val="00B97695"/>
    <w:rsid w:val="00BA085B"/>
    <w:rsid w:val="00BA5FD4"/>
    <w:rsid w:val="00BB1484"/>
    <w:rsid w:val="00BB2051"/>
    <w:rsid w:val="00BB37DB"/>
    <w:rsid w:val="00BB45B2"/>
    <w:rsid w:val="00BB6461"/>
    <w:rsid w:val="00BB6B44"/>
    <w:rsid w:val="00BB7493"/>
    <w:rsid w:val="00BC15AB"/>
    <w:rsid w:val="00BC4CB0"/>
    <w:rsid w:val="00BC5221"/>
    <w:rsid w:val="00BC5DA8"/>
    <w:rsid w:val="00BC6128"/>
    <w:rsid w:val="00BD0BFB"/>
    <w:rsid w:val="00BD2E60"/>
    <w:rsid w:val="00BD35C2"/>
    <w:rsid w:val="00BD402B"/>
    <w:rsid w:val="00BD71A9"/>
    <w:rsid w:val="00BD7630"/>
    <w:rsid w:val="00BE0124"/>
    <w:rsid w:val="00BE14BB"/>
    <w:rsid w:val="00BE16B4"/>
    <w:rsid w:val="00BE1EA5"/>
    <w:rsid w:val="00BE2EF3"/>
    <w:rsid w:val="00BE345A"/>
    <w:rsid w:val="00BE3C34"/>
    <w:rsid w:val="00BE4569"/>
    <w:rsid w:val="00BE55DB"/>
    <w:rsid w:val="00BE67C2"/>
    <w:rsid w:val="00BE6C4C"/>
    <w:rsid w:val="00BE6CDC"/>
    <w:rsid w:val="00BE6D79"/>
    <w:rsid w:val="00BE70D4"/>
    <w:rsid w:val="00BF2C30"/>
    <w:rsid w:val="00BF2E1E"/>
    <w:rsid w:val="00BF32C4"/>
    <w:rsid w:val="00BF3640"/>
    <w:rsid w:val="00BF4913"/>
    <w:rsid w:val="00BF4CBB"/>
    <w:rsid w:val="00BF5234"/>
    <w:rsid w:val="00BF5E29"/>
    <w:rsid w:val="00BF6AD6"/>
    <w:rsid w:val="00C006DD"/>
    <w:rsid w:val="00C01364"/>
    <w:rsid w:val="00C01CC7"/>
    <w:rsid w:val="00C02AA9"/>
    <w:rsid w:val="00C02D4E"/>
    <w:rsid w:val="00C02DCD"/>
    <w:rsid w:val="00C02E5D"/>
    <w:rsid w:val="00C04018"/>
    <w:rsid w:val="00C11B04"/>
    <w:rsid w:val="00C124BB"/>
    <w:rsid w:val="00C15267"/>
    <w:rsid w:val="00C15CCC"/>
    <w:rsid w:val="00C15E76"/>
    <w:rsid w:val="00C20E2F"/>
    <w:rsid w:val="00C2119B"/>
    <w:rsid w:val="00C23592"/>
    <w:rsid w:val="00C236E8"/>
    <w:rsid w:val="00C24BDD"/>
    <w:rsid w:val="00C2510C"/>
    <w:rsid w:val="00C25D68"/>
    <w:rsid w:val="00C2693C"/>
    <w:rsid w:val="00C275B5"/>
    <w:rsid w:val="00C30A72"/>
    <w:rsid w:val="00C30D4B"/>
    <w:rsid w:val="00C31447"/>
    <w:rsid w:val="00C3144F"/>
    <w:rsid w:val="00C3243F"/>
    <w:rsid w:val="00C3293D"/>
    <w:rsid w:val="00C330EB"/>
    <w:rsid w:val="00C33C8D"/>
    <w:rsid w:val="00C33DA5"/>
    <w:rsid w:val="00C34539"/>
    <w:rsid w:val="00C34EBD"/>
    <w:rsid w:val="00C35564"/>
    <w:rsid w:val="00C3612E"/>
    <w:rsid w:val="00C36F2E"/>
    <w:rsid w:val="00C36FFC"/>
    <w:rsid w:val="00C37367"/>
    <w:rsid w:val="00C373DF"/>
    <w:rsid w:val="00C37B0F"/>
    <w:rsid w:val="00C40642"/>
    <w:rsid w:val="00C40DDE"/>
    <w:rsid w:val="00C41D89"/>
    <w:rsid w:val="00C431F4"/>
    <w:rsid w:val="00C43EA6"/>
    <w:rsid w:val="00C44242"/>
    <w:rsid w:val="00C44332"/>
    <w:rsid w:val="00C4598B"/>
    <w:rsid w:val="00C45AEC"/>
    <w:rsid w:val="00C47801"/>
    <w:rsid w:val="00C5023D"/>
    <w:rsid w:val="00C50E94"/>
    <w:rsid w:val="00C524BD"/>
    <w:rsid w:val="00C5301B"/>
    <w:rsid w:val="00C546C8"/>
    <w:rsid w:val="00C56200"/>
    <w:rsid w:val="00C56395"/>
    <w:rsid w:val="00C573AC"/>
    <w:rsid w:val="00C57CF1"/>
    <w:rsid w:val="00C61104"/>
    <w:rsid w:val="00C61246"/>
    <w:rsid w:val="00C62518"/>
    <w:rsid w:val="00C62DAB"/>
    <w:rsid w:val="00C62DFB"/>
    <w:rsid w:val="00C62F61"/>
    <w:rsid w:val="00C6302D"/>
    <w:rsid w:val="00C6379B"/>
    <w:rsid w:val="00C641EF"/>
    <w:rsid w:val="00C67130"/>
    <w:rsid w:val="00C706FB"/>
    <w:rsid w:val="00C70CE5"/>
    <w:rsid w:val="00C7128D"/>
    <w:rsid w:val="00C725D1"/>
    <w:rsid w:val="00C74A61"/>
    <w:rsid w:val="00C74CC1"/>
    <w:rsid w:val="00C75853"/>
    <w:rsid w:val="00C75AE9"/>
    <w:rsid w:val="00C75C06"/>
    <w:rsid w:val="00C75DC1"/>
    <w:rsid w:val="00C76196"/>
    <w:rsid w:val="00C762D5"/>
    <w:rsid w:val="00C800C9"/>
    <w:rsid w:val="00C80C53"/>
    <w:rsid w:val="00C80EAE"/>
    <w:rsid w:val="00C8171D"/>
    <w:rsid w:val="00C826F2"/>
    <w:rsid w:val="00C83608"/>
    <w:rsid w:val="00C847F5"/>
    <w:rsid w:val="00C8554A"/>
    <w:rsid w:val="00C90881"/>
    <w:rsid w:val="00C916C0"/>
    <w:rsid w:val="00C94869"/>
    <w:rsid w:val="00C97D24"/>
    <w:rsid w:val="00C97EFF"/>
    <w:rsid w:val="00C97FA1"/>
    <w:rsid w:val="00CA3775"/>
    <w:rsid w:val="00CA42EF"/>
    <w:rsid w:val="00CA7194"/>
    <w:rsid w:val="00CB093C"/>
    <w:rsid w:val="00CB0D98"/>
    <w:rsid w:val="00CB15DF"/>
    <w:rsid w:val="00CB2156"/>
    <w:rsid w:val="00CB2D92"/>
    <w:rsid w:val="00CB4999"/>
    <w:rsid w:val="00CB60D9"/>
    <w:rsid w:val="00CB75CF"/>
    <w:rsid w:val="00CB7613"/>
    <w:rsid w:val="00CB7D6C"/>
    <w:rsid w:val="00CC1AB9"/>
    <w:rsid w:val="00CC259F"/>
    <w:rsid w:val="00CC286F"/>
    <w:rsid w:val="00CC405B"/>
    <w:rsid w:val="00CC4A47"/>
    <w:rsid w:val="00CC4D1E"/>
    <w:rsid w:val="00CC5365"/>
    <w:rsid w:val="00CC56EE"/>
    <w:rsid w:val="00CC68CE"/>
    <w:rsid w:val="00CC6AA1"/>
    <w:rsid w:val="00CC6D3C"/>
    <w:rsid w:val="00CD034F"/>
    <w:rsid w:val="00CD0CC9"/>
    <w:rsid w:val="00CD1DB1"/>
    <w:rsid w:val="00CD215A"/>
    <w:rsid w:val="00CD4129"/>
    <w:rsid w:val="00CD414B"/>
    <w:rsid w:val="00CD43EC"/>
    <w:rsid w:val="00CD5789"/>
    <w:rsid w:val="00CD6574"/>
    <w:rsid w:val="00CD65B1"/>
    <w:rsid w:val="00CE1895"/>
    <w:rsid w:val="00CE18DD"/>
    <w:rsid w:val="00CE2602"/>
    <w:rsid w:val="00CE2775"/>
    <w:rsid w:val="00CE2B4A"/>
    <w:rsid w:val="00CE33F2"/>
    <w:rsid w:val="00CE3D6A"/>
    <w:rsid w:val="00CE4C47"/>
    <w:rsid w:val="00CE4D92"/>
    <w:rsid w:val="00CE5267"/>
    <w:rsid w:val="00CE563A"/>
    <w:rsid w:val="00CE59F6"/>
    <w:rsid w:val="00CE5EB2"/>
    <w:rsid w:val="00CE7AD0"/>
    <w:rsid w:val="00CF02CB"/>
    <w:rsid w:val="00CF086E"/>
    <w:rsid w:val="00CF1B5F"/>
    <w:rsid w:val="00CF476A"/>
    <w:rsid w:val="00CF4A24"/>
    <w:rsid w:val="00CF64A1"/>
    <w:rsid w:val="00CF6D4E"/>
    <w:rsid w:val="00CF79B6"/>
    <w:rsid w:val="00D0156B"/>
    <w:rsid w:val="00D01E26"/>
    <w:rsid w:val="00D032EC"/>
    <w:rsid w:val="00D0468B"/>
    <w:rsid w:val="00D049E4"/>
    <w:rsid w:val="00D04C3A"/>
    <w:rsid w:val="00D056CB"/>
    <w:rsid w:val="00D05BDB"/>
    <w:rsid w:val="00D06B75"/>
    <w:rsid w:val="00D06FC2"/>
    <w:rsid w:val="00D0734E"/>
    <w:rsid w:val="00D0770E"/>
    <w:rsid w:val="00D112B2"/>
    <w:rsid w:val="00D11B16"/>
    <w:rsid w:val="00D12083"/>
    <w:rsid w:val="00D1219E"/>
    <w:rsid w:val="00D1284B"/>
    <w:rsid w:val="00D12975"/>
    <w:rsid w:val="00D132F9"/>
    <w:rsid w:val="00D1375D"/>
    <w:rsid w:val="00D14E6D"/>
    <w:rsid w:val="00D16D95"/>
    <w:rsid w:val="00D16E00"/>
    <w:rsid w:val="00D17451"/>
    <w:rsid w:val="00D20801"/>
    <w:rsid w:val="00D234DF"/>
    <w:rsid w:val="00D23FA1"/>
    <w:rsid w:val="00D27167"/>
    <w:rsid w:val="00D27F77"/>
    <w:rsid w:val="00D30997"/>
    <w:rsid w:val="00D32372"/>
    <w:rsid w:val="00D32D50"/>
    <w:rsid w:val="00D32DB5"/>
    <w:rsid w:val="00D33276"/>
    <w:rsid w:val="00D345DB"/>
    <w:rsid w:val="00D34627"/>
    <w:rsid w:val="00D34A17"/>
    <w:rsid w:val="00D36F82"/>
    <w:rsid w:val="00D36FFE"/>
    <w:rsid w:val="00D400BD"/>
    <w:rsid w:val="00D41068"/>
    <w:rsid w:val="00D415D8"/>
    <w:rsid w:val="00D418A1"/>
    <w:rsid w:val="00D41ADF"/>
    <w:rsid w:val="00D428B7"/>
    <w:rsid w:val="00D42C66"/>
    <w:rsid w:val="00D43F39"/>
    <w:rsid w:val="00D4457D"/>
    <w:rsid w:val="00D4489D"/>
    <w:rsid w:val="00D46495"/>
    <w:rsid w:val="00D47BEC"/>
    <w:rsid w:val="00D51766"/>
    <w:rsid w:val="00D51A07"/>
    <w:rsid w:val="00D5258D"/>
    <w:rsid w:val="00D52680"/>
    <w:rsid w:val="00D527E6"/>
    <w:rsid w:val="00D52B0F"/>
    <w:rsid w:val="00D53106"/>
    <w:rsid w:val="00D53490"/>
    <w:rsid w:val="00D53987"/>
    <w:rsid w:val="00D541FB"/>
    <w:rsid w:val="00D54835"/>
    <w:rsid w:val="00D558B2"/>
    <w:rsid w:val="00D561DC"/>
    <w:rsid w:val="00D6119C"/>
    <w:rsid w:val="00D62CC8"/>
    <w:rsid w:val="00D63074"/>
    <w:rsid w:val="00D6326A"/>
    <w:rsid w:val="00D634D4"/>
    <w:rsid w:val="00D66F3A"/>
    <w:rsid w:val="00D71AF9"/>
    <w:rsid w:val="00D72177"/>
    <w:rsid w:val="00D722D9"/>
    <w:rsid w:val="00D72AFA"/>
    <w:rsid w:val="00D72EE7"/>
    <w:rsid w:val="00D74D5B"/>
    <w:rsid w:val="00D753FB"/>
    <w:rsid w:val="00D75CF9"/>
    <w:rsid w:val="00D76E3A"/>
    <w:rsid w:val="00D77042"/>
    <w:rsid w:val="00D77599"/>
    <w:rsid w:val="00D77DAD"/>
    <w:rsid w:val="00D77E99"/>
    <w:rsid w:val="00D81C2B"/>
    <w:rsid w:val="00D81D90"/>
    <w:rsid w:val="00D834C6"/>
    <w:rsid w:val="00D84313"/>
    <w:rsid w:val="00D86666"/>
    <w:rsid w:val="00D87E78"/>
    <w:rsid w:val="00D914D4"/>
    <w:rsid w:val="00D924E3"/>
    <w:rsid w:val="00D96BD4"/>
    <w:rsid w:val="00DA007B"/>
    <w:rsid w:val="00DA1D85"/>
    <w:rsid w:val="00DA2F7C"/>
    <w:rsid w:val="00DA33F1"/>
    <w:rsid w:val="00DA3DC2"/>
    <w:rsid w:val="00DA4605"/>
    <w:rsid w:val="00DA5CCB"/>
    <w:rsid w:val="00DA629B"/>
    <w:rsid w:val="00DA6319"/>
    <w:rsid w:val="00DA6713"/>
    <w:rsid w:val="00DA6AA0"/>
    <w:rsid w:val="00DB0485"/>
    <w:rsid w:val="00DB06A2"/>
    <w:rsid w:val="00DB0AE7"/>
    <w:rsid w:val="00DB0FB7"/>
    <w:rsid w:val="00DB12D0"/>
    <w:rsid w:val="00DB1C84"/>
    <w:rsid w:val="00DB2434"/>
    <w:rsid w:val="00DB2860"/>
    <w:rsid w:val="00DB2C87"/>
    <w:rsid w:val="00DB3724"/>
    <w:rsid w:val="00DB3BDC"/>
    <w:rsid w:val="00DB4A19"/>
    <w:rsid w:val="00DB6735"/>
    <w:rsid w:val="00DB67D2"/>
    <w:rsid w:val="00DB73CB"/>
    <w:rsid w:val="00DC0A24"/>
    <w:rsid w:val="00DC15C6"/>
    <w:rsid w:val="00DC3477"/>
    <w:rsid w:val="00DC56C2"/>
    <w:rsid w:val="00DC7493"/>
    <w:rsid w:val="00DC791A"/>
    <w:rsid w:val="00DD0C2A"/>
    <w:rsid w:val="00DD2DCB"/>
    <w:rsid w:val="00DD435C"/>
    <w:rsid w:val="00DD5CA4"/>
    <w:rsid w:val="00DD6E50"/>
    <w:rsid w:val="00DD796E"/>
    <w:rsid w:val="00DE0F54"/>
    <w:rsid w:val="00DE1746"/>
    <w:rsid w:val="00DE3B76"/>
    <w:rsid w:val="00DE4D1A"/>
    <w:rsid w:val="00DE555D"/>
    <w:rsid w:val="00DE60CA"/>
    <w:rsid w:val="00DE79AA"/>
    <w:rsid w:val="00DF0616"/>
    <w:rsid w:val="00DF20A2"/>
    <w:rsid w:val="00DF20F3"/>
    <w:rsid w:val="00DF40F2"/>
    <w:rsid w:val="00DF48B8"/>
    <w:rsid w:val="00DF5156"/>
    <w:rsid w:val="00DF56A5"/>
    <w:rsid w:val="00DF7717"/>
    <w:rsid w:val="00E03448"/>
    <w:rsid w:val="00E04083"/>
    <w:rsid w:val="00E05DD3"/>
    <w:rsid w:val="00E076EE"/>
    <w:rsid w:val="00E07A6C"/>
    <w:rsid w:val="00E10609"/>
    <w:rsid w:val="00E11C41"/>
    <w:rsid w:val="00E13640"/>
    <w:rsid w:val="00E13E2A"/>
    <w:rsid w:val="00E15359"/>
    <w:rsid w:val="00E157BE"/>
    <w:rsid w:val="00E20A71"/>
    <w:rsid w:val="00E210B3"/>
    <w:rsid w:val="00E2224E"/>
    <w:rsid w:val="00E267D3"/>
    <w:rsid w:val="00E27216"/>
    <w:rsid w:val="00E31589"/>
    <w:rsid w:val="00E31FA2"/>
    <w:rsid w:val="00E32C91"/>
    <w:rsid w:val="00E32E6D"/>
    <w:rsid w:val="00E334B5"/>
    <w:rsid w:val="00E33D20"/>
    <w:rsid w:val="00E33E67"/>
    <w:rsid w:val="00E33EC2"/>
    <w:rsid w:val="00E34313"/>
    <w:rsid w:val="00E349EF"/>
    <w:rsid w:val="00E35584"/>
    <w:rsid w:val="00E35588"/>
    <w:rsid w:val="00E37125"/>
    <w:rsid w:val="00E37B8A"/>
    <w:rsid w:val="00E37E81"/>
    <w:rsid w:val="00E4077C"/>
    <w:rsid w:val="00E421F5"/>
    <w:rsid w:val="00E4299D"/>
    <w:rsid w:val="00E439D5"/>
    <w:rsid w:val="00E43EE4"/>
    <w:rsid w:val="00E44406"/>
    <w:rsid w:val="00E4771D"/>
    <w:rsid w:val="00E47C71"/>
    <w:rsid w:val="00E508EB"/>
    <w:rsid w:val="00E50A61"/>
    <w:rsid w:val="00E50B75"/>
    <w:rsid w:val="00E51446"/>
    <w:rsid w:val="00E51AB6"/>
    <w:rsid w:val="00E51C1D"/>
    <w:rsid w:val="00E51ED3"/>
    <w:rsid w:val="00E5203C"/>
    <w:rsid w:val="00E53112"/>
    <w:rsid w:val="00E53447"/>
    <w:rsid w:val="00E54C05"/>
    <w:rsid w:val="00E554B6"/>
    <w:rsid w:val="00E55CF4"/>
    <w:rsid w:val="00E60156"/>
    <w:rsid w:val="00E60785"/>
    <w:rsid w:val="00E6140E"/>
    <w:rsid w:val="00E63BE8"/>
    <w:rsid w:val="00E63DDC"/>
    <w:rsid w:val="00E645AA"/>
    <w:rsid w:val="00E66B1C"/>
    <w:rsid w:val="00E67474"/>
    <w:rsid w:val="00E67C2B"/>
    <w:rsid w:val="00E67F8E"/>
    <w:rsid w:val="00E704AC"/>
    <w:rsid w:val="00E710F2"/>
    <w:rsid w:val="00E71440"/>
    <w:rsid w:val="00E71679"/>
    <w:rsid w:val="00E731B6"/>
    <w:rsid w:val="00E733F9"/>
    <w:rsid w:val="00E73481"/>
    <w:rsid w:val="00E741E4"/>
    <w:rsid w:val="00E75329"/>
    <w:rsid w:val="00E76FC1"/>
    <w:rsid w:val="00E801FF"/>
    <w:rsid w:val="00E8090D"/>
    <w:rsid w:val="00E80C72"/>
    <w:rsid w:val="00E80EAC"/>
    <w:rsid w:val="00E811D8"/>
    <w:rsid w:val="00E82856"/>
    <w:rsid w:val="00E8311B"/>
    <w:rsid w:val="00E83A7D"/>
    <w:rsid w:val="00E847A3"/>
    <w:rsid w:val="00E8497C"/>
    <w:rsid w:val="00E84DE8"/>
    <w:rsid w:val="00E8586C"/>
    <w:rsid w:val="00E876D2"/>
    <w:rsid w:val="00E87BEA"/>
    <w:rsid w:val="00E920FA"/>
    <w:rsid w:val="00E925B2"/>
    <w:rsid w:val="00E934E5"/>
    <w:rsid w:val="00E95486"/>
    <w:rsid w:val="00E9570A"/>
    <w:rsid w:val="00E9654F"/>
    <w:rsid w:val="00EA08DD"/>
    <w:rsid w:val="00EA0ABA"/>
    <w:rsid w:val="00EA0BE7"/>
    <w:rsid w:val="00EA3E66"/>
    <w:rsid w:val="00EA5AA0"/>
    <w:rsid w:val="00EA69F0"/>
    <w:rsid w:val="00EA7061"/>
    <w:rsid w:val="00EB0113"/>
    <w:rsid w:val="00EB0163"/>
    <w:rsid w:val="00EB0E1F"/>
    <w:rsid w:val="00EB1331"/>
    <w:rsid w:val="00EB1B2E"/>
    <w:rsid w:val="00EB1D64"/>
    <w:rsid w:val="00EB212B"/>
    <w:rsid w:val="00EB22A5"/>
    <w:rsid w:val="00EB2803"/>
    <w:rsid w:val="00EB2C93"/>
    <w:rsid w:val="00EB32CF"/>
    <w:rsid w:val="00EB3B84"/>
    <w:rsid w:val="00EB486C"/>
    <w:rsid w:val="00EB4BCA"/>
    <w:rsid w:val="00EB52F2"/>
    <w:rsid w:val="00EC0DBF"/>
    <w:rsid w:val="00EC1C56"/>
    <w:rsid w:val="00EC2ACE"/>
    <w:rsid w:val="00EC340A"/>
    <w:rsid w:val="00EC4AAD"/>
    <w:rsid w:val="00EC6096"/>
    <w:rsid w:val="00EC6A31"/>
    <w:rsid w:val="00EC73EB"/>
    <w:rsid w:val="00EC7614"/>
    <w:rsid w:val="00EC7789"/>
    <w:rsid w:val="00EC7C52"/>
    <w:rsid w:val="00ED17AB"/>
    <w:rsid w:val="00ED3776"/>
    <w:rsid w:val="00ED3F0E"/>
    <w:rsid w:val="00ED44A1"/>
    <w:rsid w:val="00ED46A8"/>
    <w:rsid w:val="00ED48F9"/>
    <w:rsid w:val="00ED51AD"/>
    <w:rsid w:val="00ED5414"/>
    <w:rsid w:val="00ED57E5"/>
    <w:rsid w:val="00ED5D14"/>
    <w:rsid w:val="00ED5F42"/>
    <w:rsid w:val="00ED663A"/>
    <w:rsid w:val="00ED7191"/>
    <w:rsid w:val="00ED71AB"/>
    <w:rsid w:val="00ED7361"/>
    <w:rsid w:val="00ED780D"/>
    <w:rsid w:val="00EE04C8"/>
    <w:rsid w:val="00EE0A62"/>
    <w:rsid w:val="00EE0D31"/>
    <w:rsid w:val="00EE0F90"/>
    <w:rsid w:val="00EE1653"/>
    <w:rsid w:val="00EE3A60"/>
    <w:rsid w:val="00EE4CD3"/>
    <w:rsid w:val="00EE53C6"/>
    <w:rsid w:val="00EE71EC"/>
    <w:rsid w:val="00EF1A52"/>
    <w:rsid w:val="00EF2E06"/>
    <w:rsid w:val="00EF3337"/>
    <w:rsid w:val="00EF515D"/>
    <w:rsid w:val="00EF558E"/>
    <w:rsid w:val="00EF709C"/>
    <w:rsid w:val="00F01365"/>
    <w:rsid w:val="00F03713"/>
    <w:rsid w:val="00F039DB"/>
    <w:rsid w:val="00F0403C"/>
    <w:rsid w:val="00F05DB2"/>
    <w:rsid w:val="00F07FE2"/>
    <w:rsid w:val="00F1199D"/>
    <w:rsid w:val="00F1272C"/>
    <w:rsid w:val="00F148D7"/>
    <w:rsid w:val="00F15652"/>
    <w:rsid w:val="00F16214"/>
    <w:rsid w:val="00F17609"/>
    <w:rsid w:val="00F2001A"/>
    <w:rsid w:val="00F2037C"/>
    <w:rsid w:val="00F22887"/>
    <w:rsid w:val="00F22B89"/>
    <w:rsid w:val="00F23A09"/>
    <w:rsid w:val="00F25064"/>
    <w:rsid w:val="00F25249"/>
    <w:rsid w:val="00F25C9E"/>
    <w:rsid w:val="00F262E9"/>
    <w:rsid w:val="00F270FE"/>
    <w:rsid w:val="00F302ED"/>
    <w:rsid w:val="00F315A6"/>
    <w:rsid w:val="00F31E29"/>
    <w:rsid w:val="00F328D0"/>
    <w:rsid w:val="00F32FDC"/>
    <w:rsid w:val="00F33827"/>
    <w:rsid w:val="00F3550A"/>
    <w:rsid w:val="00F3603D"/>
    <w:rsid w:val="00F40385"/>
    <w:rsid w:val="00F40FE6"/>
    <w:rsid w:val="00F421CF"/>
    <w:rsid w:val="00F428C6"/>
    <w:rsid w:val="00F42936"/>
    <w:rsid w:val="00F42A88"/>
    <w:rsid w:val="00F44246"/>
    <w:rsid w:val="00F45013"/>
    <w:rsid w:val="00F45F32"/>
    <w:rsid w:val="00F46A16"/>
    <w:rsid w:val="00F46B7C"/>
    <w:rsid w:val="00F46D49"/>
    <w:rsid w:val="00F4745A"/>
    <w:rsid w:val="00F5004B"/>
    <w:rsid w:val="00F50159"/>
    <w:rsid w:val="00F501DF"/>
    <w:rsid w:val="00F52FAF"/>
    <w:rsid w:val="00F53A10"/>
    <w:rsid w:val="00F54783"/>
    <w:rsid w:val="00F54DC3"/>
    <w:rsid w:val="00F55884"/>
    <w:rsid w:val="00F56DD2"/>
    <w:rsid w:val="00F57D84"/>
    <w:rsid w:val="00F629F6"/>
    <w:rsid w:val="00F64618"/>
    <w:rsid w:val="00F64AD1"/>
    <w:rsid w:val="00F6616B"/>
    <w:rsid w:val="00F72558"/>
    <w:rsid w:val="00F729C9"/>
    <w:rsid w:val="00F745EB"/>
    <w:rsid w:val="00F74C24"/>
    <w:rsid w:val="00F77837"/>
    <w:rsid w:val="00F779AB"/>
    <w:rsid w:val="00F825D5"/>
    <w:rsid w:val="00F82846"/>
    <w:rsid w:val="00F82C9C"/>
    <w:rsid w:val="00F841FC"/>
    <w:rsid w:val="00F848E1"/>
    <w:rsid w:val="00F851C2"/>
    <w:rsid w:val="00F8598E"/>
    <w:rsid w:val="00F910AE"/>
    <w:rsid w:val="00F924AD"/>
    <w:rsid w:val="00F95F5A"/>
    <w:rsid w:val="00F96D84"/>
    <w:rsid w:val="00F9710D"/>
    <w:rsid w:val="00FA0399"/>
    <w:rsid w:val="00FA1E04"/>
    <w:rsid w:val="00FA381F"/>
    <w:rsid w:val="00FA49C9"/>
    <w:rsid w:val="00FA521C"/>
    <w:rsid w:val="00FA5EBE"/>
    <w:rsid w:val="00FA668A"/>
    <w:rsid w:val="00FA691A"/>
    <w:rsid w:val="00FA6935"/>
    <w:rsid w:val="00FA6BAA"/>
    <w:rsid w:val="00FA7B51"/>
    <w:rsid w:val="00FB0475"/>
    <w:rsid w:val="00FB073F"/>
    <w:rsid w:val="00FB0866"/>
    <w:rsid w:val="00FB0B73"/>
    <w:rsid w:val="00FB20FA"/>
    <w:rsid w:val="00FB58BD"/>
    <w:rsid w:val="00FB5D85"/>
    <w:rsid w:val="00FB67B3"/>
    <w:rsid w:val="00FC0790"/>
    <w:rsid w:val="00FC09C8"/>
    <w:rsid w:val="00FC113D"/>
    <w:rsid w:val="00FC1B35"/>
    <w:rsid w:val="00FC3AD0"/>
    <w:rsid w:val="00FC52C5"/>
    <w:rsid w:val="00FC58EA"/>
    <w:rsid w:val="00FC70CE"/>
    <w:rsid w:val="00FC7220"/>
    <w:rsid w:val="00FC739D"/>
    <w:rsid w:val="00FD0106"/>
    <w:rsid w:val="00FD0F9A"/>
    <w:rsid w:val="00FD10CB"/>
    <w:rsid w:val="00FD12C2"/>
    <w:rsid w:val="00FD4AF5"/>
    <w:rsid w:val="00FD4B3A"/>
    <w:rsid w:val="00FD4C59"/>
    <w:rsid w:val="00FD4DB8"/>
    <w:rsid w:val="00FD5009"/>
    <w:rsid w:val="00FD53FA"/>
    <w:rsid w:val="00FE0910"/>
    <w:rsid w:val="00FE0ED5"/>
    <w:rsid w:val="00FE14F2"/>
    <w:rsid w:val="00FE18E2"/>
    <w:rsid w:val="00FE1B69"/>
    <w:rsid w:val="00FE469D"/>
    <w:rsid w:val="00FE6852"/>
    <w:rsid w:val="00FE68A4"/>
    <w:rsid w:val="00FE77A6"/>
    <w:rsid w:val="00FF0572"/>
    <w:rsid w:val="00FF4451"/>
    <w:rsid w:val="00FF55AA"/>
    <w:rsid w:val="00FF5E96"/>
    <w:rsid w:val="00FF6D3F"/>
    <w:rsid w:val="011C463B"/>
    <w:rsid w:val="011E092C"/>
    <w:rsid w:val="011E6BB8"/>
    <w:rsid w:val="01201458"/>
    <w:rsid w:val="01217FE4"/>
    <w:rsid w:val="01250380"/>
    <w:rsid w:val="01264CF8"/>
    <w:rsid w:val="012753B6"/>
    <w:rsid w:val="012A2392"/>
    <w:rsid w:val="013D29E2"/>
    <w:rsid w:val="01432B99"/>
    <w:rsid w:val="01447A01"/>
    <w:rsid w:val="014A2858"/>
    <w:rsid w:val="01634584"/>
    <w:rsid w:val="016D65AA"/>
    <w:rsid w:val="017F66E8"/>
    <w:rsid w:val="01975CB6"/>
    <w:rsid w:val="019F25A4"/>
    <w:rsid w:val="01AD3DFD"/>
    <w:rsid w:val="01B347C3"/>
    <w:rsid w:val="01C5041C"/>
    <w:rsid w:val="01E33574"/>
    <w:rsid w:val="01E40241"/>
    <w:rsid w:val="01F16B55"/>
    <w:rsid w:val="01F81733"/>
    <w:rsid w:val="01FE52A7"/>
    <w:rsid w:val="022C513B"/>
    <w:rsid w:val="022E25F9"/>
    <w:rsid w:val="02480B1E"/>
    <w:rsid w:val="02481A34"/>
    <w:rsid w:val="02556A85"/>
    <w:rsid w:val="025E2F83"/>
    <w:rsid w:val="02635E5F"/>
    <w:rsid w:val="0267471D"/>
    <w:rsid w:val="02725439"/>
    <w:rsid w:val="027802A9"/>
    <w:rsid w:val="027E23C5"/>
    <w:rsid w:val="02892D69"/>
    <w:rsid w:val="02AD5897"/>
    <w:rsid w:val="02AE1158"/>
    <w:rsid w:val="02B67D9D"/>
    <w:rsid w:val="02BF0E43"/>
    <w:rsid w:val="02C62F49"/>
    <w:rsid w:val="02CB57E0"/>
    <w:rsid w:val="02D804A3"/>
    <w:rsid w:val="02E262FD"/>
    <w:rsid w:val="02F913E1"/>
    <w:rsid w:val="02FD53A6"/>
    <w:rsid w:val="030B3B2D"/>
    <w:rsid w:val="030C032D"/>
    <w:rsid w:val="03223964"/>
    <w:rsid w:val="033A46CB"/>
    <w:rsid w:val="03441A57"/>
    <w:rsid w:val="034429E6"/>
    <w:rsid w:val="034647D4"/>
    <w:rsid w:val="034A4BC7"/>
    <w:rsid w:val="035179FF"/>
    <w:rsid w:val="035D6CD2"/>
    <w:rsid w:val="0369625F"/>
    <w:rsid w:val="03701F0F"/>
    <w:rsid w:val="03702F9E"/>
    <w:rsid w:val="03845B10"/>
    <w:rsid w:val="0390232E"/>
    <w:rsid w:val="03907295"/>
    <w:rsid w:val="03A163C3"/>
    <w:rsid w:val="03A62D71"/>
    <w:rsid w:val="03B629F0"/>
    <w:rsid w:val="03CC50F9"/>
    <w:rsid w:val="03D36F10"/>
    <w:rsid w:val="03DF64E8"/>
    <w:rsid w:val="03E03204"/>
    <w:rsid w:val="03EF2F08"/>
    <w:rsid w:val="03F82831"/>
    <w:rsid w:val="03F92D91"/>
    <w:rsid w:val="04015631"/>
    <w:rsid w:val="040F3504"/>
    <w:rsid w:val="040F5AA6"/>
    <w:rsid w:val="04135D98"/>
    <w:rsid w:val="04272579"/>
    <w:rsid w:val="04304F43"/>
    <w:rsid w:val="044F0BC2"/>
    <w:rsid w:val="04575820"/>
    <w:rsid w:val="045B2A35"/>
    <w:rsid w:val="04665CF8"/>
    <w:rsid w:val="04815A86"/>
    <w:rsid w:val="04855EC8"/>
    <w:rsid w:val="04982092"/>
    <w:rsid w:val="04B228E5"/>
    <w:rsid w:val="04BF42E1"/>
    <w:rsid w:val="04C305EB"/>
    <w:rsid w:val="04DC0F3A"/>
    <w:rsid w:val="04E4504F"/>
    <w:rsid w:val="04F875DC"/>
    <w:rsid w:val="05194FF5"/>
    <w:rsid w:val="051D609A"/>
    <w:rsid w:val="05202ABB"/>
    <w:rsid w:val="05277035"/>
    <w:rsid w:val="0532666D"/>
    <w:rsid w:val="05425347"/>
    <w:rsid w:val="05504D0D"/>
    <w:rsid w:val="055360DD"/>
    <w:rsid w:val="055A682B"/>
    <w:rsid w:val="05674579"/>
    <w:rsid w:val="056775A5"/>
    <w:rsid w:val="056D260D"/>
    <w:rsid w:val="056F7E1A"/>
    <w:rsid w:val="05796E01"/>
    <w:rsid w:val="057A13E1"/>
    <w:rsid w:val="05860B59"/>
    <w:rsid w:val="05A16EB5"/>
    <w:rsid w:val="05A9597A"/>
    <w:rsid w:val="05B62BF7"/>
    <w:rsid w:val="05C35768"/>
    <w:rsid w:val="05C54C43"/>
    <w:rsid w:val="05CB0F38"/>
    <w:rsid w:val="05ED7579"/>
    <w:rsid w:val="05EF54B6"/>
    <w:rsid w:val="05F25EBD"/>
    <w:rsid w:val="05F27CE6"/>
    <w:rsid w:val="05F37076"/>
    <w:rsid w:val="05FC511B"/>
    <w:rsid w:val="06016502"/>
    <w:rsid w:val="062545D4"/>
    <w:rsid w:val="06275363"/>
    <w:rsid w:val="062A33F9"/>
    <w:rsid w:val="062C1E1E"/>
    <w:rsid w:val="062C6327"/>
    <w:rsid w:val="0630095E"/>
    <w:rsid w:val="063276E7"/>
    <w:rsid w:val="06363458"/>
    <w:rsid w:val="064F553C"/>
    <w:rsid w:val="0681346E"/>
    <w:rsid w:val="06831C46"/>
    <w:rsid w:val="06890BC4"/>
    <w:rsid w:val="068D1715"/>
    <w:rsid w:val="06A40F1F"/>
    <w:rsid w:val="06A665F2"/>
    <w:rsid w:val="06AA7DA2"/>
    <w:rsid w:val="06B06768"/>
    <w:rsid w:val="06B53E1A"/>
    <w:rsid w:val="06B962D4"/>
    <w:rsid w:val="06BF15F0"/>
    <w:rsid w:val="06C46881"/>
    <w:rsid w:val="06CB752C"/>
    <w:rsid w:val="06E713C2"/>
    <w:rsid w:val="06F10405"/>
    <w:rsid w:val="06F80F67"/>
    <w:rsid w:val="06F93017"/>
    <w:rsid w:val="06FB0DA8"/>
    <w:rsid w:val="06FC67D9"/>
    <w:rsid w:val="06FC6C10"/>
    <w:rsid w:val="06FE6E2A"/>
    <w:rsid w:val="071B295D"/>
    <w:rsid w:val="071C224E"/>
    <w:rsid w:val="074D1E2D"/>
    <w:rsid w:val="075D04AD"/>
    <w:rsid w:val="075D51BA"/>
    <w:rsid w:val="077741DD"/>
    <w:rsid w:val="07784617"/>
    <w:rsid w:val="07891109"/>
    <w:rsid w:val="07AA7127"/>
    <w:rsid w:val="07AE5F01"/>
    <w:rsid w:val="07B35C99"/>
    <w:rsid w:val="07CE5FA4"/>
    <w:rsid w:val="07D26D60"/>
    <w:rsid w:val="07F5598A"/>
    <w:rsid w:val="080227BB"/>
    <w:rsid w:val="08027C86"/>
    <w:rsid w:val="081E2067"/>
    <w:rsid w:val="0820608E"/>
    <w:rsid w:val="082272EB"/>
    <w:rsid w:val="08285D8F"/>
    <w:rsid w:val="0838719C"/>
    <w:rsid w:val="084423A2"/>
    <w:rsid w:val="085150D7"/>
    <w:rsid w:val="085208A0"/>
    <w:rsid w:val="08714D55"/>
    <w:rsid w:val="08962DB4"/>
    <w:rsid w:val="089D19BC"/>
    <w:rsid w:val="08C556ED"/>
    <w:rsid w:val="08CF0FCE"/>
    <w:rsid w:val="08F135D4"/>
    <w:rsid w:val="08F540AF"/>
    <w:rsid w:val="08F83E05"/>
    <w:rsid w:val="090123A3"/>
    <w:rsid w:val="09180606"/>
    <w:rsid w:val="092D3FC7"/>
    <w:rsid w:val="09374DA9"/>
    <w:rsid w:val="094C17E1"/>
    <w:rsid w:val="094C3513"/>
    <w:rsid w:val="09503338"/>
    <w:rsid w:val="09645E80"/>
    <w:rsid w:val="096F3554"/>
    <w:rsid w:val="09883450"/>
    <w:rsid w:val="098F3195"/>
    <w:rsid w:val="09937DDA"/>
    <w:rsid w:val="099B619F"/>
    <w:rsid w:val="09AC3F9C"/>
    <w:rsid w:val="09B4489A"/>
    <w:rsid w:val="09BF262D"/>
    <w:rsid w:val="09C40CDA"/>
    <w:rsid w:val="09C96F1E"/>
    <w:rsid w:val="09CE4F0F"/>
    <w:rsid w:val="09CF0D78"/>
    <w:rsid w:val="09E010F4"/>
    <w:rsid w:val="09FF3E01"/>
    <w:rsid w:val="0A0027F4"/>
    <w:rsid w:val="0A074711"/>
    <w:rsid w:val="0A0D0C42"/>
    <w:rsid w:val="0A1545B0"/>
    <w:rsid w:val="0A255C0F"/>
    <w:rsid w:val="0A300170"/>
    <w:rsid w:val="0A346555"/>
    <w:rsid w:val="0A362C12"/>
    <w:rsid w:val="0A3B681E"/>
    <w:rsid w:val="0A5205DA"/>
    <w:rsid w:val="0A5511E0"/>
    <w:rsid w:val="0A6937DB"/>
    <w:rsid w:val="0A6A6248"/>
    <w:rsid w:val="0A7151BE"/>
    <w:rsid w:val="0A7526BC"/>
    <w:rsid w:val="0A8312C5"/>
    <w:rsid w:val="0A846E46"/>
    <w:rsid w:val="0A8B3B15"/>
    <w:rsid w:val="0A992FB2"/>
    <w:rsid w:val="0AAE0762"/>
    <w:rsid w:val="0AB13EC9"/>
    <w:rsid w:val="0AB27BE7"/>
    <w:rsid w:val="0AC053C0"/>
    <w:rsid w:val="0AD56E5D"/>
    <w:rsid w:val="0AE95219"/>
    <w:rsid w:val="0B010013"/>
    <w:rsid w:val="0B017160"/>
    <w:rsid w:val="0B0E0B63"/>
    <w:rsid w:val="0B384E4B"/>
    <w:rsid w:val="0B393BE7"/>
    <w:rsid w:val="0B3B7692"/>
    <w:rsid w:val="0B5A088F"/>
    <w:rsid w:val="0B6A08BF"/>
    <w:rsid w:val="0B6E006D"/>
    <w:rsid w:val="0B7E5772"/>
    <w:rsid w:val="0BC043FC"/>
    <w:rsid w:val="0BCF5662"/>
    <w:rsid w:val="0BDE6153"/>
    <w:rsid w:val="0BE154F1"/>
    <w:rsid w:val="0BE55226"/>
    <w:rsid w:val="0BEE0C8C"/>
    <w:rsid w:val="0BF163C9"/>
    <w:rsid w:val="0BF42DDF"/>
    <w:rsid w:val="0BFC70CC"/>
    <w:rsid w:val="0C077FF4"/>
    <w:rsid w:val="0C222315"/>
    <w:rsid w:val="0C26097E"/>
    <w:rsid w:val="0C3A7A9C"/>
    <w:rsid w:val="0C40522B"/>
    <w:rsid w:val="0C4A2785"/>
    <w:rsid w:val="0C66217C"/>
    <w:rsid w:val="0C704CD2"/>
    <w:rsid w:val="0C721A52"/>
    <w:rsid w:val="0C7F0AEA"/>
    <w:rsid w:val="0C8538DC"/>
    <w:rsid w:val="0C875CCF"/>
    <w:rsid w:val="0C9A22FB"/>
    <w:rsid w:val="0C9C4B18"/>
    <w:rsid w:val="0CAF7EAB"/>
    <w:rsid w:val="0CBF6AAD"/>
    <w:rsid w:val="0CD33401"/>
    <w:rsid w:val="0CDB0080"/>
    <w:rsid w:val="0CFD7AD6"/>
    <w:rsid w:val="0CFF4934"/>
    <w:rsid w:val="0D084861"/>
    <w:rsid w:val="0D29656D"/>
    <w:rsid w:val="0D30760F"/>
    <w:rsid w:val="0D375608"/>
    <w:rsid w:val="0D394614"/>
    <w:rsid w:val="0D3B2448"/>
    <w:rsid w:val="0D543A5F"/>
    <w:rsid w:val="0D566496"/>
    <w:rsid w:val="0D5853BF"/>
    <w:rsid w:val="0D647CCD"/>
    <w:rsid w:val="0D6656D2"/>
    <w:rsid w:val="0D89423A"/>
    <w:rsid w:val="0D9544D5"/>
    <w:rsid w:val="0D9C1EA0"/>
    <w:rsid w:val="0DAD2C24"/>
    <w:rsid w:val="0DD36F06"/>
    <w:rsid w:val="0DF42B2E"/>
    <w:rsid w:val="0E021C21"/>
    <w:rsid w:val="0E17280B"/>
    <w:rsid w:val="0E1F7963"/>
    <w:rsid w:val="0E240FC2"/>
    <w:rsid w:val="0E293E64"/>
    <w:rsid w:val="0E2E1029"/>
    <w:rsid w:val="0E311E21"/>
    <w:rsid w:val="0E312684"/>
    <w:rsid w:val="0E3413DA"/>
    <w:rsid w:val="0E400877"/>
    <w:rsid w:val="0E480D0C"/>
    <w:rsid w:val="0E4E5ED8"/>
    <w:rsid w:val="0E6246AB"/>
    <w:rsid w:val="0E713227"/>
    <w:rsid w:val="0E7D4277"/>
    <w:rsid w:val="0E892271"/>
    <w:rsid w:val="0E9C377B"/>
    <w:rsid w:val="0EB23D07"/>
    <w:rsid w:val="0EBC657F"/>
    <w:rsid w:val="0EBE51B8"/>
    <w:rsid w:val="0ED606B3"/>
    <w:rsid w:val="0ED909AB"/>
    <w:rsid w:val="0EE12BE7"/>
    <w:rsid w:val="0EE90B96"/>
    <w:rsid w:val="0F172E1C"/>
    <w:rsid w:val="0F2D33FA"/>
    <w:rsid w:val="0F2E2466"/>
    <w:rsid w:val="0F3B6D4E"/>
    <w:rsid w:val="0F4A6F9B"/>
    <w:rsid w:val="0F657A0C"/>
    <w:rsid w:val="0F684706"/>
    <w:rsid w:val="0F7519FB"/>
    <w:rsid w:val="0F857810"/>
    <w:rsid w:val="0F8D7CCE"/>
    <w:rsid w:val="0F9D2767"/>
    <w:rsid w:val="0FAC582E"/>
    <w:rsid w:val="0FC10C30"/>
    <w:rsid w:val="0FC23987"/>
    <w:rsid w:val="0FC343E9"/>
    <w:rsid w:val="0FCD0AF4"/>
    <w:rsid w:val="0FE0241C"/>
    <w:rsid w:val="0FE2068D"/>
    <w:rsid w:val="0FE24A5F"/>
    <w:rsid w:val="0FE44718"/>
    <w:rsid w:val="0FED3B1C"/>
    <w:rsid w:val="0FF908C5"/>
    <w:rsid w:val="101F61D5"/>
    <w:rsid w:val="102922FF"/>
    <w:rsid w:val="102F6096"/>
    <w:rsid w:val="10357F6F"/>
    <w:rsid w:val="103C547C"/>
    <w:rsid w:val="103F2EC4"/>
    <w:rsid w:val="10515F65"/>
    <w:rsid w:val="10517B23"/>
    <w:rsid w:val="10561C5D"/>
    <w:rsid w:val="106A38B8"/>
    <w:rsid w:val="10714A9B"/>
    <w:rsid w:val="107936FF"/>
    <w:rsid w:val="10805F22"/>
    <w:rsid w:val="1082316C"/>
    <w:rsid w:val="108316D7"/>
    <w:rsid w:val="108408EA"/>
    <w:rsid w:val="108F175B"/>
    <w:rsid w:val="109E3833"/>
    <w:rsid w:val="10A35FA6"/>
    <w:rsid w:val="10AE05D3"/>
    <w:rsid w:val="10B30CB8"/>
    <w:rsid w:val="10B46379"/>
    <w:rsid w:val="10CB4794"/>
    <w:rsid w:val="10D960FC"/>
    <w:rsid w:val="10F4742B"/>
    <w:rsid w:val="10FC1679"/>
    <w:rsid w:val="11150105"/>
    <w:rsid w:val="1117574E"/>
    <w:rsid w:val="11261C58"/>
    <w:rsid w:val="113676DB"/>
    <w:rsid w:val="115B31E0"/>
    <w:rsid w:val="115B6A9A"/>
    <w:rsid w:val="11856019"/>
    <w:rsid w:val="119B1B03"/>
    <w:rsid w:val="119B2A7D"/>
    <w:rsid w:val="119F2BCC"/>
    <w:rsid w:val="11A60E50"/>
    <w:rsid w:val="11AB725F"/>
    <w:rsid w:val="11AE127D"/>
    <w:rsid w:val="11AF4297"/>
    <w:rsid w:val="11BA1892"/>
    <w:rsid w:val="11BB3A47"/>
    <w:rsid w:val="11BC2F19"/>
    <w:rsid w:val="11C4264A"/>
    <w:rsid w:val="11D12EB3"/>
    <w:rsid w:val="11E01563"/>
    <w:rsid w:val="11F26416"/>
    <w:rsid w:val="120841FE"/>
    <w:rsid w:val="120A0E2D"/>
    <w:rsid w:val="120F74F9"/>
    <w:rsid w:val="12162095"/>
    <w:rsid w:val="12180037"/>
    <w:rsid w:val="121B4CC6"/>
    <w:rsid w:val="121C05E2"/>
    <w:rsid w:val="12393142"/>
    <w:rsid w:val="123E2963"/>
    <w:rsid w:val="12872C9F"/>
    <w:rsid w:val="12901BCC"/>
    <w:rsid w:val="129824C1"/>
    <w:rsid w:val="12A5051C"/>
    <w:rsid w:val="12A80AC0"/>
    <w:rsid w:val="12A92FC0"/>
    <w:rsid w:val="12AF27C2"/>
    <w:rsid w:val="12C94969"/>
    <w:rsid w:val="12D26804"/>
    <w:rsid w:val="12E112C9"/>
    <w:rsid w:val="12E45621"/>
    <w:rsid w:val="12E629F2"/>
    <w:rsid w:val="131C186A"/>
    <w:rsid w:val="13254C65"/>
    <w:rsid w:val="13263839"/>
    <w:rsid w:val="132B4B3E"/>
    <w:rsid w:val="134E199D"/>
    <w:rsid w:val="1356040E"/>
    <w:rsid w:val="13674894"/>
    <w:rsid w:val="1373598C"/>
    <w:rsid w:val="13A06DED"/>
    <w:rsid w:val="13A83606"/>
    <w:rsid w:val="13DA666C"/>
    <w:rsid w:val="13DC279B"/>
    <w:rsid w:val="13E569D3"/>
    <w:rsid w:val="13F00F9D"/>
    <w:rsid w:val="13FA3485"/>
    <w:rsid w:val="13FC025D"/>
    <w:rsid w:val="14117105"/>
    <w:rsid w:val="14310A15"/>
    <w:rsid w:val="143E09C9"/>
    <w:rsid w:val="144054B5"/>
    <w:rsid w:val="14422054"/>
    <w:rsid w:val="1452418F"/>
    <w:rsid w:val="14900C31"/>
    <w:rsid w:val="149E572E"/>
    <w:rsid w:val="14A003B5"/>
    <w:rsid w:val="14AC1EFA"/>
    <w:rsid w:val="14B46473"/>
    <w:rsid w:val="14C47B03"/>
    <w:rsid w:val="14D23A22"/>
    <w:rsid w:val="14E7268B"/>
    <w:rsid w:val="14EF2B5B"/>
    <w:rsid w:val="14FB3174"/>
    <w:rsid w:val="15037275"/>
    <w:rsid w:val="151022C3"/>
    <w:rsid w:val="151124D2"/>
    <w:rsid w:val="15143055"/>
    <w:rsid w:val="153B570E"/>
    <w:rsid w:val="153E50BB"/>
    <w:rsid w:val="154963F4"/>
    <w:rsid w:val="154A6B33"/>
    <w:rsid w:val="154B581F"/>
    <w:rsid w:val="15583352"/>
    <w:rsid w:val="15655342"/>
    <w:rsid w:val="156F096A"/>
    <w:rsid w:val="157F1161"/>
    <w:rsid w:val="15BF7032"/>
    <w:rsid w:val="15E81A5D"/>
    <w:rsid w:val="15EB324D"/>
    <w:rsid w:val="15ED4A38"/>
    <w:rsid w:val="16283168"/>
    <w:rsid w:val="162B0230"/>
    <w:rsid w:val="164B5FA8"/>
    <w:rsid w:val="1690212D"/>
    <w:rsid w:val="169604A1"/>
    <w:rsid w:val="16991DD9"/>
    <w:rsid w:val="16A07946"/>
    <w:rsid w:val="16A35AB9"/>
    <w:rsid w:val="16AB472D"/>
    <w:rsid w:val="16EE1EDB"/>
    <w:rsid w:val="170106C7"/>
    <w:rsid w:val="170678FF"/>
    <w:rsid w:val="171E724A"/>
    <w:rsid w:val="174472D9"/>
    <w:rsid w:val="177B7392"/>
    <w:rsid w:val="177E407A"/>
    <w:rsid w:val="178004D5"/>
    <w:rsid w:val="17827900"/>
    <w:rsid w:val="17AA4B59"/>
    <w:rsid w:val="17AA7BFA"/>
    <w:rsid w:val="17C93091"/>
    <w:rsid w:val="17D55CCB"/>
    <w:rsid w:val="17D61E1E"/>
    <w:rsid w:val="17F64A6C"/>
    <w:rsid w:val="180172E6"/>
    <w:rsid w:val="181A5063"/>
    <w:rsid w:val="181C7C3D"/>
    <w:rsid w:val="1829021D"/>
    <w:rsid w:val="18343CAB"/>
    <w:rsid w:val="184D6B1A"/>
    <w:rsid w:val="185052FD"/>
    <w:rsid w:val="1856519D"/>
    <w:rsid w:val="185E7E58"/>
    <w:rsid w:val="187761ED"/>
    <w:rsid w:val="187E5AD1"/>
    <w:rsid w:val="18C92E99"/>
    <w:rsid w:val="18CC4D10"/>
    <w:rsid w:val="18E0179F"/>
    <w:rsid w:val="18F37FD1"/>
    <w:rsid w:val="19026115"/>
    <w:rsid w:val="19120EEA"/>
    <w:rsid w:val="19185A08"/>
    <w:rsid w:val="191B30B9"/>
    <w:rsid w:val="1921296F"/>
    <w:rsid w:val="192C628E"/>
    <w:rsid w:val="19315CEA"/>
    <w:rsid w:val="193F4CDA"/>
    <w:rsid w:val="193F7137"/>
    <w:rsid w:val="194E37C1"/>
    <w:rsid w:val="195E1752"/>
    <w:rsid w:val="195F21E0"/>
    <w:rsid w:val="197030CC"/>
    <w:rsid w:val="19775565"/>
    <w:rsid w:val="197B4856"/>
    <w:rsid w:val="19A12A72"/>
    <w:rsid w:val="19A80760"/>
    <w:rsid w:val="19A95956"/>
    <w:rsid w:val="19AF1583"/>
    <w:rsid w:val="19AF51C1"/>
    <w:rsid w:val="19BD213B"/>
    <w:rsid w:val="19C40DE8"/>
    <w:rsid w:val="19CB4551"/>
    <w:rsid w:val="19CD7D31"/>
    <w:rsid w:val="19CF1BB3"/>
    <w:rsid w:val="19D86BA0"/>
    <w:rsid w:val="19F91FCA"/>
    <w:rsid w:val="1A087587"/>
    <w:rsid w:val="1A0B670F"/>
    <w:rsid w:val="1A157A06"/>
    <w:rsid w:val="1A163C79"/>
    <w:rsid w:val="1A1B5BE5"/>
    <w:rsid w:val="1A3A32DA"/>
    <w:rsid w:val="1A3F25D2"/>
    <w:rsid w:val="1A4002FB"/>
    <w:rsid w:val="1A502E41"/>
    <w:rsid w:val="1A524E02"/>
    <w:rsid w:val="1A62218B"/>
    <w:rsid w:val="1A740FF5"/>
    <w:rsid w:val="1A7501B3"/>
    <w:rsid w:val="1A782793"/>
    <w:rsid w:val="1A7A2D27"/>
    <w:rsid w:val="1A8102AC"/>
    <w:rsid w:val="1A865744"/>
    <w:rsid w:val="1AAD1E0D"/>
    <w:rsid w:val="1ACA1B6D"/>
    <w:rsid w:val="1ADC3AF0"/>
    <w:rsid w:val="1AED63FC"/>
    <w:rsid w:val="1AF03F37"/>
    <w:rsid w:val="1B003094"/>
    <w:rsid w:val="1B08084B"/>
    <w:rsid w:val="1B0A06F7"/>
    <w:rsid w:val="1B0E2C04"/>
    <w:rsid w:val="1B0E5E17"/>
    <w:rsid w:val="1B0F16A6"/>
    <w:rsid w:val="1B180C67"/>
    <w:rsid w:val="1B1E0B74"/>
    <w:rsid w:val="1B210BE3"/>
    <w:rsid w:val="1B257D24"/>
    <w:rsid w:val="1B2A0669"/>
    <w:rsid w:val="1B437EE3"/>
    <w:rsid w:val="1B455BA5"/>
    <w:rsid w:val="1B712265"/>
    <w:rsid w:val="1B787849"/>
    <w:rsid w:val="1B843E11"/>
    <w:rsid w:val="1B9121C8"/>
    <w:rsid w:val="1B975BB6"/>
    <w:rsid w:val="1B993657"/>
    <w:rsid w:val="1BA6396D"/>
    <w:rsid w:val="1BA8763C"/>
    <w:rsid w:val="1BB14F4F"/>
    <w:rsid w:val="1BB311B0"/>
    <w:rsid w:val="1BBA38F4"/>
    <w:rsid w:val="1BC83A80"/>
    <w:rsid w:val="1BE644B4"/>
    <w:rsid w:val="1BFC5762"/>
    <w:rsid w:val="1C0151B3"/>
    <w:rsid w:val="1C0D1C81"/>
    <w:rsid w:val="1C135C12"/>
    <w:rsid w:val="1C21447A"/>
    <w:rsid w:val="1C3136E4"/>
    <w:rsid w:val="1C322ED3"/>
    <w:rsid w:val="1C354EFE"/>
    <w:rsid w:val="1C360A39"/>
    <w:rsid w:val="1C3D5CE4"/>
    <w:rsid w:val="1C455D08"/>
    <w:rsid w:val="1C462064"/>
    <w:rsid w:val="1C510473"/>
    <w:rsid w:val="1C5F3E53"/>
    <w:rsid w:val="1C611C1B"/>
    <w:rsid w:val="1C776F57"/>
    <w:rsid w:val="1C7A613A"/>
    <w:rsid w:val="1C7D4709"/>
    <w:rsid w:val="1C8F5076"/>
    <w:rsid w:val="1CA54394"/>
    <w:rsid w:val="1CB36C54"/>
    <w:rsid w:val="1CC465BE"/>
    <w:rsid w:val="1CCD0107"/>
    <w:rsid w:val="1CD06117"/>
    <w:rsid w:val="1CE7411B"/>
    <w:rsid w:val="1CF435EC"/>
    <w:rsid w:val="1D0A589E"/>
    <w:rsid w:val="1D150F45"/>
    <w:rsid w:val="1D1C174C"/>
    <w:rsid w:val="1D2A6E67"/>
    <w:rsid w:val="1D3E03C9"/>
    <w:rsid w:val="1D491B94"/>
    <w:rsid w:val="1D4E6EEC"/>
    <w:rsid w:val="1D51443D"/>
    <w:rsid w:val="1D6574D7"/>
    <w:rsid w:val="1D7476F2"/>
    <w:rsid w:val="1D856D9C"/>
    <w:rsid w:val="1D894AA8"/>
    <w:rsid w:val="1D8D40D5"/>
    <w:rsid w:val="1D8D439F"/>
    <w:rsid w:val="1D961225"/>
    <w:rsid w:val="1D9A7A89"/>
    <w:rsid w:val="1D9D6D6D"/>
    <w:rsid w:val="1DA27246"/>
    <w:rsid w:val="1DA54FB8"/>
    <w:rsid w:val="1DC844B7"/>
    <w:rsid w:val="1DD20637"/>
    <w:rsid w:val="1DDB639D"/>
    <w:rsid w:val="1DE03C77"/>
    <w:rsid w:val="1DE50DD8"/>
    <w:rsid w:val="1E092082"/>
    <w:rsid w:val="1E2208D0"/>
    <w:rsid w:val="1E515009"/>
    <w:rsid w:val="1E555362"/>
    <w:rsid w:val="1E5E40D9"/>
    <w:rsid w:val="1E677DAD"/>
    <w:rsid w:val="1E95089C"/>
    <w:rsid w:val="1EC57A0D"/>
    <w:rsid w:val="1EC73283"/>
    <w:rsid w:val="1EEE1707"/>
    <w:rsid w:val="1EFD6CC8"/>
    <w:rsid w:val="1EFF7389"/>
    <w:rsid w:val="1F0A4A66"/>
    <w:rsid w:val="1F0D52BB"/>
    <w:rsid w:val="1F0F11A4"/>
    <w:rsid w:val="1F1049A4"/>
    <w:rsid w:val="1F115435"/>
    <w:rsid w:val="1F1508BB"/>
    <w:rsid w:val="1F1538CE"/>
    <w:rsid w:val="1F3A36E3"/>
    <w:rsid w:val="1F456E4D"/>
    <w:rsid w:val="1F60445E"/>
    <w:rsid w:val="1F6D420E"/>
    <w:rsid w:val="1F771D0E"/>
    <w:rsid w:val="1F832AB0"/>
    <w:rsid w:val="1F961785"/>
    <w:rsid w:val="1FA62378"/>
    <w:rsid w:val="1FA7774A"/>
    <w:rsid w:val="1FB4166E"/>
    <w:rsid w:val="1FB41766"/>
    <w:rsid w:val="1FBB5039"/>
    <w:rsid w:val="1FC03C40"/>
    <w:rsid w:val="1FC17574"/>
    <w:rsid w:val="1FC43D4E"/>
    <w:rsid w:val="1FCB29FD"/>
    <w:rsid w:val="1FD45CB5"/>
    <w:rsid w:val="1FE64DEA"/>
    <w:rsid w:val="1FF23C94"/>
    <w:rsid w:val="20064A98"/>
    <w:rsid w:val="20131219"/>
    <w:rsid w:val="203B038E"/>
    <w:rsid w:val="20562218"/>
    <w:rsid w:val="205C10AD"/>
    <w:rsid w:val="205D05AA"/>
    <w:rsid w:val="207F2A53"/>
    <w:rsid w:val="20936EBC"/>
    <w:rsid w:val="20A27E2D"/>
    <w:rsid w:val="20B0750C"/>
    <w:rsid w:val="20B31722"/>
    <w:rsid w:val="20B338DB"/>
    <w:rsid w:val="20B63B3C"/>
    <w:rsid w:val="20C04F78"/>
    <w:rsid w:val="20C20D35"/>
    <w:rsid w:val="20CA414D"/>
    <w:rsid w:val="20CB7B48"/>
    <w:rsid w:val="20D92335"/>
    <w:rsid w:val="20DD34CB"/>
    <w:rsid w:val="21101118"/>
    <w:rsid w:val="211B3AF6"/>
    <w:rsid w:val="211E0436"/>
    <w:rsid w:val="212B3C35"/>
    <w:rsid w:val="214320D4"/>
    <w:rsid w:val="214474BD"/>
    <w:rsid w:val="21461A07"/>
    <w:rsid w:val="2147605E"/>
    <w:rsid w:val="214F4CFA"/>
    <w:rsid w:val="21527165"/>
    <w:rsid w:val="216143FD"/>
    <w:rsid w:val="2165331F"/>
    <w:rsid w:val="21762DA9"/>
    <w:rsid w:val="218A2145"/>
    <w:rsid w:val="218E72EE"/>
    <w:rsid w:val="21933E41"/>
    <w:rsid w:val="21AA3B62"/>
    <w:rsid w:val="21AB54FF"/>
    <w:rsid w:val="21B4528C"/>
    <w:rsid w:val="21BC1E8F"/>
    <w:rsid w:val="21C5201F"/>
    <w:rsid w:val="21CF7D91"/>
    <w:rsid w:val="21D77032"/>
    <w:rsid w:val="21DB0DBE"/>
    <w:rsid w:val="21E33BF1"/>
    <w:rsid w:val="21E76554"/>
    <w:rsid w:val="21EB332F"/>
    <w:rsid w:val="21FB5F51"/>
    <w:rsid w:val="22051692"/>
    <w:rsid w:val="22153347"/>
    <w:rsid w:val="22185CE7"/>
    <w:rsid w:val="223D6A2C"/>
    <w:rsid w:val="2253654D"/>
    <w:rsid w:val="225C454C"/>
    <w:rsid w:val="225D65B8"/>
    <w:rsid w:val="22617514"/>
    <w:rsid w:val="226E17C6"/>
    <w:rsid w:val="22786EA3"/>
    <w:rsid w:val="22902E44"/>
    <w:rsid w:val="22935049"/>
    <w:rsid w:val="229872F1"/>
    <w:rsid w:val="229C3F1C"/>
    <w:rsid w:val="22BC0F5B"/>
    <w:rsid w:val="22C44AB4"/>
    <w:rsid w:val="22DC7787"/>
    <w:rsid w:val="22DE4448"/>
    <w:rsid w:val="22E51F8D"/>
    <w:rsid w:val="22E805A0"/>
    <w:rsid w:val="22FF7E85"/>
    <w:rsid w:val="2314698E"/>
    <w:rsid w:val="2356070F"/>
    <w:rsid w:val="23631DBA"/>
    <w:rsid w:val="236F25B8"/>
    <w:rsid w:val="2379084C"/>
    <w:rsid w:val="238C4DDD"/>
    <w:rsid w:val="238C6186"/>
    <w:rsid w:val="23A014B0"/>
    <w:rsid w:val="23A47845"/>
    <w:rsid w:val="23AE109F"/>
    <w:rsid w:val="23C30975"/>
    <w:rsid w:val="23CA3BAA"/>
    <w:rsid w:val="23CE747A"/>
    <w:rsid w:val="23D36BD2"/>
    <w:rsid w:val="23E04E4F"/>
    <w:rsid w:val="23E44293"/>
    <w:rsid w:val="23E64AE0"/>
    <w:rsid w:val="23FF1007"/>
    <w:rsid w:val="2401423F"/>
    <w:rsid w:val="240C4375"/>
    <w:rsid w:val="241658A2"/>
    <w:rsid w:val="241C2BF7"/>
    <w:rsid w:val="24291D03"/>
    <w:rsid w:val="243D4083"/>
    <w:rsid w:val="244034DE"/>
    <w:rsid w:val="24451337"/>
    <w:rsid w:val="24577A75"/>
    <w:rsid w:val="245B34F6"/>
    <w:rsid w:val="24620083"/>
    <w:rsid w:val="24820115"/>
    <w:rsid w:val="248902DE"/>
    <w:rsid w:val="2498650B"/>
    <w:rsid w:val="24B07F06"/>
    <w:rsid w:val="24B75E6F"/>
    <w:rsid w:val="24BC7A07"/>
    <w:rsid w:val="24C66BD0"/>
    <w:rsid w:val="24D82835"/>
    <w:rsid w:val="24D93E01"/>
    <w:rsid w:val="24E552F0"/>
    <w:rsid w:val="24EB75BC"/>
    <w:rsid w:val="24FD1773"/>
    <w:rsid w:val="25070B06"/>
    <w:rsid w:val="25113754"/>
    <w:rsid w:val="251C159A"/>
    <w:rsid w:val="251F4663"/>
    <w:rsid w:val="252126FB"/>
    <w:rsid w:val="252A1E1F"/>
    <w:rsid w:val="252A2D8C"/>
    <w:rsid w:val="25387F85"/>
    <w:rsid w:val="255A30E9"/>
    <w:rsid w:val="25692099"/>
    <w:rsid w:val="256A0690"/>
    <w:rsid w:val="256B2D37"/>
    <w:rsid w:val="256F1EC2"/>
    <w:rsid w:val="257C17CC"/>
    <w:rsid w:val="257D41DA"/>
    <w:rsid w:val="25827D16"/>
    <w:rsid w:val="25877597"/>
    <w:rsid w:val="258B3C17"/>
    <w:rsid w:val="25912677"/>
    <w:rsid w:val="25A11AF4"/>
    <w:rsid w:val="25A969A3"/>
    <w:rsid w:val="25AB006F"/>
    <w:rsid w:val="25B95F07"/>
    <w:rsid w:val="25C0449B"/>
    <w:rsid w:val="25E0223D"/>
    <w:rsid w:val="25E464B9"/>
    <w:rsid w:val="25EC4C5B"/>
    <w:rsid w:val="26145D60"/>
    <w:rsid w:val="263031EA"/>
    <w:rsid w:val="263D58A8"/>
    <w:rsid w:val="26437994"/>
    <w:rsid w:val="265148F8"/>
    <w:rsid w:val="266D2DD1"/>
    <w:rsid w:val="266F160E"/>
    <w:rsid w:val="2674501E"/>
    <w:rsid w:val="26791BB0"/>
    <w:rsid w:val="268000CE"/>
    <w:rsid w:val="26803734"/>
    <w:rsid w:val="26970B77"/>
    <w:rsid w:val="269C0D7C"/>
    <w:rsid w:val="26BB6B57"/>
    <w:rsid w:val="26C3469C"/>
    <w:rsid w:val="26C43D5A"/>
    <w:rsid w:val="26D85869"/>
    <w:rsid w:val="27025A5F"/>
    <w:rsid w:val="27075708"/>
    <w:rsid w:val="270A235C"/>
    <w:rsid w:val="270A6B40"/>
    <w:rsid w:val="27222317"/>
    <w:rsid w:val="27413B09"/>
    <w:rsid w:val="274853EE"/>
    <w:rsid w:val="27531AAD"/>
    <w:rsid w:val="27585023"/>
    <w:rsid w:val="2766222D"/>
    <w:rsid w:val="2796179C"/>
    <w:rsid w:val="27C33438"/>
    <w:rsid w:val="27D406B1"/>
    <w:rsid w:val="27E633AC"/>
    <w:rsid w:val="27F45696"/>
    <w:rsid w:val="27F55839"/>
    <w:rsid w:val="280B6A4A"/>
    <w:rsid w:val="280F3FD5"/>
    <w:rsid w:val="28107EBB"/>
    <w:rsid w:val="28152FA1"/>
    <w:rsid w:val="281778DD"/>
    <w:rsid w:val="281F6768"/>
    <w:rsid w:val="282816D2"/>
    <w:rsid w:val="28312121"/>
    <w:rsid w:val="283B4E81"/>
    <w:rsid w:val="283F3DEB"/>
    <w:rsid w:val="28445C86"/>
    <w:rsid w:val="285263DD"/>
    <w:rsid w:val="285A4ED4"/>
    <w:rsid w:val="285E40B4"/>
    <w:rsid w:val="2864195C"/>
    <w:rsid w:val="287B4CD4"/>
    <w:rsid w:val="287E2BE0"/>
    <w:rsid w:val="288D4E96"/>
    <w:rsid w:val="289F2F9F"/>
    <w:rsid w:val="28BD7C4E"/>
    <w:rsid w:val="28C31869"/>
    <w:rsid w:val="28C92BD0"/>
    <w:rsid w:val="28D36324"/>
    <w:rsid w:val="28D66D8A"/>
    <w:rsid w:val="28DA2607"/>
    <w:rsid w:val="28DE30B8"/>
    <w:rsid w:val="28E111FF"/>
    <w:rsid w:val="28E42AF8"/>
    <w:rsid w:val="28E7441F"/>
    <w:rsid w:val="2912087D"/>
    <w:rsid w:val="291C0194"/>
    <w:rsid w:val="292D43FB"/>
    <w:rsid w:val="29343D44"/>
    <w:rsid w:val="293D6DDE"/>
    <w:rsid w:val="294B4DA6"/>
    <w:rsid w:val="29510763"/>
    <w:rsid w:val="29567309"/>
    <w:rsid w:val="295A5746"/>
    <w:rsid w:val="295B12A0"/>
    <w:rsid w:val="29813970"/>
    <w:rsid w:val="29A62150"/>
    <w:rsid w:val="29A80FD0"/>
    <w:rsid w:val="29A93970"/>
    <w:rsid w:val="29BC432A"/>
    <w:rsid w:val="29BE2753"/>
    <w:rsid w:val="29D6074E"/>
    <w:rsid w:val="29F74460"/>
    <w:rsid w:val="29FB00F2"/>
    <w:rsid w:val="29FD3E8C"/>
    <w:rsid w:val="2A250C39"/>
    <w:rsid w:val="2A2D2AC8"/>
    <w:rsid w:val="2A42122F"/>
    <w:rsid w:val="2A4975B1"/>
    <w:rsid w:val="2A4E593F"/>
    <w:rsid w:val="2A510D6F"/>
    <w:rsid w:val="2A523EAE"/>
    <w:rsid w:val="2A546919"/>
    <w:rsid w:val="2A5630FA"/>
    <w:rsid w:val="2A706DAA"/>
    <w:rsid w:val="2A881208"/>
    <w:rsid w:val="2AC35BCA"/>
    <w:rsid w:val="2AC63ADB"/>
    <w:rsid w:val="2AC921BE"/>
    <w:rsid w:val="2ACC026D"/>
    <w:rsid w:val="2ADB1D43"/>
    <w:rsid w:val="2ADE3CD6"/>
    <w:rsid w:val="2AE371ED"/>
    <w:rsid w:val="2AF7301A"/>
    <w:rsid w:val="2B1365AC"/>
    <w:rsid w:val="2B1F55F4"/>
    <w:rsid w:val="2B3558D3"/>
    <w:rsid w:val="2B3A0A63"/>
    <w:rsid w:val="2B3E03C0"/>
    <w:rsid w:val="2B4730B7"/>
    <w:rsid w:val="2B52653E"/>
    <w:rsid w:val="2B70587C"/>
    <w:rsid w:val="2B7A523E"/>
    <w:rsid w:val="2B934D5C"/>
    <w:rsid w:val="2B9F3B87"/>
    <w:rsid w:val="2BB81CBE"/>
    <w:rsid w:val="2BCB7623"/>
    <w:rsid w:val="2BD0328B"/>
    <w:rsid w:val="2BE97456"/>
    <w:rsid w:val="2BEB3E7B"/>
    <w:rsid w:val="2BF54942"/>
    <w:rsid w:val="2BFB05B5"/>
    <w:rsid w:val="2BFB3568"/>
    <w:rsid w:val="2BFE5837"/>
    <w:rsid w:val="2C010120"/>
    <w:rsid w:val="2C0A1F04"/>
    <w:rsid w:val="2C0E3669"/>
    <w:rsid w:val="2C15556C"/>
    <w:rsid w:val="2C275A29"/>
    <w:rsid w:val="2C2E30FB"/>
    <w:rsid w:val="2C4B5D56"/>
    <w:rsid w:val="2C5F7839"/>
    <w:rsid w:val="2C621A14"/>
    <w:rsid w:val="2C860F9D"/>
    <w:rsid w:val="2C8A71DE"/>
    <w:rsid w:val="2C941740"/>
    <w:rsid w:val="2C97661F"/>
    <w:rsid w:val="2CA536F3"/>
    <w:rsid w:val="2CB900D6"/>
    <w:rsid w:val="2CB93D1F"/>
    <w:rsid w:val="2CBA7862"/>
    <w:rsid w:val="2CCA4A00"/>
    <w:rsid w:val="2D060834"/>
    <w:rsid w:val="2D194F1E"/>
    <w:rsid w:val="2D1E5B47"/>
    <w:rsid w:val="2D23778C"/>
    <w:rsid w:val="2D301C0A"/>
    <w:rsid w:val="2D760019"/>
    <w:rsid w:val="2D7C0163"/>
    <w:rsid w:val="2D8C0434"/>
    <w:rsid w:val="2D943D2E"/>
    <w:rsid w:val="2D9945A9"/>
    <w:rsid w:val="2DA824A3"/>
    <w:rsid w:val="2DAC0683"/>
    <w:rsid w:val="2DDC4105"/>
    <w:rsid w:val="2DE47400"/>
    <w:rsid w:val="2DEC16B9"/>
    <w:rsid w:val="2E0B4931"/>
    <w:rsid w:val="2E0D5AEC"/>
    <w:rsid w:val="2E2D1FE5"/>
    <w:rsid w:val="2E2D2431"/>
    <w:rsid w:val="2E3906CD"/>
    <w:rsid w:val="2E434833"/>
    <w:rsid w:val="2E4C5677"/>
    <w:rsid w:val="2E574378"/>
    <w:rsid w:val="2E582C89"/>
    <w:rsid w:val="2E596F50"/>
    <w:rsid w:val="2E5B1623"/>
    <w:rsid w:val="2E6E3870"/>
    <w:rsid w:val="2E7210C2"/>
    <w:rsid w:val="2E77581E"/>
    <w:rsid w:val="2E8325FE"/>
    <w:rsid w:val="2E931B2F"/>
    <w:rsid w:val="2E9D7BF8"/>
    <w:rsid w:val="2EA22929"/>
    <w:rsid w:val="2EB844C3"/>
    <w:rsid w:val="2EC12FFF"/>
    <w:rsid w:val="2ECA19C2"/>
    <w:rsid w:val="2EDD6C7B"/>
    <w:rsid w:val="2EE2487C"/>
    <w:rsid w:val="2EE66015"/>
    <w:rsid w:val="2EE80302"/>
    <w:rsid w:val="2F0C08E4"/>
    <w:rsid w:val="2F156F1C"/>
    <w:rsid w:val="2F181FCF"/>
    <w:rsid w:val="2F2F22E4"/>
    <w:rsid w:val="2F313401"/>
    <w:rsid w:val="2F440D5A"/>
    <w:rsid w:val="2F4C6850"/>
    <w:rsid w:val="2F4D3512"/>
    <w:rsid w:val="2F51638A"/>
    <w:rsid w:val="2F58678C"/>
    <w:rsid w:val="2F6D21AB"/>
    <w:rsid w:val="2F7101E3"/>
    <w:rsid w:val="2F880528"/>
    <w:rsid w:val="2F8D2C5A"/>
    <w:rsid w:val="2F95570A"/>
    <w:rsid w:val="2F9B1D20"/>
    <w:rsid w:val="2F9F46D9"/>
    <w:rsid w:val="2FBA0E55"/>
    <w:rsid w:val="2FC62F5A"/>
    <w:rsid w:val="2FCA7460"/>
    <w:rsid w:val="2FCC7502"/>
    <w:rsid w:val="2FDE0990"/>
    <w:rsid w:val="2FEC3543"/>
    <w:rsid w:val="301D3FC4"/>
    <w:rsid w:val="302B22E5"/>
    <w:rsid w:val="302E31AC"/>
    <w:rsid w:val="303A70B6"/>
    <w:rsid w:val="30403A24"/>
    <w:rsid w:val="30435048"/>
    <w:rsid w:val="3047156C"/>
    <w:rsid w:val="304B5D06"/>
    <w:rsid w:val="305426F8"/>
    <w:rsid w:val="30610D1E"/>
    <w:rsid w:val="30643FE2"/>
    <w:rsid w:val="306815E7"/>
    <w:rsid w:val="306C026C"/>
    <w:rsid w:val="30734E56"/>
    <w:rsid w:val="30743967"/>
    <w:rsid w:val="308769EF"/>
    <w:rsid w:val="309A34CB"/>
    <w:rsid w:val="30A15E31"/>
    <w:rsid w:val="30A2344B"/>
    <w:rsid w:val="30A61E94"/>
    <w:rsid w:val="30A61FD8"/>
    <w:rsid w:val="30AA54CE"/>
    <w:rsid w:val="30C74CD3"/>
    <w:rsid w:val="30DF3243"/>
    <w:rsid w:val="30E55A85"/>
    <w:rsid w:val="30FB452F"/>
    <w:rsid w:val="30FC19D5"/>
    <w:rsid w:val="310C7898"/>
    <w:rsid w:val="313F6C63"/>
    <w:rsid w:val="314107DD"/>
    <w:rsid w:val="3144103B"/>
    <w:rsid w:val="314D5C28"/>
    <w:rsid w:val="31523C69"/>
    <w:rsid w:val="315F42AA"/>
    <w:rsid w:val="31625676"/>
    <w:rsid w:val="316530B4"/>
    <w:rsid w:val="317B549E"/>
    <w:rsid w:val="317F0455"/>
    <w:rsid w:val="31802A11"/>
    <w:rsid w:val="31866308"/>
    <w:rsid w:val="31940D8E"/>
    <w:rsid w:val="31964E9B"/>
    <w:rsid w:val="319666B4"/>
    <w:rsid w:val="319B7109"/>
    <w:rsid w:val="319C7283"/>
    <w:rsid w:val="319F0B36"/>
    <w:rsid w:val="31AF163B"/>
    <w:rsid w:val="31B7371A"/>
    <w:rsid w:val="31BF321E"/>
    <w:rsid w:val="31C40220"/>
    <w:rsid w:val="31C668D1"/>
    <w:rsid w:val="31CD66C6"/>
    <w:rsid w:val="32081380"/>
    <w:rsid w:val="3208555B"/>
    <w:rsid w:val="320E0B3C"/>
    <w:rsid w:val="32166CDC"/>
    <w:rsid w:val="321C12CB"/>
    <w:rsid w:val="32256921"/>
    <w:rsid w:val="322F6B84"/>
    <w:rsid w:val="32467EB3"/>
    <w:rsid w:val="325B0525"/>
    <w:rsid w:val="325B5293"/>
    <w:rsid w:val="325C46A8"/>
    <w:rsid w:val="3267138A"/>
    <w:rsid w:val="3285657F"/>
    <w:rsid w:val="328A2E36"/>
    <w:rsid w:val="328D48F3"/>
    <w:rsid w:val="32966A48"/>
    <w:rsid w:val="32A62738"/>
    <w:rsid w:val="32AA562B"/>
    <w:rsid w:val="32AE25BD"/>
    <w:rsid w:val="32B157C1"/>
    <w:rsid w:val="32BB0D95"/>
    <w:rsid w:val="32BD37BB"/>
    <w:rsid w:val="32BD42C9"/>
    <w:rsid w:val="32C40ADC"/>
    <w:rsid w:val="32C41A84"/>
    <w:rsid w:val="32CD5A36"/>
    <w:rsid w:val="32DC735D"/>
    <w:rsid w:val="32DD7F96"/>
    <w:rsid w:val="32DF206B"/>
    <w:rsid w:val="32F14784"/>
    <w:rsid w:val="33030B75"/>
    <w:rsid w:val="330312C8"/>
    <w:rsid w:val="33054085"/>
    <w:rsid w:val="33122FC4"/>
    <w:rsid w:val="33285682"/>
    <w:rsid w:val="333A3563"/>
    <w:rsid w:val="33486213"/>
    <w:rsid w:val="334C3D29"/>
    <w:rsid w:val="33744358"/>
    <w:rsid w:val="337645CA"/>
    <w:rsid w:val="337C16B9"/>
    <w:rsid w:val="338928EF"/>
    <w:rsid w:val="33912EAB"/>
    <w:rsid w:val="339F0EA2"/>
    <w:rsid w:val="33AC5534"/>
    <w:rsid w:val="33AE1BA4"/>
    <w:rsid w:val="33B95F0D"/>
    <w:rsid w:val="33C04F11"/>
    <w:rsid w:val="33C23291"/>
    <w:rsid w:val="33CB69BB"/>
    <w:rsid w:val="33DB5C54"/>
    <w:rsid w:val="33ED24C6"/>
    <w:rsid w:val="33F34E17"/>
    <w:rsid w:val="33F8698C"/>
    <w:rsid w:val="33FA6CF8"/>
    <w:rsid w:val="340E7EFA"/>
    <w:rsid w:val="34204B70"/>
    <w:rsid w:val="343832EE"/>
    <w:rsid w:val="34391308"/>
    <w:rsid w:val="344D7B56"/>
    <w:rsid w:val="345334F7"/>
    <w:rsid w:val="345D5A5C"/>
    <w:rsid w:val="34630A5F"/>
    <w:rsid w:val="34654EF7"/>
    <w:rsid w:val="3465537E"/>
    <w:rsid w:val="347E0990"/>
    <w:rsid w:val="34863BD7"/>
    <w:rsid w:val="34AA31AE"/>
    <w:rsid w:val="34AC37E2"/>
    <w:rsid w:val="34C06CD4"/>
    <w:rsid w:val="34C120E1"/>
    <w:rsid w:val="34C6098D"/>
    <w:rsid w:val="34D40F48"/>
    <w:rsid w:val="34F13DB8"/>
    <w:rsid w:val="34F31251"/>
    <w:rsid w:val="34FA0991"/>
    <w:rsid w:val="35180007"/>
    <w:rsid w:val="35235769"/>
    <w:rsid w:val="35267678"/>
    <w:rsid w:val="352B7AFB"/>
    <w:rsid w:val="353E5FB3"/>
    <w:rsid w:val="355001DD"/>
    <w:rsid w:val="355346E2"/>
    <w:rsid w:val="35581732"/>
    <w:rsid w:val="35756C24"/>
    <w:rsid w:val="358A359C"/>
    <w:rsid w:val="35B531C0"/>
    <w:rsid w:val="35B63977"/>
    <w:rsid w:val="35B93662"/>
    <w:rsid w:val="35BF6135"/>
    <w:rsid w:val="35C2635E"/>
    <w:rsid w:val="35C359EE"/>
    <w:rsid w:val="35E62372"/>
    <w:rsid w:val="35EC1473"/>
    <w:rsid w:val="360052D6"/>
    <w:rsid w:val="36111C94"/>
    <w:rsid w:val="361637D1"/>
    <w:rsid w:val="361A17AB"/>
    <w:rsid w:val="362B2B9B"/>
    <w:rsid w:val="3633609B"/>
    <w:rsid w:val="36433CA6"/>
    <w:rsid w:val="364B342D"/>
    <w:rsid w:val="364E1F6F"/>
    <w:rsid w:val="365A3BC6"/>
    <w:rsid w:val="365F591B"/>
    <w:rsid w:val="3668184B"/>
    <w:rsid w:val="366871DB"/>
    <w:rsid w:val="367071B5"/>
    <w:rsid w:val="36803C37"/>
    <w:rsid w:val="3699758F"/>
    <w:rsid w:val="36997D5D"/>
    <w:rsid w:val="36B038DD"/>
    <w:rsid w:val="36B9595B"/>
    <w:rsid w:val="36C971BB"/>
    <w:rsid w:val="36CA5603"/>
    <w:rsid w:val="36D646B8"/>
    <w:rsid w:val="36F77D7C"/>
    <w:rsid w:val="37081BAF"/>
    <w:rsid w:val="370D7278"/>
    <w:rsid w:val="37205D7E"/>
    <w:rsid w:val="372D2925"/>
    <w:rsid w:val="374131BA"/>
    <w:rsid w:val="37427239"/>
    <w:rsid w:val="376B5FCF"/>
    <w:rsid w:val="37732004"/>
    <w:rsid w:val="378C48B1"/>
    <w:rsid w:val="378D1E28"/>
    <w:rsid w:val="378F2E52"/>
    <w:rsid w:val="379253EA"/>
    <w:rsid w:val="37981299"/>
    <w:rsid w:val="37990102"/>
    <w:rsid w:val="37AC32C9"/>
    <w:rsid w:val="37BF599F"/>
    <w:rsid w:val="37C11EC3"/>
    <w:rsid w:val="37C34FD3"/>
    <w:rsid w:val="37D15F0E"/>
    <w:rsid w:val="37DB44D3"/>
    <w:rsid w:val="37DF3D07"/>
    <w:rsid w:val="37FA19E4"/>
    <w:rsid w:val="37FC571C"/>
    <w:rsid w:val="37FE1E2A"/>
    <w:rsid w:val="38134FF3"/>
    <w:rsid w:val="38146025"/>
    <w:rsid w:val="381C38B1"/>
    <w:rsid w:val="382E0457"/>
    <w:rsid w:val="38335206"/>
    <w:rsid w:val="38364976"/>
    <w:rsid w:val="38484CFC"/>
    <w:rsid w:val="38497161"/>
    <w:rsid w:val="384E34B9"/>
    <w:rsid w:val="38531B72"/>
    <w:rsid w:val="385A665F"/>
    <w:rsid w:val="385E4BAF"/>
    <w:rsid w:val="388607FD"/>
    <w:rsid w:val="38943EA2"/>
    <w:rsid w:val="38A63CF3"/>
    <w:rsid w:val="38B75EE8"/>
    <w:rsid w:val="38BC7E5F"/>
    <w:rsid w:val="38BE0733"/>
    <w:rsid w:val="38C944FE"/>
    <w:rsid w:val="38CE708F"/>
    <w:rsid w:val="38DA5BEC"/>
    <w:rsid w:val="38DB009E"/>
    <w:rsid w:val="38DD76C1"/>
    <w:rsid w:val="38DE6801"/>
    <w:rsid w:val="38E5265D"/>
    <w:rsid w:val="38E862B0"/>
    <w:rsid w:val="38E91AAC"/>
    <w:rsid w:val="38E97C71"/>
    <w:rsid w:val="391C27D4"/>
    <w:rsid w:val="39213CEF"/>
    <w:rsid w:val="393412EA"/>
    <w:rsid w:val="394A2340"/>
    <w:rsid w:val="39514C1D"/>
    <w:rsid w:val="396C4667"/>
    <w:rsid w:val="3976184F"/>
    <w:rsid w:val="397A36EC"/>
    <w:rsid w:val="397E0AEC"/>
    <w:rsid w:val="39CD74E1"/>
    <w:rsid w:val="39D30570"/>
    <w:rsid w:val="39D404DE"/>
    <w:rsid w:val="39DA03E7"/>
    <w:rsid w:val="39EE4A7C"/>
    <w:rsid w:val="39F1262A"/>
    <w:rsid w:val="39F20C4F"/>
    <w:rsid w:val="39F25112"/>
    <w:rsid w:val="39F3037F"/>
    <w:rsid w:val="3A076E1E"/>
    <w:rsid w:val="3A0778E0"/>
    <w:rsid w:val="3A094FDA"/>
    <w:rsid w:val="3A0D4137"/>
    <w:rsid w:val="3A1C7289"/>
    <w:rsid w:val="3A1E6D1D"/>
    <w:rsid w:val="3A2764D4"/>
    <w:rsid w:val="3A357651"/>
    <w:rsid w:val="3A5271D8"/>
    <w:rsid w:val="3A6979D1"/>
    <w:rsid w:val="3A8461B5"/>
    <w:rsid w:val="3A8C09CF"/>
    <w:rsid w:val="3A922348"/>
    <w:rsid w:val="3A966DD1"/>
    <w:rsid w:val="3A9C0BAE"/>
    <w:rsid w:val="3AB8726B"/>
    <w:rsid w:val="3AC42BD6"/>
    <w:rsid w:val="3ACE2B1E"/>
    <w:rsid w:val="3ADC469C"/>
    <w:rsid w:val="3AE33AC6"/>
    <w:rsid w:val="3B022659"/>
    <w:rsid w:val="3B1166A4"/>
    <w:rsid w:val="3B2333C4"/>
    <w:rsid w:val="3B245B62"/>
    <w:rsid w:val="3B333465"/>
    <w:rsid w:val="3B342784"/>
    <w:rsid w:val="3B417B69"/>
    <w:rsid w:val="3B4A311D"/>
    <w:rsid w:val="3B627409"/>
    <w:rsid w:val="3B717942"/>
    <w:rsid w:val="3B743189"/>
    <w:rsid w:val="3B8E6E3B"/>
    <w:rsid w:val="3B9222B9"/>
    <w:rsid w:val="3B957E14"/>
    <w:rsid w:val="3BAA1794"/>
    <w:rsid w:val="3BAA62F3"/>
    <w:rsid w:val="3BB22D72"/>
    <w:rsid w:val="3BCA1852"/>
    <w:rsid w:val="3BD40EB4"/>
    <w:rsid w:val="3BED06AA"/>
    <w:rsid w:val="3BF73D22"/>
    <w:rsid w:val="3C082819"/>
    <w:rsid w:val="3C0F0ED6"/>
    <w:rsid w:val="3C2C36A0"/>
    <w:rsid w:val="3C3405BC"/>
    <w:rsid w:val="3C591F4A"/>
    <w:rsid w:val="3C607AC7"/>
    <w:rsid w:val="3C675DEF"/>
    <w:rsid w:val="3C766884"/>
    <w:rsid w:val="3C7B5F10"/>
    <w:rsid w:val="3C7F6C85"/>
    <w:rsid w:val="3C98754F"/>
    <w:rsid w:val="3CA66896"/>
    <w:rsid w:val="3CAB6F01"/>
    <w:rsid w:val="3CC86BAF"/>
    <w:rsid w:val="3CCA4207"/>
    <w:rsid w:val="3CCA4980"/>
    <w:rsid w:val="3CD21C48"/>
    <w:rsid w:val="3CD67862"/>
    <w:rsid w:val="3CDB4CCA"/>
    <w:rsid w:val="3CEC61FC"/>
    <w:rsid w:val="3CED6C6B"/>
    <w:rsid w:val="3CF25E30"/>
    <w:rsid w:val="3CFB1232"/>
    <w:rsid w:val="3D0028C9"/>
    <w:rsid w:val="3D015EAD"/>
    <w:rsid w:val="3D192155"/>
    <w:rsid w:val="3D2A50AA"/>
    <w:rsid w:val="3D3960A3"/>
    <w:rsid w:val="3D3A11F1"/>
    <w:rsid w:val="3D4F2F5B"/>
    <w:rsid w:val="3D581806"/>
    <w:rsid w:val="3D6016E2"/>
    <w:rsid w:val="3D663169"/>
    <w:rsid w:val="3D744B98"/>
    <w:rsid w:val="3D7D4064"/>
    <w:rsid w:val="3D7F0ECA"/>
    <w:rsid w:val="3D9A6915"/>
    <w:rsid w:val="3DAC29B9"/>
    <w:rsid w:val="3DB52979"/>
    <w:rsid w:val="3DC13206"/>
    <w:rsid w:val="3DCD0641"/>
    <w:rsid w:val="3DD02813"/>
    <w:rsid w:val="3DD66730"/>
    <w:rsid w:val="3DD76EB2"/>
    <w:rsid w:val="3DDB3997"/>
    <w:rsid w:val="3DE325DA"/>
    <w:rsid w:val="3DED27FE"/>
    <w:rsid w:val="3DEE62CE"/>
    <w:rsid w:val="3DF32878"/>
    <w:rsid w:val="3E03492A"/>
    <w:rsid w:val="3E076B77"/>
    <w:rsid w:val="3E124082"/>
    <w:rsid w:val="3E14390E"/>
    <w:rsid w:val="3E1E2A4B"/>
    <w:rsid w:val="3E304062"/>
    <w:rsid w:val="3E3D4090"/>
    <w:rsid w:val="3E3E32FD"/>
    <w:rsid w:val="3E4F5FDA"/>
    <w:rsid w:val="3E553C44"/>
    <w:rsid w:val="3E5C48F6"/>
    <w:rsid w:val="3E65507E"/>
    <w:rsid w:val="3E890890"/>
    <w:rsid w:val="3E923464"/>
    <w:rsid w:val="3EB4267C"/>
    <w:rsid w:val="3EC64A43"/>
    <w:rsid w:val="3EFF2362"/>
    <w:rsid w:val="3F06732D"/>
    <w:rsid w:val="3F32206C"/>
    <w:rsid w:val="3F411435"/>
    <w:rsid w:val="3F4E5DBF"/>
    <w:rsid w:val="3F5711FD"/>
    <w:rsid w:val="3F625025"/>
    <w:rsid w:val="3F681D40"/>
    <w:rsid w:val="3F6D1BAF"/>
    <w:rsid w:val="3F763D88"/>
    <w:rsid w:val="3F772804"/>
    <w:rsid w:val="3F7774C6"/>
    <w:rsid w:val="3F8750CD"/>
    <w:rsid w:val="3F8969DE"/>
    <w:rsid w:val="3F995FC5"/>
    <w:rsid w:val="3FA81E42"/>
    <w:rsid w:val="3FA9762C"/>
    <w:rsid w:val="3FAF39C9"/>
    <w:rsid w:val="3FC359C1"/>
    <w:rsid w:val="3FCC7B01"/>
    <w:rsid w:val="3FD82806"/>
    <w:rsid w:val="3FEE650B"/>
    <w:rsid w:val="3FF056BF"/>
    <w:rsid w:val="3FF40E29"/>
    <w:rsid w:val="400571C8"/>
    <w:rsid w:val="401714C2"/>
    <w:rsid w:val="40182017"/>
    <w:rsid w:val="40186A0E"/>
    <w:rsid w:val="402041E5"/>
    <w:rsid w:val="404A68BF"/>
    <w:rsid w:val="40567B05"/>
    <w:rsid w:val="40591355"/>
    <w:rsid w:val="405D7563"/>
    <w:rsid w:val="4067346A"/>
    <w:rsid w:val="406A513F"/>
    <w:rsid w:val="407E0033"/>
    <w:rsid w:val="408624B6"/>
    <w:rsid w:val="408E01AB"/>
    <w:rsid w:val="40972A0C"/>
    <w:rsid w:val="40B45E7C"/>
    <w:rsid w:val="40B8161E"/>
    <w:rsid w:val="40BC38D1"/>
    <w:rsid w:val="40BF0977"/>
    <w:rsid w:val="40C06725"/>
    <w:rsid w:val="40C23A65"/>
    <w:rsid w:val="40D86AEF"/>
    <w:rsid w:val="40D90D9D"/>
    <w:rsid w:val="40DB5379"/>
    <w:rsid w:val="40E82041"/>
    <w:rsid w:val="40F4773A"/>
    <w:rsid w:val="40FD4FEC"/>
    <w:rsid w:val="40FE4C88"/>
    <w:rsid w:val="41255BA2"/>
    <w:rsid w:val="412D7F04"/>
    <w:rsid w:val="41316ED7"/>
    <w:rsid w:val="41355735"/>
    <w:rsid w:val="413839C2"/>
    <w:rsid w:val="41465412"/>
    <w:rsid w:val="41511C0C"/>
    <w:rsid w:val="41534DA1"/>
    <w:rsid w:val="4158524F"/>
    <w:rsid w:val="415B18EF"/>
    <w:rsid w:val="415E2456"/>
    <w:rsid w:val="418516B0"/>
    <w:rsid w:val="41891DB5"/>
    <w:rsid w:val="41972B6B"/>
    <w:rsid w:val="41A07B37"/>
    <w:rsid w:val="41AB53A0"/>
    <w:rsid w:val="420D7621"/>
    <w:rsid w:val="42310D5A"/>
    <w:rsid w:val="423E6950"/>
    <w:rsid w:val="424C6332"/>
    <w:rsid w:val="425C6EA9"/>
    <w:rsid w:val="42646E19"/>
    <w:rsid w:val="426F1AEF"/>
    <w:rsid w:val="42816FB7"/>
    <w:rsid w:val="42840C34"/>
    <w:rsid w:val="428E18CE"/>
    <w:rsid w:val="42930960"/>
    <w:rsid w:val="42AD112B"/>
    <w:rsid w:val="42B15873"/>
    <w:rsid w:val="42D178EF"/>
    <w:rsid w:val="42D437E8"/>
    <w:rsid w:val="42E43CDB"/>
    <w:rsid w:val="42E647AD"/>
    <w:rsid w:val="42E8316C"/>
    <w:rsid w:val="42F81DC4"/>
    <w:rsid w:val="42FD7207"/>
    <w:rsid w:val="43007243"/>
    <w:rsid w:val="430465FA"/>
    <w:rsid w:val="430A3439"/>
    <w:rsid w:val="430A3C5D"/>
    <w:rsid w:val="4318112E"/>
    <w:rsid w:val="43185F83"/>
    <w:rsid w:val="431E712F"/>
    <w:rsid w:val="4323746E"/>
    <w:rsid w:val="432A611C"/>
    <w:rsid w:val="43435154"/>
    <w:rsid w:val="43492C33"/>
    <w:rsid w:val="434A5A8C"/>
    <w:rsid w:val="4353380E"/>
    <w:rsid w:val="43556098"/>
    <w:rsid w:val="436177B4"/>
    <w:rsid w:val="43685409"/>
    <w:rsid w:val="436D26A2"/>
    <w:rsid w:val="437445FB"/>
    <w:rsid w:val="43855777"/>
    <w:rsid w:val="43903E8D"/>
    <w:rsid w:val="43992E4E"/>
    <w:rsid w:val="43A45712"/>
    <w:rsid w:val="43C504BB"/>
    <w:rsid w:val="43C64417"/>
    <w:rsid w:val="43D0605C"/>
    <w:rsid w:val="43DD1362"/>
    <w:rsid w:val="43EF3AE1"/>
    <w:rsid w:val="43FC6CB3"/>
    <w:rsid w:val="43FC7186"/>
    <w:rsid w:val="440861FD"/>
    <w:rsid w:val="440D0231"/>
    <w:rsid w:val="44105021"/>
    <w:rsid w:val="4425019B"/>
    <w:rsid w:val="442A5117"/>
    <w:rsid w:val="444142FE"/>
    <w:rsid w:val="4455162D"/>
    <w:rsid w:val="445A22A9"/>
    <w:rsid w:val="445C6332"/>
    <w:rsid w:val="44657EE1"/>
    <w:rsid w:val="44714799"/>
    <w:rsid w:val="4478425B"/>
    <w:rsid w:val="447A56A7"/>
    <w:rsid w:val="447C2350"/>
    <w:rsid w:val="44AB7A02"/>
    <w:rsid w:val="44AD462A"/>
    <w:rsid w:val="44AE3CE9"/>
    <w:rsid w:val="44B64D19"/>
    <w:rsid w:val="44BB6426"/>
    <w:rsid w:val="44BF4B1A"/>
    <w:rsid w:val="44BF696B"/>
    <w:rsid w:val="44D84A90"/>
    <w:rsid w:val="44D9338C"/>
    <w:rsid w:val="44E16340"/>
    <w:rsid w:val="44E45FBE"/>
    <w:rsid w:val="44E74BC3"/>
    <w:rsid w:val="44EC76AA"/>
    <w:rsid w:val="44FD04D0"/>
    <w:rsid w:val="452055A5"/>
    <w:rsid w:val="453C5139"/>
    <w:rsid w:val="45414F4F"/>
    <w:rsid w:val="454270BF"/>
    <w:rsid w:val="455962D6"/>
    <w:rsid w:val="455A4A63"/>
    <w:rsid w:val="457517AF"/>
    <w:rsid w:val="45774F0A"/>
    <w:rsid w:val="45937696"/>
    <w:rsid w:val="45960A56"/>
    <w:rsid w:val="45AB73A0"/>
    <w:rsid w:val="45AE7061"/>
    <w:rsid w:val="45B16CE4"/>
    <w:rsid w:val="45B20566"/>
    <w:rsid w:val="45C83BE3"/>
    <w:rsid w:val="45CB0764"/>
    <w:rsid w:val="45CE1D07"/>
    <w:rsid w:val="45D10E1D"/>
    <w:rsid w:val="45D87E94"/>
    <w:rsid w:val="45D93609"/>
    <w:rsid w:val="45E86923"/>
    <w:rsid w:val="45F52E9D"/>
    <w:rsid w:val="45F77188"/>
    <w:rsid w:val="46000CB1"/>
    <w:rsid w:val="46015625"/>
    <w:rsid w:val="460D7708"/>
    <w:rsid w:val="460E5CB8"/>
    <w:rsid w:val="461A1A17"/>
    <w:rsid w:val="46242A7E"/>
    <w:rsid w:val="462B7AAF"/>
    <w:rsid w:val="464F5D7D"/>
    <w:rsid w:val="4654257C"/>
    <w:rsid w:val="46552C6B"/>
    <w:rsid w:val="465E176C"/>
    <w:rsid w:val="46610172"/>
    <w:rsid w:val="46892077"/>
    <w:rsid w:val="468A6043"/>
    <w:rsid w:val="469D2945"/>
    <w:rsid w:val="46AD647A"/>
    <w:rsid w:val="46C92EFA"/>
    <w:rsid w:val="46CF4A8F"/>
    <w:rsid w:val="46D307ED"/>
    <w:rsid w:val="46D61CA1"/>
    <w:rsid w:val="46D80F7D"/>
    <w:rsid w:val="46DB280F"/>
    <w:rsid w:val="46E65FB2"/>
    <w:rsid w:val="46EE2D22"/>
    <w:rsid w:val="470D1766"/>
    <w:rsid w:val="4715162F"/>
    <w:rsid w:val="47355B08"/>
    <w:rsid w:val="473A69AB"/>
    <w:rsid w:val="4740431E"/>
    <w:rsid w:val="47486C7F"/>
    <w:rsid w:val="474963A3"/>
    <w:rsid w:val="474A702C"/>
    <w:rsid w:val="475A7800"/>
    <w:rsid w:val="475C7C67"/>
    <w:rsid w:val="47611F74"/>
    <w:rsid w:val="47A42392"/>
    <w:rsid w:val="47B56360"/>
    <w:rsid w:val="47C67D24"/>
    <w:rsid w:val="47CD412A"/>
    <w:rsid w:val="47DF0F2D"/>
    <w:rsid w:val="47F37CE2"/>
    <w:rsid w:val="47F91705"/>
    <w:rsid w:val="481A1C0A"/>
    <w:rsid w:val="481A69B3"/>
    <w:rsid w:val="48266DFD"/>
    <w:rsid w:val="482F13DA"/>
    <w:rsid w:val="483430E0"/>
    <w:rsid w:val="485B4AD9"/>
    <w:rsid w:val="485B4CA4"/>
    <w:rsid w:val="485C46CC"/>
    <w:rsid w:val="48652605"/>
    <w:rsid w:val="4866289F"/>
    <w:rsid w:val="48696DDA"/>
    <w:rsid w:val="486B4264"/>
    <w:rsid w:val="48745424"/>
    <w:rsid w:val="488A2D9F"/>
    <w:rsid w:val="48912946"/>
    <w:rsid w:val="48A158C0"/>
    <w:rsid w:val="48A82217"/>
    <w:rsid w:val="48A95C8E"/>
    <w:rsid w:val="48AB31DF"/>
    <w:rsid w:val="48D61DE4"/>
    <w:rsid w:val="48DC5C8C"/>
    <w:rsid w:val="48DD36A6"/>
    <w:rsid w:val="48EA1D0B"/>
    <w:rsid w:val="48F3240A"/>
    <w:rsid w:val="491A7FCE"/>
    <w:rsid w:val="49233181"/>
    <w:rsid w:val="4928455A"/>
    <w:rsid w:val="494952ED"/>
    <w:rsid w:val="496629CC"/>
    <w:rsid w:val="4967660B"/>
    <w:rsid w:val="496B269E"/>
    <w:rsid w:val="49772640"/>
    <w:rsid w:val="497C291B"/>
    <w:rsid w:val="49902CA9"/>
    <w:rsid w:val="49926197"/>
    <w:rsid w:val="499406C6"/>
    <w:rsid w:val="49973DC7"/>
    <w:rsid w:val="49A63116"/>
    <w:rsid w:val="49A73B91"/>
    <w:rsid w:val="49B22F23"/>
    <w:rsid w:val="49C72846"/>
    <w:rsid w:val="49CD4FD8"/>
    <w:rsid w:val="49D32650"/>
    <w:rsid w:val="49E34BB4"/>
    <w:rsid w:val="4A0229B2"/>
    <w:rsid w:val="4A2F2880"/>
    <w:rsid w:val="4A34298B"/>
    <w:rsid w:val="4A3A6EF1"/>
    <w:rsid w:val="4A4648C4"/>
    <w:rsid w:val="4A4F5EC7"/>
    <w:rsid w:val="4A59155F"/>
    <w:rsid w:val="4A7219B1"/>
    <w:rsid w:val="4A8C5CEC"/>
    <w:rsid w:val="4A9C08EF"/>
    <w:rsid w:val="4AA131E5"/>
    <w:rsid w:val="4AA66D9A"/>
    <w:rsid w:val="4AB74284"/>
    <w:rsid w:val="4ABE59A0"/>
    <w:rsid w:val="4ABF124C"/>
    <w:rsid w:val="4AD26047"/>
    <w:rsid w:val="4AD30B68"/>
    <w:rsid w:val="4AE67A1A"/>
    <w:rsid w:val="4AF61B3B"/>
    <w:rsid w:val="4AF63ECF"/>
    <w:rsid w:val="4AF702C1"/>
    <w:rsid w:val="4AFD6820"/>
    <w:rsid w:val="4B080990"/>
    <w:rsid w:val="4B0D54AE"/>
    <w:rsid w:val="4B0D61DF"/>
    <w:rsid w:val="4B1504E4"/>
    <w:rsid w:val="4B2F1582"/>
    <w:rsid w:val="4B307163"/>
    <w:rsid w:val="4B3311C6"/>
    <w:rsid w:val="4B406B18"/>
    <w:rsid w:val="4B4845EF"/>
    <w:rsid w:val="4B4E0ECD"/>
    <w:rsid w:val="4B4E2511"/>
    <w:rsid w:val="4B5F795E"/>
    <w:rsid w:val="4B635D45"/>
    <w:rsid w:val="4B7873E5"/>
    <w:rsid w:val="4B7C6DBA"/>
    <w:rsid w:val="4B7D1023"/>
    <w:rsid w:val="4B805DD6"/>
    <w:rsid w:val="4B8F5234"/>
    <w:rsid w:val="4BA42656"/>
    <w:rsid w:val="4BAA301F"/>
    <w:rsid w:val="4BBC18BB"/>
    <w:rsid w:val="4BC931D7"/>
    <w:rsid w:val="4BD303D2"/>
    <w:rsid w:val="4BD5556D"/>
    <w:rsid w:val="4BE626D8"/>
    <w:rsid w:val="4BF033C6"/>
    <w:rsid w:val="4BF876CB"/>
    <w:rsid w:val="4C003096"/>
    <w:rsid w:val="4C0724D0"/>
    <w:rsid w:val="4C4F6B60"/>
    <w:rsid w:val="4C636699"/>
    <w:rsid w:val="4C6418CD"/>
    <w:rsid w:val="4C6F21B5"/>
    <w:rsid w:val="4C7D6487"/>
    <w:rsid w:val="4C7E3B4C"/>
    <w:rsid w:val="4CB2162E"/>
    <w:rsid w:val="4CB525DE"/>
    <w:rsid w:val="4CC05205"/>
    <w:rsid w:val="4CD56D47"/>
    <w:rsid w:val="4CDD35C1"/>
    <w:rsid w:val="4CE427EE"/>
    <w:rsid w:val="4CE62469"/>
    <w:rsid w:val="4CEA27E4"/>
    <w:rsid w:val="4D054E1C"/>
    <w:rsid w:val="4D2210FD"/>
    <w:rsid w:val="4D257B3E"/>
    <w:rsid w:val="4D2D42A2"/>
    <w:rsid w:val="4D2F1FE2"/>
    <w:rsid w:val="4D331964"/>
    <w:rsid w:val="4D400AA3"/>
    <w:rsid w:val="4D472617"/>
    <w:rsid w:val="4D570A07"/>
    <w:rsid w:val="4D5A3AA8"/>
    <w:rsid w:val="4D5B74D0"/>
    <w:rsid w:val="4D693098"/>
    <w:rsid w:val="4D6D3536"/>
    <w:rsid w:val="4D80300E"/>
    <w:rsid w:val="4D84198F"/>
    <w:rsid w:val="4D8A1998"/>
    <w:rsid w:val="4D8B5C45"/>
    <w:rsid w:val="4DA558D9"/>
    <w:rsid w:val="4DB931C9"/>
    <w:rsid w:val="4DBF5748"/>
    <w:rsid w:val="4DEC0AB0"/>
    <w:rsid w:val="4DF329BF"/>
    <w:rsid w:val="4DFC0A74"/>
    <w:rsid w:val="4E067A17"/>
    <w:rsid w:val="4E2E2E64"/>
    <w:rsid w:val="4E2F1E6F"/>
    <w:rsid w:val="4E3612CE"/>
    <w:rsid w:val="4E4F31CD"/>
    <w:rsid w:val="4E605E63"/>
    <w:rsid w:val="4E637BE4"/>
    <w:rsid w:val="4E6E08BF"/>
    <w:rsid w:val="4E707BA7"/>
    <w:rsid w:val="4E804CAB"/>
    <w:rsid w:val="4E8C6F2D"/>
    <w:rsid w:val="4E915194"/>
    <w:rsid w:val="4EA014F7"/>
    <w:rsid w:val="4EA540DA"/>
    <w:rsid w:val="4EAE316E"/>
    <w:rsid w:val="4EC37294"/>
    <w:rsid w:val="4EC81AD6"/>
    <w:rsid w:val="4EC82830"/>
    <w:rsid w:val="4ECC4088"/>
    <w:rsid w:val="4ECD1B4E"/>
    <w:rsid w:val="4ED038F7"/>
    <w:rsid w:val="4ED96CE1"/>
    <w:rsid w:val="4EE0601E"/>
    <w:rsid w:val="4EE5240D"/>
    <w:rsid w:val="4EF07102"/>
    <w:rsid w:val="4EF826F3"/>
    <w:rsid w:val="4EFF0CF2"/>
    <w:rsid w:val="4F044DCB"/>
    <w:rsid w:val="4F10244F"/>
    <w:rsid w:val="4F134E02"/>
    <w:rsid w:val="4F195E29"/>
    <w:rsid w:val="4F22773A"/>
    <w:rsid w:val="4F467A51"/>
    <w:rsid w:val="4F581550"/>
    <w:rsid w:val="4F587B3F"/>
    <w:rsid w:val="4F625D71"/>
    <w:rsid w:val="4F737F05"/>
    <w:rsid w:val="4F9E5129"/>
    <w:rsid w:val="4FAB0AED"/>
    <w:rsid w:val="4FB0000A"/>
    <w:rsid w:val="4FB9396C"/>
    <w:rsid w:val="4FC83832"/>
    <w:rsid w:val="4FCB23D8"/>
    <w:rsid w:val="4FD40543"/>
    <w:rsid w:val="4FDA1694"/>
    <w:rsid w:val="4FDE31B7"/>
    <w:rsid w:val="4FE16276"/>
    <w:rsid w:val="4FE47228"/>
    <w:rsid w:val="50200242"/>
    <w:rsid w:val="50403E67"/>
    <w:rsid w:val="504451CF"/>
    <w:rsid w:val="50457CF1"/>
    <w:rsid w:val="50481B01"/>
    <w:rsid w:val="50504F54"/>
    <w:rsid w:val="506C09A4"/>
    <w:rsid w:val="506E5638"/>
    <w:rsid w:val="50957AE1"/>
    <w:rsid w:val="50960503"/>
    <w:rsid w:val="50A4588C"/>
    <w:rsid w:val="50B17418"/>
    <w:rsid w:val="50B31600"/>
    <w:rsid w:val="50B33301"/>
    <w:rsid w:val="50B604F2"/>
    <w:rsid w:val="50B95701"/>
    <w:rsid w:val="50BA364C"/>
    <w:rsid w:val="50BB2620"/>
    <w:rsid w:val="50C8423F"/>
    <w:rsid w:val="50F67AEB"/>
    <w:rsid w:val="50FB1A7A"/>
    <w:rsid w:val="51034B00"/>
    <w:rsid w:val="511035CF"/>
    <w:rsid w:val="511D54EC"/>
    <w:rsid w:val="51301476"/>
    <w:rsid w:val="513E3740"/>
    <w:rsid w:val="514C2245"/>
    <w:rsid w:val="51830C67"/>
    <w:rsid w:val="518D4838"/>
    <w:rsid w:val="518F500F"/>
    <w:rsid w:val="51A64EA2"/>
    <w:rsid w:val="51A86A76"/>
    <w:rsid w:val="51B40633"/>
    <w:rsid w:val="51BA52B6"/>
    <w:rsid w:val="51C56977"/>
    <w:rsid w:val="51D32234"/>
    <w:rsid w:val="51D72F5D"/>
    <w:rsid w:val="51DE613D"/>
    <w:rsid w:val="51E671F8"/>
    <w:rsid w:val="51E839B6"/>
    <w:rsid w:val="522F7B65"/>
    <w:rsid w:val="524948C7"/>
    <w:rsid w:val="524D515E"/>
    <w:rsid w:val="525C3848"/>
    <w:rsid w:val="52674095"/>
    <w:rsid w:val="52713DE9"/>
    <w:rsid w:val="527703EF"/>
    <w:rsid w:val="528722E8"/>
    <w:rsid w:val="52874631"/>
    <w:rsid w:val="52875148"/>
    <w:rsid w:val="52A86409"/>
    <w:rsid w:val="52A9547E"/>
    <w:rsid w:val="52B43599"/>
    <w:rsid w:val="52B633D6"/>
    <w:rsid w:val="52B8477B"/>
    <w:rsid w:val="52B87035"/>
    <w:rsid w:val="52C70EC8"/>
    <w:rsid w:val="52DA6114"/>
    <w:rsid w:val="52EA2317"/>
    <w:rsid w:val="52F44398"/>
    <w:rsid w:val="53072C3C"/>
    <w:rsid w:val="532B5629"/>
    <w:rsid w:val="533D5EA3"/>
    <w:rsid w:val="53476AFB"/>
    <w:rsid w:val="53953293"/>
    <w:rsid w:val="53994A89"/>
    <w:rsid w:val="539A48AE"/>
    <w:rsid w:val="539B75BB"/>
    <w:rsid w:val="539E6C83"/>
    <w:rsid w:val="53B10B38"/>
    <w:rsid w:val="53B41F90"/>
    <w:rsid w:val="53CB6789"/>
    <w:rsid w:val="53D47291"/>
    <w:rsid w:val="53E13F9C"/>
    <w:rsid w:val="53EC4D77"/>
    <w:rsid w:val="53EF69F5"/>
    <w:rsid w:val="540446CE"/>
    <w:rsid w:val="5437048B"/>
    <w:rsid w:val="54372F2A"/>
    <w:rsid w:val="543F6212"/>
    <w:rsid w:val="54414B9F"/>
    <w:rsid w:val="54416238"/>
    <w:rsid w:val="54430BCF"/>
    <w:rsid w:val="5451174E"/>
    <w:rsid w:val="5458521F"/>
    <w:rsid w:val="548067EA"/>
    <w:rsid w:val="54812224"/>
    <w:rsid w:val="548E4E87"/>
    <w:rsid w:val="54931DB9"/>
    <w:rsid w:val="54A93B20"/>
    <w:rsid w:val="54BF70A0"/>
    <w:rsid w:val="54C84E3D"/>
    <w:rsid w:val="54DB5437"/>
    <w:rsid w:val="54E100EE"/>
    <w:rsid w:val="54E5641E"/>
    <w:rsid w:val="54E8712D"/>
    <w:rsid w:val="54FB435D"/>
    <w:rsid w:val="550125BA"/>
    <w:rsid w:val="55201484"/>
    <w:rsid w:val="552B25BB"/>
    <w:rsid w:val="552D67F5"/>
    <w:rsid w:val="5535064C"/>
    <w:rsid w:val="553A0FDD"/>
    <w:rsid w:val="553A2028"/>
    <w:rsid w:val="553A7C85"/>
    <w:rsid w:val="55557E5B"/>
    <w:rsid w:val="5581695A"/>
    <w:rsid w:val="55B95984"/>
    <w:rsid w:val="55C774D9"/>
    <w:rsid w:val="55CD6D7E"/>
    <w:rsid w:val="55EC6D39"/>
    <w:rsid w:val="55ED170A"/>
    <w:rsid w:val="55F50AFC"/>
    <w:rsid w:val="56062320"/>
    <w:rsid w:val="5607737E"/>
    <w:rsid w:val="560C6A3A"/>
    <w:rsid w:val="561C1C86"/>
    <w:rsid w:val="562D213C"/>
    <w:rsid w:val="56307C92"/>
    <w:rsid w:val="5632143D"/>
    <w:rsid w:val="56373395"/>
    <w:rsid w:val="56394C53"/>
    <w:rsid w:val="563A70A8"/>
    <w:rsid w:val="564247DC"/>
    <w:rsid w:val="56505F21"/>
    <w:rsid w:val="565A18D4"/>
    <w:rsid w:val="566B3C4A"/>
    <w:rsid w:val="567405D4"/>
    <w:rsid w:val="5697420E"/>
    <w:rsid w:val="56B92EA4"/>
    <w:rsid w:val="56E960AB"/>
    <w:rsid w:val="56F35BC2"/>
    <w:rsid w:val="56F92F1F"/>
    <w:rsid w:val="57083967"/>
    <w:rsid w:val="57091760"/>
    <w:rsid w:val="570D7AF6"/>
    <w:rsid w:val="570F1F22"/>
    <w:rsid w:val="571D64D6"/>
    <w:rsid w:val="57232261"/>
    <w:rsid w:val="5727278D"/>
    <w:rsid w:val="572F2F5E"/>
    <w:rsid w:val="5730716C"/>
    <w:rsid w:val="573B26F7"/>
    <w:rsid w:val="574F53A1"/>
    <w:rsid w:val="575805DE"/>
    <w:rsid w:val="576B013F"/>
    <w:rsid w:val="576E62DE"/>
    <w:rsid w:val="576F5C46"/>
    <w:rsid w:val="57820F18"/>
    <w:rsid w:val="579005FE"/>
    <w:rsid w:val="57A82C5A"/>
    <w:rsid w:val="57BB5CA5"/>
    <w:rsid w:val="57CA5502"/>
    <w:rsid w:val="57CC5622"/>
    <w:rsid w:val="57DD2EF1"/>
    <w:rsid w:val="57E5128E"/>
    <w:rsid w:val="57ED70F4"/>
    <w:rsid w:val="57FB636B"/>
    <w:rsid w:val="58072AAA"/>
    <w:rsid w:val="580D1B89"/>
    <w:rsid w:val="581D1C78"/>
    <w:rsid w:val="581E0B85"/>
    <w:rsid w:val="581F2C0C"/>
    <w:rsid w:val="582E4DEB"/>
    <w:rsid w:val="58351DE3"/>
    <w:rsid w:val="58426BCC"/>
    <w:rsid w:val="585B53FE"/>
    <w:rsid w:val="586559F1"/>
    <w:rsid w:val="58703858"/>
    <w:rsid w:val="587A3518"/>
    <w:rsid w:val="587C47D4"/>
    <w:rsid w:val="588D33FF"/>
    <w:rsid w:val="589D6CE8"/>
    <w:rsid w:val="58B10794"/>
    <w:rsid w:val="58B33B8F"/>
    <w:rsid w:val="58C312C3"/>
    <w:rsid w:val="58C41136"/>
    <w:rsid w:val="58C54059"/>
    <w:rsid w:val="58CB5D21"/>
    <w:rsid w:val="58D13901"/>
    <w:rsid w:val="58F14636"/>
    <w:rsid w:val="58F16EF2"/>
    <w:rsid w:val="590A5880"/>
    <w:rsid w:val="590D0C70"/>
    <w:rsid w:val="591C6D93"/>
    <w:rsid w:val="59214DB2"/>
    <w:rsid w:val="593549DE"/>
    <w:rsid w:val="593B6E90"/>
    <w:rsid w:val="593D15B4"/>
    <w:rsid w:val="59425D0A"/>
    <w:rsid w:val="594744C3"/>
    <w:rsid w:val="5947513D"/>
    <w:rsid w:val="59571895"/>
    <w:rsid w:val="595A7392"/>
    <w:rsid w:val="595C03E7"/>
    <w:rsid w:val="596827F9"/>
    <w:rsid w:val="597165F1"/>
    <w:rsid w:val="59802700"/>
    <w:rsid w:val="59914865"/>
    <w:rsid w:val="59991D0D"/>
    <w:rsid w:val="599A1887"/>
    <w:rsid w:val="59B16C3D"/>
    <w:rsid w:val="59D52EC0"/>
    <w:rsid w:val="59E72F65"/>
    <w:rsid w:val="59E908FE"/>
    <w:rsid w:val="59F810D6"/>
    <w:rsid w:val="59FC6869"/>
    <w:rsid w:val="5A0846AB"/>
    <w:rsid w:val="5A25586D"/>
    <w:rsid w:val="5A341264"/>
    <w:rsid w:val="5A3604BD"/>
    <w:rsid w:val="5A4651E6"/>
    <w:rsid w:val="5A554086"/>
    <w:rsid w:val="5A6154F8"/>
    <w:rsid w:val="5A624A6C"/>
    <w:rsid w:val="5A6A2D3F"/>
    <w:rsid w:val="5A9976EE"/>
    <w:rsid w:val="5A9A1215"/>
    <w:rsid w:val="5AA30001"/>
    <w:rsid w:val="5AAB468E"/>
    <w:rsid w:val="5AB275B2"/>
    <w:rsid w:val="5AC91B01"/>
    <w:rsid w:val="5AE73D7A"/>
    <w:rsid w:val="5AE83094"/>
    <w:rsid w:val="5AF22C36"/>
    <w:rsid w:val="5AFE7402"/>
    <w:rsid w:val="5AFF7B16"/>
    <w:rsid w:val="5B07731A"/>
    <w:rsid w:val="5B1D0E22"/>
    <w:rsid w:val="5B201665"/>
    <w:rsid w:val="5B225BDE"/>
    <w:rsid w:val="5B3D0C1A"/>
    <w:rsid w:val="5B4033B1"/>
    <w:rsid w:val="5B474174"/>
    <w:rsid w:val="5B510766"/>
    <w:rsid w:val="5B5B6BAD"/>
    <w:rsid w:val="5B6A44B6"/>
    <w:rsid w:val="5B7A57EE"/>
    <w:rsid w:val="5B7E00D4"/>
    <w:rsid w:val="5B8273DD"/>
    <w:rsid w:val="5B8B747A"/>
    <w:rsid w:val="5B91229B"/>
    <w:rsid w:val="5B913970"/>
    <w:rsid w:val="5BA745B0"/>
    <w:rsid w:val="5BAB6155"/>
    <w:rsid w:val="5BBD4719"/>
    <w:rsid w:val="5BC377AC"/>
    <w:rsid w:val="5BC52D95"/>
    <w:rsid w:val="5BC84EF1"/>
    <w:rsid w:val="5BD515E2"/>
    <w:rsid w:val="5BDC5C94"/>
    <w:rsid w:val="5BE04627"/>
    <w:rsid w:val="5BEE08DD"/>
    <w:rsid w:val="5C045547"/>
    <w:rsid w:val="5C107D26"/>
    <w:rsid w:val="5C2553BF"/>
    <w:rsid w:val="5C275E8D"/>
    <w:rsid w:val="5C2873F3"/>
    <w:rsid w:val="5C335CDD"/>
    <w:rsid w:val="5C385C55"/>
    <w:rsid w:val="5C4F4FE9"/>
    <w:rsid w:val="5C577FE8"/>
    <w:rsid w:val="5C66241C"/>
    <w:rsid w:val="5C6A2789"/>
    <w:rsid w:val="5C784524"/>
    <w:rsid w:val="5C7B1B57"/>
    <w:rsid w:val="5C7D1219"/>
    <w:rsid w:val="5C8E0CCA"/>
    <w:rsid w:val="5C8E4F10"/>
    <w:rsid w:val="5C927979"/>
    <w:rsid w:val="5CA146BA"/>
    <w:rsid w:val="5CBD1D4D"/>
    <w:rsid w:val="5CC813B6"/>
    <w:rsid w:val="5CD2381E"/>
    <w:rsid w:val="5CD26DF0"/>
    <w:rsid w:val="5CE023EF"/>
    <w:rsid w:val="5CE250BD"/>
    <w:rsid w:val="5CF37D77"/>
    <w:rsid w:val="5CF85B68"/>
    <w:rsid w:val="5D0412BE"/>
    <w:rsid w:val="5D1F356E"/>
    <w:rsid w:val="5D3C1AA5"/>
    <w:rsid w:val="5D4775CB"/>
    <w:rsid w:val="5D4B0A20"/>
    <w:rsid w:val="5D5659BB"/>
    <w:rsid w:val="5D565C53"/>
    <w:rsid w:val="5D5A21FA"/>
    <w:rsid w:val="5D7C161B"/>
    <w:rsid w:val="5D8149D4"/>
    <w:rsid w:val="5D851F2F"/>
    <w:rsid w:val="5D885294"/>
    <w:rsid w:val="5D9643ED"/>
    <w:rsid w:val="5D993773"/>
    <w:rsid w:val="5DA62C30"/>
    <w:rsid w:val="5DA65F68"/>
    <w:rsid w:val="5DB950CA"/>
    <w:rsid w:val="5DCC7122"/>
    <w:rsid w:val="5DCE202F"/>
    <w:rsid w:val="5DCE3D8D"/>
    <w:rsid w:val="5DCF42DA"/>
    <w:rsid w:val="5DD77AC3"/>
    <w:rsid w:val="5DEB6E8E"/>
    <w:rsid w:val="5E012F5C"/>
    <w:rsid w:val="5E171B51"/>
    <w:rsid w:val="5E2B6F52"/>
    <w:rsid w:val="5E5A7DE7"/>
    <w:rsid w:val="5E615448"/>
    <w:rsid w:val="5E6218EF"/>
    <w:rsid w:val="5E623D4C"/>
    <w:rsid w:val="5E636A43"/>
    <w:rsid w:val="5E730714"/>
    <w:rsid w:val="5E747993"/>
    <w:rsid w:val="5E806FF7"/>
    <w:rsid w:val="5E822002"/>
    <w:rsid w:val="5E8D0D11"/>
    <w:rsid w:val="5EA62779"/>
    <w:rsid w:val="5EAE3C16"/>
    <w:rsid w:val="5EBC7933"/>
    <w:rsid w:val="5EC3269D"/>
    <w:rsid w:val="5EDC011C"/>
    <w:rsid w:val="5EF8196C"/>
    <w:rsid w:val="5F023A9C"/>
    <w:rsid w:val="5F1F33AC"/>
    <w:rsid w:val="5F225E5C"/>
    <w:rsid w:val="5F4552AB"/>
    <w:rsid w:val="5F49093B"/>
    <w:rsid w:val="5F527F6E"/>
    <w:rsid w:val="5F594B53"/>
    <w:rsid w:val="5F77079B"/>
    <w:rsid w:val="5F7A72F3"/>
    <w:rsid w:val="5F924CF5"/>
    <w:rsid w:val="5F9407A5"/>
    <w:rsid w:val="5FA63AD1"/>
    <w:rsid w:val="5FAD42EC"/>
    <w:rsid w:val="5FB330CF"/>
    <w:rsid w:val="5FB877BC"/>
    <w:rsid w:val="5FBD0C4B"/>
    <w:rsid w:val="5FC76273"/>
    <w:rsid w:val="5FCB6533"/>
    <w:rsid w:val="5FE4716E"/>
    <w:rsid w:val="5FEA5514"/>
    <w:rsid w:val="5FF3634B"/>
    <w:rsid w:val="5FFC23B4"/>
    <w:rsid w:val="5FFE0866"/>
    <w:rsid w:val="60004B15"/>
    <w:rsid w:val="60006F46"/>
    <w:rsid w:val="600C65C5"/>
    <w:rsid w:val="60103E54"/>
    <w:rsid w:val="6013296C"/>
    <w:rsid w:val="60173982"/>
    <w:rsid w:val="60216CA6"/>
    <w:rsid w:val="602A0B9E"/>
    <w:rsid w:val="6032504B"/>
    <w:rsid w:val="603D5421"/>
    <w:rsid w:val="60470521"/>
    <w:rsid w:val="60472544"/>
    <w:rsid w:val="605260AD"/>
    <w:rsid w:val="605F3FF3"/>
    <w:rsid w:val="60612E47"/>
    <w:rsid w:val="6064117E"/>
    <w:rsid w:val="607A6893"/>
    <w:rsid w:val="60837D13"/>
    <w:rsid w:val="60841056"/>
    <w:rsid w:val="60A02A47"/>
    <w:rsid w:val="60AB58C3"/>
    <w:rsid w:val="6106175F"/>
    <w:rsid w:val="61136EB2"/>
    <w:rsid w:val="611F060E"/>
    <w:rsid w:val="61257825"/>
    <w:rsid w:val="61305F7A"/>
    <w:rsid w:val="613140E7"/>
    <w:rsid w:val="61342737"/>
    <w:rsid w:val="613723CB"/>
    <w:rsid w:val="61383FD8"/>
    <w:rsid w:val="613E4B8A"/>
    <w:rsid w:val="61401EE0"/>
    <w:rsid w:val="61545684"/>
    <w:rsid w:val="61586757"/>
    <w:rsid w:val="615E5A87"/>
    <w:rsid w:val="61897BD4"/>
    <w:rsid w:val="61AA193A"/>
    <w:rsid w:val="61B21E25"/>
    <w:rsid w:val="61BF34EB"/>
    <w:rsid w:val="61BF731A"/>
    <w:rsid w:val="61D75291"/>
    <w:rsid w:val="61DD374B"/>
    <w:rsid w:val="61DD5B52"/>
    <w:rsid w:val="61E725CE"/>
    <w:rsid w:val="61EB3AE2"/>
    <w:rsid w:val="61F2522B"/>
    <w:rsid w:val="62126A7E"/>
    <w:rsid w:val="62144EE6"/>
    <w:rsid w:val="621D051D"/>
    <w:rsid w:val="62247E62"/>
    <w:rsid w:val="6240785F"/>
    <w:rsid w:val="624374AA"/>
    <w:rsid w:val="62575AD9"/>
    <w:rsid w:val="625F4E86"/>
    <w:rsid w:val="626276F3"/>
    <w:rsid w:val="62660126"/>
    <w:rsid w:val="62707B24"/>
    <w:rsid w:val="628443D1"/>
    <w:rsid w:val="6287003E"/>
    <w:rsid w:val="628F5441"/>
    <w:rsid w:val="62A447BB"/>
    <w:rsid w:val="62A90AFF"/>
    <w:rsid w:val="62A94603"/>
    <w:rsid w:val="62B66B41"/>
    <w:rsid w:val="62B950A4"/>
    <w:rsid w:val="62C96EFD"/>
    <w:rsid w:val="62D52E85"/>
    <w:rsid w:val="62D86C17"/>
    <w:rsid w:val="62DC7731"/>
    <w:rsid w:val="62E512B7"/>
    <w:rsid w:val="62EF17E0"/>
    <w:rsid w:val="62FC4EB9"/>
    <w:rsid w:val="630F4760"/>
    <w:rsid w:val="63221554"/>
    <w:rsid w:val="63247ECF"/>
    <w:rsid w:val="633041F5"/>
    <w:rsid w:val="633D1434"/>
    <w:rsid w:val="633F5007"/>
    <w:rsid w:val="63456840"/>
    <w:rsid w:val="635820E6"/>
    <w:rsid w:val="635B1079"/>
    <w:rsid w:val="635C5F76"/>
    <w:rsid w:val="636A4335"/>
    <w:rsid w:val="636B18F5"/>
    <w:rsid w:val="637214B2"/>
    <w:rsid w:val="638F3C17"/>
    <w:rsid w:val="63A55E36"/>
    <w:rsid w:val="63A70A72"/>
    <w:rsid w:val="63B35CF6"/>
    <w:rsid w:val="63B41518"/>
    <w:rsid w:val="63B62CBB"/>
    <w:rsid w:val="63BD5BF8"/>
    <w:rsid w:val="63C8087C"/>
    <w:rsid w:val="63D8157C"/>
    <w:rsid w:val="63E178E3"/>
    <w:rsid w:val="64057C09"/>
    <w:rsid w:val="64106560"/>
    <w:rsid w:val="642534B1"/>
    <w:rsid w:val="642D3388"/>
    <w:rsid w:val="64301008"/>
    <w:rsid w:val="64301289"/>
    <w:rsid w:val="644309F8"/>
    <w:rsid w:val="64435D54"/>
    <w:rsid w:val="644B180A"/>
    <w:rsid w:val="64553781"/>
    <w:rsid w:val="647C66CB"/>
    <w:rsid w:val="64914BF2"/>
    <w:rsid w:val="64A37F99"/>
    <w:rsid w:val="64B17E86"/>
    <w:rsid w:val="64B256D6"/>
    <w:rsid w:val="64B43EAA"/>
    <w:rsid w:val="64BA0273"/>
    <w:rsid w:val="64CE2F7F"/>
    <w:rsid w:val="64D12917"/>
    <w:rsid w:val="64DD6E32"/>
    <w:rsid w:val="64E150A0"/>
    <w:rsid w:val="64E5380B"/>
    <w:rsid w:val="64E55F27"/>
    <w:rsid w:val="64E86445"/>
    <w:rsid w:val="64FE6A56"/>
    <w:rsid w:val="64FF310D"/>
    <w:rsid w:val="650E676B"/>
    <w:rsid w:val="65293032"/>
    <w:rsid w:val="65333EDC"/>
    <w:rsid w:val="65375618"/>
    <w:rsid w:val="654D6391"/>
    <w:rsid w:val="654E6C1A"/>
    <w:rsid w:val="65525C4E"/>
    <w:rsid w:val="65653D94"/>
    <w:rsid w:val="656E1F59"/>
    <w:rsid w:val="657B6423"/>
    <w:rsid w:val="657C7714"/>
    <w:rsid w:val="658A0640"/>
    <w:rsid w:val="65986EEA"/>
    <w:rsid w:val="65A74FF4"/>
    <w:rsid w:val="65AF2FE0"/>
    <w:rsid w:val="65BA11B5"/>
    <w:rsid w:val="65C13C78"/>
    <w:rsid w:val="65C33E1C"/>
    <w:rsid w:val="65C473FC"/>
    <w:rsid w:val="65CD784A"/>
    <w:rsid w:val="65E34AEE"/>
    <w:rsid w:val="65E74953"/>
    <w:rsid w:val="65E83F2C"/>
    <w:rsid w:val="65E92FFA"/>
    <w:rsid w:val="65F72DA2"/>
    <w:rsid w:val="65FE159B"/>
    <w:rsid w:val="66016A17"/>
    <w:rsid w:val="661D7648"/>
    <w:rsid w:val="663F3388"/>
    <w:rsid w:val="66444239"/>
    <w:rsid w:val="665C7BF3"/>
    <w:rsid w:val="66612562"/>
    <w:rsid w:val="666166A1"/>
    <w:rsid w:val="666C431D"/>
    <w:rsid w:val="667C10D0"/>
    <w:rsid w:val="668063BD"/>
    <w:rsid w:val="668A74FE"/>
    <w:rsid w:val="668E07D4"/>
    <w:rsid w:val="668E4E66"/>
    <w:rsid w:val="66B93BB0"/>
    <w:rsid w:val="66C666C5"/>
    <w:rsid w:val="66E13382"/>
    <w:rsid w:val="66F162F6"/>
    <w:rsid w:val="66F328AC"/>
    <w:rsid w:val="66FC4867"/>
    <w:rsid w:val="67052035"/>
    <w:rsid w:val="670D4A77"/>
    <w:rsid w:val="670F5BD5"/>
    <w:rsid w:val="67166E3A"/>
    <w:rsid w:val="67286795"/>
    <w:rsid w:val="672C5247"/>
    <w:rsid w:val="67391BC7"/>
    <w:rsid w:val="673E0D58"/>
    <w:rsid w:val="67437365"/>
    <w:rsid w:val="674458B3"/>
    <w:rsid w:val="676B3A7A"/>
    <w:rsid w:val="676D4019"/>
    <w:rsid w:val="67934231"/>
    <w:rsid w:val="6796604E"/>
    <w:rsid w:val="67985EF9"/>
    <w:rsid w:val="67AF5BA5"/>
    <w:rsid w:val="67C66C86"/>
    <w:rsid w:val="67CD6E48"/>
    <w:rsid w:val="67D11172"/>
    <w:rsid w:val="67D46402"/>
    <w:rsid w:val="67F14276"/>
    <w:rsid w:val="68084323"/>
    <w:rsid w:val="680B35BB"/>
    <w:rsid w:val="68180F30"/>
    <w:rsid w:val="682C1BAA"/>
    <w:rsid w:val="6848146C"/>
    <w:rsid w:val="685E686D"/>
    <w:rsid w:val="685F15E4"/>
    <w:rsid w:val="68621D6D"/>
    <w:rsid w:val="68734041"/>
    <w:rsid w:val="687F2658"/>
    <w:rsid w:val="688209B1"/>
    <w:rsid w:val="68860F85"/>
    <w:rsid w:val="689B7748"/>
    <w:rsid w:val="68A0611A"/>
    <w:rsid w:val="68BB147F"/>
    <w:rsid w:val="68E6355E"/>
    <w:rsid w:val="68EC623A"/>
    <w:rsid w:val="68F0204B"/>
    <w:rsid w:val="68F86575"/>
    <w:rsid w:val="69025018"/>
    <w:rsid w:val="691B29E4"/>
    <w:rsid w:val="69256C52"/>
    <w:rsid w:val="69282C0F"/>
    <w:rsid w:val="692957E5"/>
    <w:rsid w:val="69301278"/>
    <w:rsid w:val="693D2753"/>
    <w:rsid w:val="693F7194"/>
    <w:rsid w:val="694223A9"/>
    <w:rsid w:val="694C1F58"/>
    <w:rsid w:val="694E2D39"/>
    <w:rsid w:val="695B6F15"/>
    <w:rsid w:val="69674682"/>
    <w:rsid w:val="696E607F"/>
    <w:rsid w:val="69732B16"/>
    <w:rsid w:val="69752607"/>
    <w:rsid w:val="697931E5"/>
    <w:rsid w:val="697937BC"/>
    <w:rsid w:val="698A4E57"/>
    <w:rsid w:val="698A583D"/>
    <w:rsid w:val="699B2D49"/>
    <w:rsid w:val="699C06C1"/>
    <w:rsid w:val="69A81581"/>
    <w:rsid w:val="69AE2766"/>
    <w:rsid w:val="69B650E7"/>
    <w:rsid w:val="69BA43B9"/>
    <w:rsid w:val="69CA4797"/>
    <w:rsid w:val="69E05BCF"/>
    <w:rsid w:val="6A1F0A9A"/>
    <w:rsid w:val="6A26503F"/>
    <w:rsid w:val="6A2E22EC"/>
    <w:rsid w:val="6A2E4319"/>
    <w:rsid w:val="6A3B5B7C"/>
    <w:rsid w:val="6A426A97"/>
    <w:rsid w:val="6A5A6BE2"/>
    <w:rsid w:val="6A685A7C"/>
    <w:rsid w:val="6A6A4A7B"/>
    <w:rsid w:val="6A886649"/>
    <w:rsid w:val="6A941D27"/>
    <w:rsid w:val="6A945581"/>
    <w:rsid w:val="6AA738D9"/>
    <w:rsid w:val="6AAA2AED"/>
    <w:rsid w:val="6AAE6E3E"/>
    <w:rsid w:val="6AB214DD"/>
    <w:rsid w:val="6AB80826"/>
    <w:rsid w:val="6AC27DBD"/>
    <w:rsid w:val="6AC45226"/>
    <w:rsid w:val="6ACB20F0"/>
    <w:rsid w:val="6ACB7C1F"/>
    <w:rsid w:val="6ACC1AC6"/>
    <w:rsid w:val="6AD05B79"/>
    <w:rsid w:val="6AD07EF0"/>
    <w:rsid w:val="6AD60996"/>
    <w:rsid w:val="6ADF0925"/>
    <w:rsid w:val="6AE03EC0"/>
    <w:rsid w:val="6AF16574"/>
    <w:rsid w:val="6AFB1C9C"/>
    <w:rsid w:val="6B031AB0"/>
    <w:rsid w:val="6B283333"/>
    <w:rsid w:val="6B466FA6"/>
    <w:rsid w:val="6B605C1F"/>
    <w:rsid w:val="6B6771DA"/>
    <w:rsid w:val="6B813383"/>
    <w:rsid w:val="6B8734F6"/>
    <w:rsid w:val="6B976193"/>
    <w:rsid w:val="6BB3489F"/>
    <w:rsid w:val="6BC04DE8"/>
    <w:rsid w:val="6BC138D6"/>
    <w:rsid w:val="6BC44E57"/>
    <w:rsid w:val="6BCB53A7"/>
    <w:rsid w:val="6BCC78F7"/>
    <w:rsid w:val="6BD660C9"/>
    <w:rsid w:val="6BE94EFE"/>
    <w:rsid w:val="6BEB0345"/>
    <w:rsid w:val="6BF13247"/>
    <w:rsid w:val="6C054F39"/>
    <w:rsid w:val="6C066BC6"/>
    <w:rsid w:val="6C0C5FA5"/>
    <w:rsid w:val="6C11789F"/>
    <w:rsid w:val="6C1C3752"/>
    <w:rsid w:val="6C1F055F"/>
    <w:rsid w:val="6C1F4B6C"/>
    <w:rsid w:val="6C2E2C9A"/>
    <w:rsid w:val="6C315D5A"/>
    <w:rsid w:val="6C35225F"/>
    <w:rsid w:val="6C3952DD"/>
    <w:rsid w:val="6C3F21E1"/>
    <w:rsid w:val="6C412026"/>
    <w:rsid w:val="6C431BF9"/>
    <w:rsid w:val="6C4418B7"/>
    <w:rsid w:val="6C565BC2"/>
    <w:rsid w:val="6C5B2B3E"/>
    <w:rsid w:val="6C5B2EB6"/>
    <w:rsid w:val="6C695860"/>
    <w:rsid w:val="6C6A404A"/>
    <w:rsid w:val="6C6B5C44"/>
    <w:rsid w:val="6C733782"/>
    <w:rsid w:val="6C810EF0"/>
    <w:rsid w:val="6C863B51"/>
    <w:rsid w:val="6C8D1DAC"/>
    <w:rsid w:val="6C8E2B23"/>
    <w:rsid w:val="6C8F0B27"/>
    <w:rsid w:val="6CA7061C"/>
    <w:rsid w:val="6CB518C7"/>
    <w:rsid w:val="6CBA55C4"/>
    <w:rsid w:val="6CC458AF"/>
    <w:rsid w:val="6CD315B4"/>
    <w:rsid w:val="6CDC3390"/>
    <w:rsid w:val="6CE02491"/>
    <w:rsid w:val="6CE5005B"/>
    <w:rsid w:val="6CEE6724"/>
    <w:rsid w:val="6D081037"/>
    <w:rsid w:val="6D1A24DB"/>
    <w:rsid w:val="6D28185D"/>
    <w:rsid w:val="6D2B2DFA"/>
    <w:rsid w:val="6D794052"/>
    <w:rsid w:val="6D8C020D"/>
    <w:rsid w:val="6DC81621"/>
    <w:rsid w:val="6DCD402C"/>
    <w:rsid w:val="6DDA519B"/>
    <w:rsid w:val="6DF73121"/>
    <w:rsid w:val="6DF90DD4"/>
    <w:rsid w:val="6DFB3654"/>
    <w:rsid w:val="6E0169CD"/>
    <w:rsid w:val="6E033F36"/>
    <w:rsid w:val="6E0C0393"/>
    <w:rsid w:val="6E0E5827"/>
    <w:rsid w:val="6E1B6936"/>
    <w:rsid w:val="6E260299"/>
    <w:rsid w:val="6E2D6104"/>
    <w:rsid w:val="6E325BBB"/>
    <w:rsid w:val="6E333B44"/>
    <w:rsid w:val="6E3A2C1A"/>
    <w:rsid w:val="6E483B26"/>
    <w:rsid w:val="6E50475D"/>
    <w:rsid w:val="6E67792E"/>
    <w:rsid w:val="6E6A1B54"/>
    <w:rsid w:val="6E7D07EB"/>
    <w:rsid w:val="6E813C56"/>
    <w:rsid w:val="6E817780"/>
    <w:rsid w:val="6E9244CD"/>
    <w:rsid w:val="6EA979FD"/>
    <w:rsid w:val="6EB87144"/>
    <w:rsid w:val="6EBB3269"/>
    <w:rsid w:val="6EC066CB"/>
    <w:rsid w:val="6EC42EF6"/>
    <w:rsid w:val="6ECF5B97"/>
    <w:rsid w:val="6ED75565"/>
    <w:rsid w:val="6EF10086"/>
    <w:rsid w:val="6EF2259E"/>
    <w:rsid w:val="6EF44720"/>
    <w:rsid w:val="6EF82687"/>
    <w:rsid w:val="6F0A107C"/>
    <w:rsid w:val="6F0D77D5"/>
    <w:rsid w:val="6F0E482B"/>
    <w:rsid w:val="6F123518"/>
    <w:rsid w:val="6F134298"/>
    <w:rsid w:val="6F136D4C"/>
    <w:rsid w:val="6F146A0F"/>
    <w:rsid w:val="6F176890"/>
    <w:rsid w:val="6F185771"/>
    <w:rsid w:val="6F430B85"/>
    <w:rsid w:val="6F4E1481"/>
    <w:rsid w:val="6F4F079D"/>
    <w:rsid w:val="6F557668"/>
    <w:rsid w:val="6F5E160D"/>
    <w:rsid w:val="6F6919C9"/>
    <w:rsid w:val="6F691BFA"/>
    <w:rsid w:val="6F6C4688"/>
    <w:rsid w:val="6FAE4BE7"/>
    <w:rsid w:val="6FCB29C1"/>
    <w:rsid w:val="6FCC2F7E"/>
    <w:rsid w:val="6FD04207"/>
    <w:rsid w:val="6FEB3645"/>
    <w:rsid w:val="6FFA3C6B"/>
    <w:rsid w:val="6FFC1199"/>
    <w:rsid w:val="70013B72"/>
    <w:rsid w:val="70165DEE"/>
    <w:rsid w:val="70182E08"/>
    <w:rsid w:val="701918FB"/>
    <w:rsid w:val="7022690A"/>
    <w:rsid w:val="70252650"/>
    <w:rsid w:val="70260807"/>
    <w:rsid w:val="702E15E6"/>
    <w:rsid w:val="70344DC5"/>
    <w:rsid w:val="703769A6"/>
    <w:rsid w:val="70536221"/>
    <w:rsid w:val="705C47D9"/>
    <w:rsid w:val="705E4A1A"/>
    <w:rsid w:val="70690412"/>
    <w:rsid w:val="70787B63"/>
    <w:rsid w:val="708A6105"/>
    <w:rsid w:val="708F6851"/>
    <w:rsid w:val="70B149E9"/>
    <w:rsid w:val="70BC4D8A"/>
    <w:rsid w:val="70C31C40"/>
    <w:rsid w:val="70C33D21"/>
    <w:rsid w:val="70D6672F"/>
    <w:rsid w:val="70DA4958"/>
    <w:rsid w:val="70E91474"/>
    <w:rsid w:val="70F02A16"/>
    <w:rsid w:val="7112631E"/>
    <w:rsid w:val="71151617"/>
    <w:rsid w:val="711C7E7F"/>
    <w:rsid w:val="712B3D7D"/>
    <w:rsid w:val="712B618A"/>
    <w:rsid w:val="7143554C"/>
    <w:rsid w:val="71477097"/>
    <w:rsid w:val="714975F3"/>
    <w:rsid w:val="71655425"/>
    <w:rsid w:val="716C047E"/>
    <w:rsid w:val="716E730E"/>
    <w:rsid w:val="71782D9D"/>
    <w:rsid w:val="718425AF"/>
    <w:rsid w:val="71864098"/>
    <w:rsid w:val="718D1789"/>
    <w:rsid w:val="7194548E"/>
    <w:rsid w:val="719F0527"/>
    <w:rsid w:val="71A92F7D"/>
    <w:rsid w:val="71AC3392"/>
    <w:rsid w:val="71AE5960"/>
    <w:rsid w:val="71B824D5"/>
    <w:rsid w:val="71C01996"/>
    <w:rsid w:val="71D22A18"/>
    <w:rsid w:val="71F7466D"/>
    <w:rsid w:val="72001D04"/>
    <w:rsid w:val="72006FB0"/>
    <w:rsid w:val="721F4E85"/>
    <w:rsid w:val="72272ADD"/>
    <w:rsid w:val="72402CD4"/>
    <w:rsid w:val="727E58B1"/>
    <w:rsid w:val="727F6879"/>
    <w:rsid w:val="728028BE"/>
    <w:rsid w:val="728441BE"/>
    <w:rsid w:val="728D5F85"/>
    <w:rsid w:val="729211A2"/>
    <w:rsid w:val="729D1F0C"/>
    <w:rsid w:val="72A178DB"/>
    <w:rsid w:val="72C05B90"/>
    <w:rsid w:val="72CA1667"/>
    <w:rsid w:val="72D13CF0"/>
    <w:rsid w:val="72E01CA2"/>
    <w:rsid w:val="72F05869"/>
    <w:rsid w:val="72F53EDB"/>
    <w:rsid w:val="72F84387"/>
    <w:rsid w:val="730D5684"/>
    <w:rsid w:val="7317295B"/>
    <w:rsid w:val="732E2F37"/>
    <w:rsid w:val="732F3168"/>
    <w:rsid w:val="73375929"/>
    <w:rsid w:val="73405D35"/>
    <w:rsid w:val="73683D87"/>
    <w:rsid w:val="736904C3"/>
    <w:rsid w:val="73727E1E"/>
    <w:rsid w:val="73772FF7"/>
    <w:rsid w:val="737B537F"/>
    <w:rsid w:val="73843AEF"/>
    <w:rsid w:val="73861B18"/>
    <w:rsid w:val="738868EE"/>
    <w:rsid w:val="738910C5"/>
    <w:rsid w:val="73901403"/>
    <w:rsid w:val="73925275"/>
    <w:rsid w:val="73A24171"/>
    <w:rsid w:val="73B719DA"/>
    <w:rsid w:val="73BD6986"/>
    <w:rsid w:val="73CB1BF1"/>
    <w:rsid w:val="73CF7F3F"/>
    <w:rsid w:val="73D06B9C"/>
    <w:rsid w:val="73D27C45"/>
    <w:rsid w:val="73D8717B"/>
    <w:rsid w:val="73EC2729"/>
    <w:rsid w:val="7400558B"/>
    <w:rsid w:val="74153417"/>
    <w:rsid w:val="74163B58"/>
    <w:rsid w:val="74182832"/>
    <w:rsid w:val="74191F58"/>
    <w:rsid w:val="74403919"/>
    <w:rsid w:val="74661228"/>
    <w:rsid w:val="747A68F4"/>
    <w:rsid w:val="74980D3E"/>
    <w:rsid w:val="74A87984"/>
    <w:rsid w:val="74AD552D"/>
    <w:rsid w:val="74D5759B"/>
    <w:rsid w:val="74F01244"/>
    <w:rsid w:val="74FF3623"/>
    <w:rsid w:val="750504CB"/>
    <w:rsid w:val="75110B3A"/>
    <w:rsid w:val="75242903"/>
    <w:rsid w:val="752C58BA"/>
    <w:rsid w:val="753F67AC"/>
    <w:rsid w:val="754009FC"/>
    <w:rsid w:val="755E44CB"/>
    <w:rsid w:val="755F3D5F"/>
    <w:rsid w:val="75612B35"/>
    <w:rsid w:val="757A795A"/>
    <w:rsid w:val="75856AFF"/>
    <w:rsid w:val="758831DD"/>
    <w:rsid w:val="758C5004"/>
    <w:rsid w:val="75907F53"/>
    <w:rsid w:val="75A47F3A"/>
    <w:rsid w:val="75A9379A"/>
    <w:rsid w:val="75B57715"/>
    <w:rsid w:val="75BC4B20"/>
    <w:rsid w:val="75BF49C1"/>
    <w:rsid w:val="75BF7530"/>
    <w:rsid w:val="75C5370B"/>
    <w:rsid w:val="75CE4693"/>
    <w:rsid w:val="75CE5100"/>
    <w:rsid w:val="75D474F8"/>
    <w:rsid w:val="75D7696C"/>
    <w:rsid w:val="75D954C0"/>
    <w:rsid w:val="75D96317"/>
    <w:rsid w:val="75E050EE"/>
    <w:rsid w:val="75E87A12"/>
    <w:rsid w:val="75F0132A"/>
    <w:rsid w:val="762B2D72"/>
    <w:rsid w:val="76351D07"/>
    <w:rsid w:val="76450CC7"/>
    <w:rsid w:val="764C0B2C"/>
    <w:rsid w:val="76681807"/>
    <w:rsid w:val="76764C82"/>
    <w:rsid w:val="767F0B52"/>
    <w:rsid w:val="768C47C8"/>
    <w:rsid w:val="76977452"/>
    <w:rsid w:val="76A8795B"/>
    <w:rsid w:val="76CD755F"/>
    <w:rsid w:val="76E115AD"/>
    <w:rsid w:val="76FE283E"/>
    <w:rsid w:val="770A60BF"/>
    <w:rsid w:val="771D16B6"/>
    <w:rsid w:val="772F1263"/>
    <w:rsid w:val="773905B8"/>
    <w:rsid w:val="77427A6A"/>
    <w:rsid w:val="774C2C35"/>
    <w:rsid w:val="774C63A7"/>
    <w:rsid w:val="7759521E"/>
    <w:rsid w:val="776240F7"/>
    <w:rsid w:val="77697FCB"/>
    <w:rsid w:val="77706E95"/>
    <w:rsid w:val="77725EE1"/>
    <w:rsid w:val="77763F5D"/>
    <w:rsid w:val="777A16AF"/>
    <w:rsid w:val="77840282"/>
    <w:rsid w:val="77A270C8"/>
    <w:rsid w:val="77B4043C"/>
    <w:rsid w:val="77B4715A"/>
    <w:rsid w:val="77C87036"/>
    <w:rsid w:val="77DA17BD"/>
    <w:rsid w:val="77E00BBD"/>
    <w:rsid w:val="77F57548"/>
    <w:rsid w:val="7802692D"/>
    <w:rsid w:val="780766F2"/>
    <w:rsid w:val="78085DE1"/>
    <w:rsid w:val="78095EF6"/>
    <w:rsid w:val="78115747"/>
    <w:rsid w:val="78213B45"/>
    <w:rsid w:val="782875D9"/>
    <w:rsid w:val="78436835"/>
    <w:rsid w:val="7848032B"/>
    <w:rsid w:val="78580779"/>
    <w:rsid w:val="785E1DAE"/>
    <w:rsid w:val="78722F2C"/>
    <w:rsid w:val="78757780"/>
    <w:rsid w:val="787F221F"/>
    <w:rsid w:val="787F2A13"/>
    <w:rsid w:val="787F3808"/>
    <w:rsid w:val="78801692"/>
    <w:rsid w:val="7889573F"/>
    <w:rsid w:val="788A4D60"/>
    <w:rsid w:val="78957A79"/>
    <w:rsid w:val="78A96DEF"/>
    <w:rsid w:val="78B57D83"/>
    <w:rsid w:val="78BE26FA"/>
    <w:rsid w:val="78C45A37"/>
    <w:rsid w:val="78C72D74"/>
    <w:rsid w:val="78CE0B56"/>
    <w:rsid w:val="78D4617B"/>
    <w:rsid w:val="78DE6889"/>
    <w:rsid w:val="78FA7797"/>
    <w:rsid w:val="78FE0F47"/>
    <w:rsid w:val="79005494"/>
    <w:rsid w:val="7902771F"/>
    <w:rsid w:val="790872E0"/>
    <w:rsid w:val="792B6CFD"/>
    <w:rsid w:val="793B4249"/>
    <w:rsid w:val="793E3823"/>
    <w:rsid w:val="793E4938"/>
    <w:rsid w:val="794953B0"/>
    <w:rsid w:val="795D2541"/>
    <w:rsid w:val="79626502"/>
    <w:rsid w:val="796A787C"/>
    <w:rsid w:val="796E4C58"/>
    <w:rsid w:val="797E4315"/>
    <w:rsid w:val="79A50520"/>
    <w:rsid w:val="79AB5A3F"/>
    <w:rsid w:val="79B54AF6"/>
    <w:rsid w:val="79E654E3"/>
    <w:rsid w:val="79F33B4B"/>
    <w:rsid w:val="79FC06AF"/>
    <w:rsid w:val="79FF26B7"/>
    <w:rsid w:val="7A0465AB"/>
    <w:rsid w:val="7A093989"/>
    <w:rsid w:val="7A15077F"/>
    <w:rsid w:val="7A19741A"/>
    <w:rsid w:val="7A26439E"/>
    <w:rsid w:val="7A312294"/>
    <w:rsid w:val="7A343CD7"/>
    <w:rsid w:val="7A4104E7"/>
    <w:rsid w:val="7A4546B0"/>
    <w:rsid w:val="7A4901B1"/>
    <w:rsid w:val="7A4E1F23"/>
    <w:rsid w:val="7A576446"/>
    <w:rsid w:val="7A5970A0"/>
    <w:rsid w:val="7A68635D"/>
    <w:rsid w:val="7A6C2EFC"/>
    <w:rsid w:val="7A6D0261"/>
    <w:rsid w:val="7A6E34F1"/>
    <w:rsid w:val="7A702586"/>
    <w:rsid w:val="7A842167"/>
    <w:rsid w:val="7A9E683B"/>
    <w:rsid w:val="7AA8368F"/>
    <w:rsid w:val="7AB9504A"/>
    <w:rsid w:val="7ABB581F"/>
    <w:rsid w:val="7ABF1C50"/>
    <w:rsid w:val="7ACD4617"/>
    <w:rsid w:val="7AD53C42"/>
    <w:rsid w:val="7AD80FAE"/>
    <w:rsid w:val="7AEB5E20"/>
    <w:rsid w:val="7AF86D07"/>
    <w:rsid w:val="7B004CCE"/>
    <w:rsid w:val="7B01684F"/>
    <w:rsid w:val="7B0330EA"/>
    <w:rsid w:val="7B092782"/>
    <w:rsid w:val="7B132552"/>
    <w:rsid w:val="7B1D11C8"/>
    <w:rsid w:val="7B1F2878"/>
    <w:rsid w:val="7B251950"/>
    <w:rsid w:val="7B2923B4"/>
    <w:rsid w:val="7B2D1C6A"/>
    <w:rsid w:val="7B353CCA"/>
    <w:rsid w:val="7B3B2331"/>
    <w:rsid w:val="7B4141DC"/>
    <w:rsid w:val="7B417088"/>
    <w:rsid w:val="7B4F4484"/>
    <w:rsid w:val="7B6A088F"/>
    <w:rsid w:val="7B95488E"/>
    <w:rsid w:val="7B994FC1"/>
    <w:rsid w:val="7B9A18F8"/>
    <w:rsid w:val="7BA22BE2"/>
    <w:rsid w:val="7BA41AFF"/>
    <w:rsid w:val="7BB235E1"/>
    <w:rsid w:val="7BD914C4"/>
    <w:rsid w:val="7BE867EE"/>
    <w:rsid w:val="7C080629"/>
    <w:rsid w:val="7C151789"/>
    <w:rsid w:val="7C183EAB"/>
    <w:rsid w:val="7C220E4D"/>
    <w:rsid w:val="7C4B5599"/>
    <w:rsid w:val="7C4E0363"/>
    <w:rsid w:val="7C7B12F8"/>
    <w:rsid w:val="7C9209F4"/>
    <w:rsid w:val="7C9D482D"/>
    <w:rsid w:val="7CBB4F09"/>
    <w:rsid w:val="7CCA03C7"/>
    <w:rsid w:val="7CCF02DD"/>
    <w:rsid w:val="7CD17FC4"/>
    <w:rsid w:val="7D040507"/>
    <w:rsid w:val="7D212432"/>
    <w:rsid w:val="7D2240C5"/>
    <w:rsid w:val="7D30172A"/>
    <w:rsid w:val="7D395A76"/>
    <w:rsid w:val="7D485CA9"/>
    <w:rsid w:val="7D494DE7"/>
    <w:rsid w:val="7D57702A"/>
    <w:rsid w:val="7D6C195E"/>
    <w:rsid w:val="7DA63F5D"/>
    <w:rsid w:val="7DAD52B0"/>
    <w:rsid w:val="7DC46A60"/>
    <w:rsid w:val="7DC53EF3"/>
    <w:rsid w:val="7DDF3FE7"/>
    <w:rsid w:val="7DDF5B00"/>
    <w:rsid w:val="7DE4050A"/>
    <w:rsid w:val="7E280387"/>
    <w:rsid w:val="7E33255B"/>
    <w:rsid w:val="7E374E1F"/>
    <w:rsid w:val="7E5935B8"/>
    <w:rsid w:val="7E5D7725"/>
    <w:rsid w:val="7E6941C7"/>
    <w:rsid w:val="7E757F65"/>
    <w:rsid w:val="7E77659C"/>
    <w:rsid w:val="7E7960EB"/>
    <w:rsid w:val="7E8A2395"/>
    <w:rsid w:val="7E8D3463"/>
    <w:rsid w:val="7E9F3D71"/>
    <w:rsid w:val="7EA948B5"/>
    <w:rsid w:val="7EAB216E"/>
    <w:rsid w:val="7EB65274"/>
    <w:rsid w:val="7EBA1BA3"/>
    <w:rsid w:val="7EC640D5"/>
    <w:rsid w:val="7ECF6AC9"/>
    <w:rsid w:val="7EE05648"/>
    <w:rsid w:val="7EE12C0E"/>
    <w:rsid w:val="7EE24CBD"/>
    <w:rsid w:val="7F0071F9"/>
    <w:rsid w:val="7F1622E5"/>
    <w:rsid w:val="7F1A7603"/>
    <w:rsid w:val="7F2217EE"/>
    <w:rsid w:val="7F3038A7"/>
    <w:rsid w:val="7F365276"/>
    <w:rsid w:val="7F3D65B1"/>
    <w:rsid w:val="7F445F42"/>
    <w:rsid w:val="7F4A13A8"/>
    <w:rsid w:val="7F500B23"/>
    <w:rsid w:val="7F545770"/>
    <w:rsid w:val="7F781F16"/>
    <w:rsid w:val="7F854F24"/>
    <w:rsid w:val="7F944B70"/>
    <w:rsid w:val="7F973BD0"/>
    <w:rsid w:val="7FD75A9F"/>
    <w:rsid w:val="7FFC0E9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5"/>
    <w:qFormat/>
    <w:uiPriority w:val="0"/>
    <w:pPr>
      <w:keepNext/>
      <w:spacing w:line="360" w:lineRule="auto"/>
      <w:jc w:val="center"/>
      <w:outlineLvl w:val="0"/>
    </w:pPr>
    <w:rPr>
      <w:rFonts w:ascii="宋体" w:hAnsi="宋体"/>
      <w:sz w:val="28"/>
    </w:rPr>
  </w:style>
  <w:style w:type="paragraph" w:styleId="5">
    <w:name w:val="heading 2"/>
    <w:basedOn w:val="1"/>
    <w:next w:val="1"/>
    <w:qFormat/>
    <w:uiPriority w:val="0"/>
    <w:pPr>
      <w:widowControl/>
      <w:outlineLvl w:val="1"/>
    </w:pPr>
    <w:rPr>
      <w:rFonts w:ascii="黑体" w:hAnsi="宋体" w:eastAsia="黑体"/>
      <w:color w:val="000000"/>
      <w:sz w:val="32"/>
    </w:rPr>
  </w:style>
  <w:style w:type="paragraph" w:styleId="6">
    <w:name w:val="heading 3"/>
    <w:basedOn w:val="1"/>
    <w:next w:val="1"/>
    <w:link w:val="72"/>
    <w:qFormat/>
    <w:uiPriority w:val="0"/>
    <w:pPr>
      <w:keepNext/>
      <w:keepLines/>
      <w:spacing w:before="260" w:after="260" w:line="416" w:lineRule="auto"/>
      <w:outlineLvl w:val="2"/>
    </w:pPr>
    <w:rPr>
      <w:b/>
      <w:bCs/>
      <w:sz w:val="32"/>
      <w:szCs w:val="32"/>
    </w:rPr>
  </w:style>
  <w:style w:type="character" w:default="1" w:styleId="26">
    <w:name w:val="Default Paragraph Font"/>
    <w:link w:val="27"/>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3">
    <w:name w:val="Body Text Indent"/>
    <w:basedOn w:val="1"/>
    <w:qFormat/>
    <w:uiPriority w:val="0"/>
    <w:pPr>
      <w:spacing w:after="120"/>
      <w:ind w:left="420" w:leftChars="200"/>
    </w:pPr>
  </w:style>
  <w:style w:type="paragraph" w:styleId="7">
    <w:name w:val="Note Heading"/>
    <w:basedOn w:val="1"/>
    <w:next w:val="1"/>
    <w:qFormat/>
    <w:uiPriority w:val="0"/>
    <w:pPr>
      <w:jc w:val="center"/>
    </w:pPr>
    <w:rPr>
      <w:szCs w:val="20"/>
    </w:rPr>
  </w:style>
  <w:style w:type="paragraph" w:styleId="8">
    <w:name w:val="Normal Indent"/>
    <w:basedOn w:val="1"/>
    <w:qFormat/>
    <w:uiPriority w:val="0"/>
    <w:pPr>
      <w:ind w:firstLine="420" w:firstLineChars="200"/>
    </w:pPr>
  </w:style>
  <w:style w:type="paragraph" w:styleId="9">
    <w:name w:val="Document Map"/>
    <w:basedOn w:val="1"/>
    <w:semiHidden/>
    <w:qFormat/>
    <w:uiPriority w:val="0"/>
    <w:pPr>
      <w:shd w:val="clear" w:color="auto" w:fill="000080"/>
    </w:pPr>
  </w:style>
  <w:style w:type="paragraph" w:styleId="10">
    <w:name w:val="toa heading"/>
    <w:basedOn w:val="1"/>
    <w:next w:val="1"/>
    <w:qFormat/>
    <w:uiPriority w:val="0"/>
    <w:pPr>
      <w:spacing w:before="120" w:beforeLines="0" w:line="360" w:lineRule="auto"/>
    </w:pPr>
    <w:rPr>
      <w:rFonts w:ascii="Arial" w:hAnsi="Arial" w:cs="Arial"/>
      <w:sz w:val="24"/>
      <w:szCs w:val="24"/>
    </w:rPr>
  </w:style>
  <w:style w:type="paragraph" w:styleId="11">
    <w:name w:val="annotation text"/>
    <w:basedOn w:val="1"/>
    <w:semiHidden/>
    <w:qFormat/>
    <w:uiPriority w:val="0"/>
    <w:pPr>
      <w:jc w:val="left"/>
    </w:pPr>
  </w:style>
  <w:style w:type="paragraph" w:styleId="12">
    <w:name w:val="Body Text"/>
    <w:basedOn w:val="1"/>
    <w:next w:val="13"/>
    <w:link w:val="67"/>
    <w:qFormat/>
    <w:uiPriority w:val="0"/>
    <w:pPr>
      <w:spacing w:line="360" w:lineRule="auto"/>
    </w:pPr>
    <w:rPr>
      <w:sz w:val="28"/>
    </w:rPr>
  </w:style>
  <w:style w:type="paragraph" w:customStyle="1" w:styleId="13">
    <w:name w:val="Date1"/>
    <w:basedOn w:val="1"/>
    <w:next w:val="1"/>
    <w:qFormat/>
    <w:uiPriority w:val="0"/>
    <w:rPr>
      <w:sz w:val="21"/>
      <w:szCs w:val="20"/>
    </w:rPr>
  </w:style>
  <w:style w:type="paragraph" w:styleId="14">
    <w:name w:val="Plain Text"/>
    <w:basedOn w:val="1"/>
    <w:link w:val="69"/>
    <w:qFormat/>
    <w:uiPriority w:val="0"/>
    <w:rPr>
      <w:rFonts w:ascii="宋体" w:hAnsi="Courier New" w:cs="Courier New"/>
      <w:szCs w:val="21"/>
    </w:rPr>
  </w:style>
  <w:style w:type="paragraph" w:styleId="15">
    <w:name w:val="Date"/>
    <w:basedOn w:val="1"/>
    <w:next w:val="1"/>
    <w:qFormat/>
    <w:uiPriority w:val="0"/>
    <w:pPr>
      <w:ind w:leftChars="2500"/>
    </w:pPr>
    <w:rPr>
      <w:rFonts w:hint="eastAsia" w:ascii="仿宋_GB2312" w:hAnsi="Courier New" w:eastAsia="仿宋_GB2312"/>
      <w:sz w:val="32"/>
      <w:szCs w:val="20"/>
    </w:rPr>
  </w:style>
  <w:style w:type="paragraph" w:styleId="16">
    <w:name w:val="Body Text Indent 2"/>
    <w:basedOn w:val="1"/>
    <w:link w:val="68"/>
    <w:qFormat/>
    <w:uiPriority w:val="0"/>
    <w:pPr>
      <w:spacing w:before="240" w:line="360" w:lineRule="auto"/>
      <w:ind w:firstLine="560" w:firstLineChars="200"/>
    </w:pPr>
    <w:rPr>
      <w:sz w:val="28"/>
    </w:rPr>
  </w:style>
  <w:style w:type="paragraph" w:styleId="17">
    <w:name w:val="Balloon Text"/>
    <w:basedOn w:val="1"/>
    <w:semiHidden/>
    <w:qFormat/>
    <w:uiPriority w:val="0"/>
    <w:rPr>
      <w:sz w:val="18"/>
      <w:szCs w:val="18"/>
    </w:rPr>
  </w:style>
  <w:style w:type="paragraph" w:styleId="18">
    <w:name w:val="footer"/>
    <w:basedOn w:val="1"/>
    <w:qFormat/>
    <w:uiPriority w:val="0"/>
    <w:pPr>
      <w:tabs>
        <w:tab w:val="center" w:pos="4153"/>
        <w:tab w:val="right" w:pos="8306"/>
      </w:tabs>
      <w:snapToGrid w:val="0"/>
      <w:jc w:val="left"/>
    </w:pPr>
    <w:rPr>
      <w:rFonts w:eastAsia="仿宋_GB2312"/>
      <w:kern w:val="0"/>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pPr>
      <w:spacing w:before="120" w:after="120"/>
      <w:jc w:val="left"/>
    </w:pPr>
    <w:rPr>
      <w:b/>
      <w:bCs/>
      <w:caps/>
    </w:rPr>
  </w:style>
  <w:style w:type="paragraph" w:styleId="21">
    <w:name w:val="Body Text Indent 3"/>
    <w:basedOn w:val="1"/>
    <w:qFormat/>
    <w:uiPriority w:val="0"/>
    <w:pPr>
      <w:ind w:firstLine="480"/>
    </w:pPr>
    <w:rPr>
      <w:rFonts w:ascii="新宋体" w:hAnsi="新宋体" w:eastAsia="新宋体"/>
      <w:kern w:val="0"/>
      <w:sz w:val="24"/>
    </w:rPr>
  </w:style>
  <w:style w:type="paragraph" w:styleId="22">
    <w:name w:val="Normal (Web)"/>
    <w:basedOn w:val="1"/>
    <w:qFormat/>
    <w:uiPriority w:val="0"/>
    <w:pPr>
      <w:widowControl/>
      <w:spacing w:before="100" w:beforeAutospacing="1" w:after="100" w:afterAutospacing="1" w:line="360" w:lineRule="atLeast"/>
      <w:jc w:val="left"/>
    </w:pPr>
    <w:rPr>
      <w:rFonts w:ascii="宋体" w:hAnsi="宋体" w:cs="宋体"/>
      <w:kern w:val="0"/>
      <w:sz w:val="18"/>
      <w:szCs w:val="18"/>
    </w:rPr>
  </w:style>
  <w:style w:type="paragraph" w:styleId="23">
    <w:name w:val="Body Text First Indent"/>
    <w:basedOn w:val="12"/>
    <w:qFormat/>
    <w:uiPriority w:val="0"/>
    <w:pPr>
      <w:spacing w:after="120" w:line="240" w:lineRule="auto"/>
      <w:ind w:firstLine="420" w:firstLineChars="100"/>
    </w:pPr>
    <w:rPr>
      <w:sz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 Char Char Char Char Char Char Char Char Char Char Char Char Char Char Char Char Char Char"/>
    <w:basedOn w:val="1"/>
    <w:link w:val="26"/>
    <w:semiHidden/>
    <w:qFormat/>
    <w:uiPriority w:val="0"/>
  </w:style>
  <w:style w:type="character" w:styleId="28">
    <w:name w:val="Strong"/>
    <w:basedOn w:val="26"/>
    <w:qFormat/>
    <w:uiPriority w:val="0"/>
    <w:rPr>
      <w:b/>
    </w:rPr>
  </w:style>
  <w:style w:type="character" w:styleId="29">
    <w:name w:val="page number"/>
    <w:basedOn w:val="26"/>
    <w:qFormat/>
    <w:uiPriority w:val="0"/>
  </w:style>
  <w:style w:type="character" w:styleId="30">
    <w:name w:val="Hyperlink"/>
    <w:basedOn w:val="26"/>
    <w:qFormat/>
    <w:uiPriority w:val="0"/>
    <w:rPr>
      <w:color w:val="0000FF"/>
      <w:u w:val="single"/>
    </w:rPr>
  </w:style>
  <w:style w:type="paragraph" w:customStyle="1" w:styleId="31">
    <w:name w:val="默认段落字体 Para Char Char Char Char Char"/>
    <w:basedOn w:val="1"/>
    <w:link w:val="26"/>
    <w:qFormat/>
    <w:uiPriority w:val="0"/>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Body Text First Indent 21"/>
    <w:basedOn w:val="34"/>
    <w:next w:val="32"/>
    <w:qFormat/>
    <w:uiPriority w:val="0"/>
    <w:pPr>
      <w:tabs>
        <w:tab w:val="left" w:pos="6615"/>
      </w:tabs>
      <w:ind w:firstLine="200" w:firstLineChars="200"/>
    </w:pPr>
  </w:style>
  <w:style w:type="paragraph" w:customStyle="1" w:styleId="34">
    <w:name w:val="Body Text Indent1"/>
    <w:basedOn w:val="1"/>
    <w:next w:val="35"/>
    <w:qFormat/>
    <w:uiPriority w:val="0"/>
    <w:pPr>
      <w:ind w:firstLine="480" w:firstLineChars="200"/>
    </w:pPr>
    <w:rPr>
      <w:sz w:val="24"/>
    </w:rPr>
  </w:style>
  <w:style w:type="paragraph" w:customStyle="1" w:styleId="35">
    <w:name w:val="Body Text First Indent1"/>
    <w:basedOn w:val="12"/>
    <w:qFormat/>
    <w:uiPriority w:val="0"/>
    <w:pPr>
      <w:spacing w:after="120" w:afterLines="0"/>
      <w:ind w:firstLine="420" w:firstLineChars="100"/>
    </w:pPr>
    <w:rPr>
      <w:sz w:val="21"/>
    </w:rPr>
  </w:style>
  <w:style w:type="paragraph" w:customStyle="1" w:styleId="36">
    <w:name w:val="默认段落字体 Para Char Char Char Char"/>
    <w:basedOn w:val="1"/>
    <w:qFormat/>
    <w:uiPriority w:val="0"/>
    <w:rPr>
      <w:sz w:val="24"/>
    </w:rPr>
  </w:style>
  <w:style w:type="paragraph" w:customStyle="1" w:styleId="37">
    <w:name w:val=" Char1"/>
    <w:basedOn w:val="1"/>
    <w:qFormat/>
    <w:uiPriority w:val="0"/>
    <w:rPr>
      <w:sz w:val="24"/>
    </w:rPr>
  </w:style>
  <w:style w:type="paragraph" w:customStyle="1" w:styleId="38">
    <w:name w:val="表文字"/>
    <w:basedOn w:val="1"/>
    <w:qFormat/>
    <w:uiPriority w:val="0"/>
    <w:pPr>
      <w:spacing w:line="240" w:lineRule="atLeast"/>
      <w:jc w:val="center"/>
    </w:pPr>
    <w:rPr>
      <w:rFonts w:ascii="宋体" w:hAnsi="宋体"/>
      <w:szCs w:val="28"/>
    </w:rPr>
  </w:style>
  <w:style w:type="paragraph" w:customStyle="1" w:styleId="39">
    <w:name w:val="正文样式"/>
    <w:basedOn w:val="1"/>
    <w:qFormat/>
    <w:uiPriority w:val="0"/>
    <w:pPr>
      <w:keepNext w:val="0"/>
      <w:keepLines w:val="0"/>
      <w:widowControl w:val="0"/>
      <w:suppressLineNumbers w:val="0"/>
      <w:spacing w:before="0" w:beforeAutospacing="0" w:after="0" w:afterAutospacing="0" w:line="360" w:lineRule="auto"/>
      <w:ind w:left="0" w:right="170" w:firstLine="480" w:firstLineChars="200"/>
      <w:jc w:val="both"/>
    </w:pPr>
    <w:rPr>
      <w:rFonts w:hint="default" w:ascii="Times New Roman" w:hAnsi="宋体" w:eastAsia="宋体" w:cs="Times New Roman"/>
      <w:kern w:val="2"/>
      <w:sz w:val="24"/>
      <w:szCs w:val="24"/>
      <w:lang w:val="en-US" w:eastAsia="zh-CN" w:bidi="ar"/>
    </w:rPr>
  </w:style>
  <w:style w:type="paragraph" w:customStyle="1" w:styleId="40">
    <w:name w:val="报告书正文"/>
    <w:basedOn w:val="1"/>
    <w:link w:val="64"/>
    <w:qFormat/>
    <w:uiPriority w:val="0"/>
    <w:pPr>
      <w:adjustRightInd w:val="0"/>
      <w:snapToGrid w:val="0"/>
      <w:spacing w:line="360" w:lineRule="auto"/>
      <w:ind w:firstLine="425"/>
      <w:textAlignment w:val="baseline"/>
    </w:pPr>
    <w:rPr>
      <w:rFonts w:ascii="Arial" w:hAnsi="Arial"/>
      <w:kern w:val="0"/>
      <w:sz w:val="24"/>
      <w:szCs w:val="20"/>
    </w:rPr>
  </w:style>
  <w:style w:type="paragraph" w:customStyle="1" w:styleId="41">
    <w:name w:val="中文报告书"/>
    <w:basedOn w:val="1"/>
    <w:qFormat/>
    <w:uiPriority w:val="0"/>
    <w:pPr>
      <w:adjustRightInd w:val="0"/>
      <w:spacing w:after="80" w:line="420" w:lineRule="atLeast"/>
      <w:jc w:val="left"/>
      <w:textAlignment w:val="baseline"/>
    </w:pPr>
    <w:rPr>
      <w:kern w:val="0"/>
      <w:sz w:val="24"/>
      <w:szCs w:val="20"/>
    </w:rPr>
  </w:style>
  <w:style w:type="paragraph" w:customStyle="1" w:styleId="42">
    <w:name w:val="表内字"/>
    <w:basedOn w:val="1"/>
    <w:qFormat/>
    <w:uiPriority w:val="0"/>
    <w:pPr>
      <w:spacing w:line="360" w:lineRule="exact"/>
      <w:jc w:val="center"/>
    </w:pPr>
    <w:rPr>
      <w:color w:val="000000"/>
    </w:rPr>
  </w:style>
  <w:style w:type="paragraph" w:customStyle="1" w:styleId="43">
    <w:name w:val=" Char2"/>
    <w:basedOn w:val="1"/>
    <w:qFormat/>
    <w:uiPriority w:val="0"/>
    <w:rPr>
      <w:sz w:val="24"/>
    </w:rPr>
  </w:style>
  <w:style w:type="paragraph" w:customStyle="1" w:styleId="44">
    <w:name w:val="正文168"/>
    <w:basedOn w:val="1"/>
    <w:qFormat/>
    <w:uiPriority w:val="0"/>
    <w:pPr>
      <w:tabs>
        <w:tab w:val="left" w:pos="4730"/>
      </w:tabs>
      <w:adjustRightInd w:val="0"/>
      <w:snapToGrid w:val="0"/>
      <w:spacing w:line="400" w:lineRule="exact"/>
      <w:jc w:val="center"/>
      <w:textAlignment w:val="baseline"/>
    </w:pPr>
    <w:rPr>
      <w:kern w:val="0"/>
      <w:sz w:val="24"/>
    </w:rPr>
  </w:style>
  <w:style w:type="paragraph" w:customStyle="1" w:styleId="45">
    <w:name w:val="封面标准文稿编辑信息"/>
    <w:qFormat/>
    <w:uiPriority w:val="0"/>
    <w:pPr>
      <w:numPr>
        <w:ilvl w:val="0"/>
        <w:numId w:val="1"/>
      </w:numPr>
      <w:tabs>
        <w:tab w:val="clear" w:pos="720"/>
      </w:tabs>
      <w:spacing w:before="180" w:line="180" w:lineRule="exact"/>
      <w:jc w:val="center"/>
    </w:pPr>
    <w:rPr>
      <w:rFonts w:ascii="宋体" w:hAnsi="Times New Roman" w:eastAsia="宋体" w:cs="Times New Roman"/>
      <w:sz w:val="21"/>
      <w:lang w:val="en-US" w:eastAsia="zh-CN" w:bidi="ar-SA"/>
    </w:rPr>
  </w:style>
  <w:style w:type="paragraph" w:customStyle="1" w:styleId="46">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47">
    <w:name w:val="报告书正文样式1"/>
    <w:basedOn w:val="40"/>
    <w:qFormat/>
    <w:uiPriority w:val="0"/>
    <w:pPr>
      <w:adjustRightInd w:val="0"/>
      <w:snapToGrid w:val="0"/>
      <w:spacing w:line="360" w:lineRule="auto"/>
      <w:ind w:firstLine="425"/>
      <w:textAlignment w:val="baseline"/>
    </w:pPr>
    <w:rPr>
      <w:rFonts w:ascii="Arial" w:hAnsi="Arial" w:cs="Arial"/>
      <w:kern w:val="0"/>
      <w:sz w:val="24"/>
    </w:rPr>
  </w:style>
  <w:style w:type="paragraph" w:customStyle="1" w:styleId="48">
    <w:name w:val="_Style 24"/>
    <w:basedOn w:val="1"/>
    <w:qFormat/>
    <w:uiPriority w:val="0"/>
    <w:rPr>
      <w:szCs w:val="20"/>
    </w:rPr>
  </w:style>
  <w:style w:type="paragraph" w:customStyle="1" w:styleId="49">
    <w:name w:val="表格内文字格式"/>
    <w:basedOn w:val="1"/>
    <w:next w:val="1"/>
    <w:link w:val="71"/>
    <w:qFormat/>
    <w:uiPriority w:val="0"/>
    <w:pPr>
      <w:spacing w:line="360" w:lineRule="auto"/>
      <w:ind w:right="-49" w:rightChars="-26" w:firstLine="436" w:firstLineChars="200"/>
      <w:jc w:val="left"/>
    </w:pPr>
    <w:rPr>
      <w:rFonts w:ascii="Arial" w:hAnsi="Arial" w:cs="Arial"/>
      <w:bCs/>
      <w:kern w:val="10"/>
      <w:sz w:val="24"/>
      <w:szCs w:val="21"/>
    </w:rPr>
  </w:style>
  <w:style w:type="paragraph" w:customStyle="1" w:styleId="50">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51">
    <w:name w:val="表头说明文字"/>
    <w:basedOn w:val="1"/>
    <w:next w:val="1"/>
    <w:qFormat/>
    <w:uiPriority w:val="0"/>
    <w:rPr>
      <w:rFonts w:ascii="宋体" w:hAnsi="宋体"/>
      <w:szCs w:val="21"/>
    </w:rPr>
  </w:style>
  <w:style w:type="paragraph" w:customStyle="1" w:styleId="52">
    <w:name w:val="固定表格内部1"/>
    <w:basedOn w:val="1"/>
    <w:qFormat/>
    <w:uiPriority w:val="0"/>
    <w:pPr>
      <w:snapToGrid w:val="0"/>
      <w:jc w:val="center"/>
    </w:pPr>
    <w:rPr>
      <w:rFonts w:ascii="宋体"/>
      <w:spacing w:val="4"/>
      <w:sz w:val="24"/>
    </w:rPr>
  </w:style>
  <w:style w:type="paragraph" w:customStyle="1" w:styleId="53">
    <w:name w:val="表头"/>
    <w:basedOn w:val="47"/>
    <w:qFormat/>
    <w:uiPriority w:val="0"/>
    <w:pPr>
      <w:adjustRightInd w:val="0"/>
      <w:snapToGrid w:val="0"/>
      <w:jc w:val="center"/>
    </w:pPr>
    <w:rPr>
      <w:rFonts w:eastAsia="黑体"/>
      <w:color w:val="000000"/>
      <w:sz w:val="24"/>
    </w:rPr>
  </w:style>
  <w:style w:type="paragraph" w:customStyle="1" w:styleId="54">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55">
    <w:name w:val="图表文字"/>
    <w:basedOn w:val="1"/>
    <w:qFormat/>
    <w:uiPriority w:val="0"/>
    <w:pPr>
      <w:spacing w:line="400" w:lineRule="exact"/>
      <w:jc w:val="center"/>
    </w:pPr>
    <w:rPr>
      <w:color w:val="000000"/>
      <w:szCs w:val="21"/>
    </w:rPr>
  </w:style>
  <w:style w:type="paragraph" w:customStyle="1" w:styleId="56">
    <w:name w:val="标题1"/>
    <w:basedOn w:val="1"/>
    <w:next w:val="12"/>
    <w:qFormat/>
    <w:uiPriority w:val="0"/>
    <w:pPr>
      <w:keepNext/>
      <w:keepLines/>
      <w:suppressAutoHyphens/>
      <w:spacing w:before="240" w:after="60"/>
    </w:pPr>
    <w:rPr>
      <w:rFonts w:ascii="Arial" w:hAnsi="Arial" w:cs="Tahoma"/>
      <w:b/>
      <w:bCs/>
      <w:kern w:val="1"/>
      <w:sz w:val="32"/>
      <w:szCs w:val="32"/>
    </w:rPr>
  </w:style>
  <w:style w:type="paragraph" w:customStyle="1" w:styleId="57">
    <w:name w:val="表头文字"/>
    <w:basedOn w:val="1"/>
    <w:qFormat/>
    <w:uiPriority w:val="0"/>
    <w:pPr>
      <w:ind w:right="-73" w:firstLine="348"/>
      <w:jc w:val="center"/>
    </w:pPr>
    <w:rPr>
      <w:rFonts w:ascii="宋体" w:hAnsi="宋体" w:cs="Arial"/>
      <w:b/>
      <w:kern w:val="0"/>
      <w:sz w:val="30"/>
      <w:szCs w:val="30"/>
    </w:rPr>
  </w:style>
  <w:style w:type="paragraph" w:customStyle="1" w:styleId="58">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正文1 Char Char"/>
    <w:basedOn w:val="1"/>
    <w:link w:val="70"/>
    <w:semiHidden/>
    <w:qFormat/>
    <w:uiPriority w:val="0"/>
    <w:pPr>
      <w:spacing w:line="560" w:lineRule="exact"/>
      <w:ind w:firstLine="200" w:firstLineChars="200"/>
    </w:pPr>
    <w:rPr>
      <w:kern w:val="0"/>
      <w:sz w:val="28"/>
      <w:szCs w:val="28"/>
      <w:lang w:val="zh-CN"/>
    </w:rPr>
  </w:style>
  <w:style w:type="paragraph" w:customStyle="1" w:styleId="60">
    <w:name w:val="表格内容（正）"/>
    <w:basedOn w:val="8"/>
    <w:qFormat/>
    <w:uiPriority w:val="0"/>
    <w:pPr>
      <w:spacing w:line="288" w:lineRule="auto"/>
      <w:ind w:firstLine="0" w:firstLineChars="0"/>
      <w:jc w:val="center"/>
    </w:pPr>
    <w:rPr>
      <w:rFonts w:cs="宋体"/>
      <w:szCs w:val="21"/>
    </w:rPr>
  </w:style>
  <w:style w:type="paragraph" w:customStyle="1" w:styleId="61">
    <w:name w:val="表格文字"/>
    <w:basedOn w:val="8"/>
    <w:qFormat/>
    <w:uiPriority w:val="0"/>
    <w:pPr>
      <w:snapToGrid w:val="0"/>
      <w:spacing w:line="340" w:lineRule="exact"/>
      <w:ind w:firstLine="0" w:firstLineChars="0"/>
      <w:jc w:val="center"/>
    </w:pPr>
    <w:rPr>
      <w:rFonts w:ascii="宋体" w:hAnsi="Arial"/>
      <w:szCs w:val="20"/>
    </w:rPr>
  </w:style>
  <w:style w:type="paragraph" w:customStyle="1" w:styleId="62">
    <w:name w:val="Header Base"/>
    <w:basedOn w:val="12"/>
    <w:qFormat/>
    <w:uiPriority w:val="0"/>
    <w:pPr>
      <w:keepLines/>
      <w:widowControl/>
      <w:tabs>
        <w:tab w:val="center" w:pos="4320"/>
        <w:tab w:val="right" w:pos="8640"/>
      </w:tabs>
      <w:spacing w:line="180" w:lineRule="atLeast"/>
    </w:pPr>
    <w:rPr>
      <w:rFonts w:ascii="Arial" w:hAnsi="Arial"/>
      <w:spacing w:val="-5"/>
      <w:kern w:val="0"/>
      <w:szCs w:val="20"/>
    </w:rPr>
  </w:style>
  <w:style w:type="character" w:customStyle="1" w:styleId="63">
    <w:name w:val="font01"/>
    <w:basedOn w:val="26"/>
    <w:qFormat/>
    <w:uiPriority w:val="0"/>
    <w:rPr>
      <w:rFonts w:ascii="font-weight : 400" w:hAnsi="font-weight : 400" w:eastAsia="font-weight : 400" w:cs="font-weight : 400"/>
      <w:color w:val="000000"/>
      <w:sz w:val="22"/>
      <w:szCs w:val="22"/>
      <w:u w:val="none"/>
    </w:rPr>
  </w:style>
  <w:style w:type="character" w:customStyle="1" w:styleId="64">
    <w:name w:val="报告书正文 Char"/>
    <w:basedOn w:val="26"/>
    <w:link w:val="40"/>
    <w:qFormat/>
    <w:uiPriority w:val="0"/>
    <w:rPr>
      <w:rFonts w:ascii="Arial" w:hAnsi="Arial" w:eastAsia="宋体"/>
      <w:sz w:val="24"/>
      <w:lang w:val="en-US" w:eastAsia="zh-CN" w:bidi="ar-SA"/>
    </w:rPr>
  </w:style>
  <w:style w:type="character" w:customStyle="1" w:styleId="65">
    <w:name w:val=" Char Char2"/>
    <w:basedOn w:val="26"/>
    <w:link w:val="4"/>
    <w:qFormat/>
    <w:uiPriority w:val="0"/>
    <w:rPr>
      <w:rFonts w:ascii="宋体" w:hAnsi="宋体" w:eastAsia="宋体"/>
      <w:kern w:val="2"/>
      <w:sz w:val="28"/>
      <w:szCs w:val="24"/>
      <w:lang w:val="en-US" w:eastAsia="zh-CN" w:bidi="ar-SA"/>
    </w:rPr>
  </w:style>
  <w:style w:type="character" w:customStyle="1" w:styleId="66">
    <w:name w:val="style2"/>
    <w:basedOn w:val="26"/>
    <w:qFormat/>
    <w:uiPriority w:val="0"/>
  </w:style>
  <w:style w:type="character" w:customStyle="1" w:styleId="67">
    <w:name w:val=" Char Char1"/>
    <w:basedOn w:val="26"/>
    <w:link w:val="12"/>
    <w:qFormat/>
    <w:uiPriority w:val="0"/>
    <w:rPr>
      <w:rFonts w:eastAsia="宋体"/>
      <w:kern w:val="2"/>
      <w:sz w:val="28"/>
      <w:szCs w:val="24"/>
      <w:lang w:val="en-US" w:eastAsia="zh-CN" w:bidi="ar-SA"/>
    </w:rPr>
  </w:style>
  <w:style w:type="character" w:customStyle="1" w:styleId="68">
    <w:name w:val=" Char Char"/>
    <w:basedOn w:val="26"/>
    <w:link w:val="16"/>
    <w:qFormat/>
    <w:uiPriority w:val="0"/>
    <w:rPr>
      <w:rFonts w:eastAsia="宋体"/>
      <w:kern w:val="2"/>
      <w:sz w:val="28"/>
      <w:szCs w:val="24"/>
      <w:lang w:val="en-US" w:eastAsia="zh-CN" w:bidi="ar-SA"/>
    </w:rPr>
  </w:style>
  <w:style w:type="character" w:customStyle="1" w:styleId="69">
    <w:name w:val="纯文本 Char"/>
    <w:basedOn w:val="26"/>
    <w:link w:val="14"/>
    <w:qFormat/>
    <w:uiPriority w:val="0"/>
    <w:rPr>
      <w:rFonts w:ascii="宋体" w:hAnsi="Courier New" w:eastAsia="宋体" w:cs="Courier New"/>
      <w:kern w:val="2"/>
      <w:sz w:val="21"/>
      <w:szCs w:val="21"/>
      <w:lang w:val="en-US" w:eastAsia="zh-CN" w:bidi="ar-SA"/>
    </w:rPr>
  </w:style>
  <w:style w:type="character" w:customStyle="1" w:styleId="70">
    <w:name w:val="正文1 Char Char Char"/>
    <w:basedOn w:val="26"/>
    <w:link w:val="59"/>
    <w:qFormat/>
    <w:uiPriority w:val="0"/>
    <w:rPr>
      <w:rFonts w:eastAsia="宋体"/>
      <w:sz w:val="28"/>
      <w:szCs w:val="28"/>
      <w:lang w:val="zh-CN" w:eastAsia="zh-CN" w:bidi="ar-SA"/>
    </w:rPr>
  </w:style>
  <w:style w:type="character" w:customStyle="1" w:styleId="71">
    <w:name w:val="表格内文字格式 Char"/>
    <w:basedOn w:val="26"/>
    <w:link w:val="49"/>
    <w:qFormat/>
    <w:uiPriority w:val="0"/>
    <w:rPr>
      <w:rFonts w:ascii="Arial" w:hAnsi="Arial" w:eastAsia="宋体" w:cs="Arial"/>
      <w:bCs/>
      <w:kern w:val="10"/>
      <w:sz w:val="24"/>
      <w:szCs w:val="21"/>
      <w:lang w:val="en-US" w:eastAsia="zh-CN" w:bidi="ar-SA"/>
    </w:rPr>
  </w:style>
  <w:style w:type="character" w:customStyle="1" w:styleId="72">
    <w:name w:val=" Char Char7"/>
    <w:basedOn w:val="26"/>
    <w:link w:val="6"/>
    <w:qFormat/>
    <w:uiPriority w:val="0"/>
    <w:rPr>
      <w:rFonts w:eastAsia="宋体"/>
      <w:b/>
      <w:bCs/>
      <w:kern w:val="2"/>
      <w:sz w:val="32"/>
      <w:szCs w:val="32"/>
      <w:lang w:val="en-US" w:eastAsia="zh-CN" w:bidi="ar-SA"/>
    </w:rPr>
  </w:style>
  <w:style w:type="character" w:customStyle="1" w:styleId="73">
    <w:name w:val="font21"/>
    <w:basedOn w:val="26"/>
    <w:qFormat/>
    <w:uiPriority w:val="0"/>
    <w:rPr>
      <w:rFonts w:hint="eastAsia" w:ascii="宋体" w:hAnsi="宋体" w:eastAsia="宋体" w:cs="宋体"/>
      <w:color w:val="000000"/>
      <w:sz w:val="16"/>
      <w:szCs w:val="16"/>
      <w:u w:val="none"/>
    </w:rPr>
  </w:style>
  <w:style w:type="character" w:customStyle="1" w:styleId="74">
    <w:name w:val="px14"/>
    <w:basedOn w:val="26"/>
    <w:qFormat/>
    <w:uiPriority w:val="0"/>
  </w:style>
  <w:style w:type="character" w:customStyle="1" w:styleId="75">
    <w:name w:val="font11"/>
    <w:basedOn w:val="26"/>
    <w:qFormat/>
    <w:uiPriority w:val="0"/>
    <w:rPr>
      <w:rFonts w:hint="eastAsia" w:ascii="宋体" w:hAnsi="宋体" w:eastAsia="宋体" w:cs="宋体"/>
      <w:color w:val="000000"/>
      <w:sz w:val="22"/>
      <w:szCs w:val="22"/>
      <w:u w:val="none"/>
    </w:rPr>
  </w:style>
  <w:style w:type="character" w:customStyle="1" w:styleId="76">
    <w:name w:val=" Char"/>
    <w:basedOn w:val="26"/>
    <w:qFormat/>
    <w:uiPriority w:val="0"/>
    <w:rPr>
      <w:rFonts w:eastAsia="宋体"/>
      <w:kern w:val="2"/>
      <w:sz w:val="28"/>
      <w:szCs w:val="24"/>
      <w:lang w:val="en-US" w:eastAsia="zh-CN" w:bidi="ar-SA"/>
    </w:rPr>
  </w:style>
  <w:style w:type="character" w:customStyle="1" w:styleId="77">
    <w:name w:val="普通文字 Char Char1"/>
    <w:qFormat/>
    <w:uiPriority w:val="0"/>
    <w:rPr>
      <w:rFonts w:ascii="宋体" w:hAnsi="Courier New" w:eastAsia="宋体" w:cs="Courier New"/>
      <w:kern w:val="2"/>
      <w:sz w:val="21"/>
      <w:szCs w:val="21"/>
      <w:lang w:val="en-US" w:eastAsia="zh-CN" w:bidi="ar-SA"/>
    </w:rPr>
  </w:style>
  <w:style w:type="paragraph" w:customStyle="1" w:styleId="78">
    <w:name w:val="表格x"/>
    <w:qFormat/>
    <w:uiPriority w:val="0"/>
    <w:pPr>
      <w:adjustRightInd w:val="0"/>
      <w:snapToGrid w:val="0"/>
      <w:jc w:val="center"/>
    </w:pPr>
    <w:rPr>
      <w:rFonts w:ascii="Times New Roman" w:hAnsi="Times New Roman" w:eastAsia="宋体" w:cs="Times New Roman"/>
      <w:color w:val="000000"/>
      <w:sz w:val="21"/>
      <w:szCs w:val="21"/>
      <w:lang w:bidi="ar-SA"/>
    </w:rPr>
  </w:style>
  <w:style w:type="paragraph" w:customStyle="1" w:styleId="79">
    <w:name w:val="_Style 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80">
    <w:name w:val="表格正文"/>
    <w:basedOn w:val="1"/>
    <w:next w:val="1"/>
    <w:semiHidden/>
    <w:qFormat/>
    <w:uiPriority w:val="0"/>
    <w:pPr>
      <w:adjustRightInd w:val="0"/>
      <w:snapToGrid w:val="0"/>
      <w:jc w:val="center"/>
      <w:textAlignment w:val="baseline"/>
    </w:pPr>
    <w:rPr>
      <w:rFonts w:ascii="宋体"/>
      <w:snapToGrid w:val="0"/>
      <w:spacing w:val="4"/>
      <w:kern w:val="0"/>
      <w:szCs w:val="21"/>
    </w:rPr>
  </w:style>
  <w:style w:type="character" w:customStyle="1" w:styleId="81">
    <w:name w:val="font61"/>
    <w:basedOn w:val="26"/>
    <w:qFormat/>
    <w:uiPriority w:val="0"/>
    <w:rPr>
      <w:rFonts w:hint="default" w:ascii="Times New Roman" w:hAnsi="Times New Roman" w:cs="Times New Roman"/>
      <w:color w:val="000000"/>
      <w:sz w:val="21"/>
      <w:szCs w:val="21"/>
      <w:u w:val="none"/>
      <w:vertAlign w:val="subscript"/>
    </w:rPr>
  </w:style>
  <w:style w:type="character" w:customStyle="1" w:styleId="82">
    <w:name w:val="font41"/>
    <w:basedOn w:val="26"/>
    <w:qFormat/>
    <w:uiPriority w:val="0"/>
    <w:rPr>
      <w:rFonts w:hint="default" w:ascii="Times New Roman" w:hAnsi="Times New Roman" w:cs="Times New Roman"/>
      <w:color w:val="000000"/>
      <w:sz w:val="18"/>
      <w:szCs w:val="18"/>
      <w:u w:val="none"/>
      <w:vertAlign w:val="superscript"/>
    </w:rPr>
  </w:style>
  <w:style w:type="character" w:customStyle="1" w:styleId="83">
    <w:name w:val="font91"/>
    <w:basedOn w:val="26"/>
    <w:qFormat/>
    <w:uiPriority w:val="0"/>
    <w:rPr>
      <w:rFonts w:hint="default" w:ascii="Times New Roman" w:hAnsi="Times New Roman" w:cs="Times New Roman"/>
      <w:b/>
      <w:color w:val="000000"/>
      <w:sz w:val="21"/>
      <w:szCs w:val="21"/>
      <w:u w:val="none"/>
    </w:rPr>
  </w:style>
  <w:style w:type="paragraph" w:customStyle="1" w:styleId="84">
    <w:name w:val="徐三级标题"/>
    <w:basedOn w:val="6"/>
    <w:next w:val="1"/>
    <w:qFormat/>
    <w:uiPriority w:val="0"/>
    <w:pPr>
      <w:numPr>
        <w:ilvl w:val="2"/>
        <w:numId w:val="2"/>
      </w:numPr>
      <w:tabs>
        <w:tab w:val="left" w:pos="840"/>
        <w:tab w:val="left" w:pos="1050"/>
        <w:tab w:val="left" w:pos="1260"/>
      </w:tabs>
      <w:adjustRightInd w:val="0"/>
      <w:spacing w:before="60" w:after="60" w:line="500" w:lineRule="exact"/>
      <w:jc w:val="left"/>
      <w:textAlignment w:val="baseline"/>
    </w:pPr>
    <w:rPr>
      <w:rFonts w:eastAsia="Times New Roman"/>
      <w:bCs w:val="0"/>
      <w:kern w:val="0"/>
      <w:sz w:val="24"/>
      <w:szCs w:val="24"/>
    </w:rPr>
  </w:style>
  <w:style w:type="paragraph" w:customStyle="1" w:styleId="85">
    <w:name w:val="徐二级标题"/>
    <w:basedOn w:val="5"/>
    <w:next w:val="1"/>
    <w:qFormat/>
    <w:uiPriority w:val="0"/>
    <w:pPr>
      <w:tabs>
        <w:tab w:val="left" w:pos="840"/>
        <w:tab w:val="left" w:pos="1050"/>
      </w:tabs>
      <w:adjustRightInd w:val="0"/>
      <w:spacing w:before="120" w:after="120" w:line="360" w:lineRule="auto"/>
      <w:jc w:val="left"/>
      <w:textAlignment w:val="baseline"/>
    </w:pPr>
    <w:rPr>
      <w:rFonts w:ascii="Times New Roman" w:hAnsi="Times New Roman" w:eastAsia="黑体" w:cs="Times New Roman"/>
      <w:kern w:val="0"/>
      <w:sz w:val="28"/>
      <w:szCs w:val="28"/>
    </w:rPr>
  </w:style>
  <w:style w:type="paragraph" w:customStyle="1" w:styleId="86">
    <w:name w:val="表格"/>
    <w:basedOn w:val="1"/>
    <w:next w:val="1"/>
    <w:qFormat/>
    <w:uiPriority w:val="0"/>
    <w:pPr>
      <w:jc w:val="center"/>
    </w:pPr>
    <w:rPr>
      <w:sz w:val="24"/>
      <w:szCs w:val="24"/>
    </w:rPr>
  </w:style>
  <w:style w:type="paragraph" w:customStyle="1" w:styleId="87">
    <w:name w:val="表格文字1"/>
    <w:basedOn w:val="1"/>
    <w:qFormat/>
    <w:uiPriority w:val="0"/>
    <w:pPr>
      <w:tabs>
        <w:tab w:val="left" w:pos="0"/>
      </w:tabs>
      <w:autoSpaceDE w:val="0"/>
      <w:autoSpaceDN w:val="0"/>
      <w:adjustRightInd w:val="0"/>
      <w:ind w:right="57"/>
      <w:textAlignment w:val="baseline"/>
    </w:pPr>
    <w:rPr>
      <w:szCs w:val="21"/>
    </w:rPr>
  </w:style>
  <w:style w:type="paragraph" w:customStyle="1" w:styleId="88">
    <w:name w:val="CM28"/>
    <w:basedOn w:val="1"/>
    <w:next w:val="1"/>
    <w:qFormat/>
    <w:uiPriority w:val="0"/>
    <w:pPr>
      <w:autoSpaceDE w:val="0"/>
      <w:autoSpaceDN w:val="0"/>
      <w:adjustRightInd w:val="0"/>
      <w:spacing w:line="468" w:lineRule="atLeast"/>
      <w:jc w:val="left"/>
    </w:pPr>
    <w:rPr>
      <w:rFonts w:ascii="宋体" w:cs="宋体"/>
      <w:kern w:val="0"/>
      <w:sz w:val="24"/>
    </w:rPr>
  </w:style>
  <w:style w:type="paragraph" w:customStyle="1" w:styleId="89">
    <w:name w:val="样式 样式 正文x + 首行缩进:  2 字符2 + 首行缩进:  2 字符"/>
    <w:basedOn w:val="1"/>
    <w:qFormat/>
    <w:uiPriority w:val="0"/>
    <w:pPr>
      <w:spacing w:line="360" w:lineRule="auto"/>
      <w:ind w:firstLine="480" w:firstLineChars="200"/>
    </w:pPr>
    <w:rPr>
      <w:rFonts w:cs="宋体"/>
      <w:kern w:val="24"/>
      <w:sz w:val="24"/>
      <w:szCs w:val="20"/>
      <w:lang w:bidi="he-IL"/>
    </w:rPr>
  </w:style>
  <w:style w:type="paragraph" w:customStyle="1" w:styleId="90">
    <w:name w:val="dxj正文"/>
    <w:basedOn w:val="1"/>
    <w:qFormat/>
    <w:uiPriority w:val="0"/>
    <w:pPr>
      <w:spacing w:line="360" w:lineRule="auto"/>
      <w:ind w:firstLine="200" w:firstLineChars="200"/>
    </w:pPr>
    <w:rPr>
      <w:sz w:val="24"/>
    </w:rPr>
  </w:style>
  <w:style w:type="paragraph" w:customStyle="1" w:styleId="91">
    <w:name w:val="无间隔"/>
    <w:qFormat/>
    <w:uiPriority w:val="1"/>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Microsoft China</Company>
  <Pages>71</Pages>
  <Words>42915</Words>
  <Characters>50281</Characters>
  <Lines>174</Lines>
  <Paragraphs>49</Paragraphs>
  <TotalTime>7</TotalTime>
  <ScaleCrop>false</ScaleCrop>
  <LinksUpToDate>false</LinksUpToDate>
  <CharactersWithSpaces>50610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2013-02-26T08:05:00Z</dcterms:created>
  <dc:creator>软件仓库</dc:creator>
  <cp:lastModifiedBy>sw</cp:lastModifiedBy>
  <cp:lastPrinted>2020-07-17T03:27:00Z</cp:lastPrinted>
  <dcterms:modified xsi:type="dcterms:W3CDTF">2023-06-02T06:57:13Z</dcterms:modified>
  <dc:title>建设项目环境影响报告表</dc:title>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B295E7A244BD4777ACB2DA212D1303F2_12</vt:lpwstr>
  </property>
</Properties>
</file>