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sz w:val="44"/>
          <w:szCs w:val="44"/>
        </w:rPr>
      </w:pPr>
    </w:p>
    <w:p>
      <w:pPr>
        <w:spacing w:line="360" w:lineRule="auto"/>
        <w:jc w:val="center"/>
        <w:rPr>
          <w:rFonts w:ascii="Times New Roman" w:hAnsi="Times New Roman" w:cs="Times New Roman"/>
          <w:b/>
          <w:color w:val="000000"/>
          <w:sz w:val="48"/>
          <w:szCs w:val="48"/>
        </w:rPr>
      </w:pPr>
    </w:p>
    <w:p>
      <w:pPr>
        <w:spacing w:line="720" w:lineRule="auto"/>
        <w:jc w:val="center"/>
        <w:rPr>
          <w:rFonts w:hint="eastAsia" w:ascii="Times New Roman" w:hAnsi="Times New Roman" w:eastAsia="华文新魏" w:cs="Times New Roman"/>
          <w:b/>
          <w:color w:val="000000"/>
          <w:sz w:val="48"/>
          <w:szCs w:val="48"/>
        </w:rPr>
      </w:pPr>
      <w:r>
        <w:rPr>
          <w:rFonts w:ascii="Times New Roman" w:hAnsi="Times New Roman" w:eastAsia="华文新魏" w:cs="Times New Roman"/>
          <w:b/>
          <w:color w:val="000000"/>
          <w:sz w:val="48"/>
          <w:szCs w:val="48"/>
        </w:rPr>
        <w:t>山东安特牧业科技有限公司</w:t>
      </w:r>
    </w:p>
    <w:p>
      <w:pPr>
        <w:spacing w:line="720" w:lineRule="auto"/>
        <w:jc w:val="center"/>
        <w:rPr>
          <w:rFonts w:ascii="Times New Roman" w:hAnsi="Times New Roman" w:eastAsia="华文新魏" w:cs="Times New Roman"/>
          <w:b/>
          <w:color w:val="000000"/>
          <w:sz w:val="48"/>
          <w:szCs w:val="48"/>
        </w:rPr>
      </w:pPr>
      <w:r>
        <w:rPr>
          <w:rFonts w:ascii="Times New Roman" w:hAnsi="Times New Roman" w:eastAsia="华文新魏" w:cs="Times New Roman"/>
          <w:b/>
          <w:color w:val="000000"/>
          <w:sz w:val="48"/>
          <w:szCs w:val="48"/>
        </w:rPr>
        <w:t>兽药扩建项目</w:t>
      </w:r>
      <w:r>
        <w:rPr>
          <w:rFonts w:hint="eastAsia" w:ascii="Times New Roman" w:hAnsi="Times New Roman" w:eastAsia="华文新魏" w:cs="Times New Roman"/>
          <w:b/>
          <w:color w:val="000000"/>
          <w:sz w:val="48"/>
          <w:szCs w:val="48"/>
          <w:lang w:eastAsia="zh-CN"/>
        </w:rPr>
        <w:t>（一期）</w:t>
      </w:r>
      <w:r>
        <w:rPr>
          <w:rFonts w:ascii="Times New Roman" w:hAnsi="Times New Roman" w:eastAsia="华文新魏" w:cs="Times New Roman"/>
          <w:b/>
          <w:color w:val="000000"/>
          <w:sz w:val="48"/>
          <w:szCs w:val="48"/>
        </w:rPr>
        <w:t>竣工环境保护</w:t>
      </w:r>
    </w:p>
    <w:p>
      <w:pPr>
        <w:spacing w:line="720" w:lineRule="auto"/>
        <w:jc w:val="center"/>
        <w:rPr>
          <w:rFonts w:ascii="Times New Roman" w:hAnsi="Times New Roman" w:eastAsia="华文新魏" w:cs="Times New Roman"/>
          <w:b/>
          <w:color w:val="000000"/>
          <w:sz w:val="48"/>
          <w:szCs w:val="48"/>
        </w:rPr>
      </w:pPr>
      <w:r>
        <w:rPr>
          <w:rFonts w:ascii="Times New Roman" w:hAnsi="Times New Roman" w:eastAsia="华文新魏" w:cs="Times New Roman"/>
          <w:b/>
          <w:color w:val="000000"/>
          <w:sz w:val="48"/>
          <w:szCs w:val="48"/>
        </w:rPr>
        <w:t>验收监测报告表</w:t>
      </w:r>
    </w:p>
    <w:p>
      <w:pPr>
        <w:jc w:val="center"/>
        <w:rPr>
          <w:rFonts w:ascii="Times New Roman" w:hAnsi="Times New Roman" w:eastAsia="华文新魏" w:cs="Times New Roman"/>
          <w:bCs/>
          <w:color w:val="000000"/>
          <w:sz w:val="28"/>
          <w:szCs w:val="28"/>
        </w:rPr>
      </w:pPr>
    </w:p>
    <w:p>
      <w:pPr>
        <w:spacing w:line="360" w:lineRule="auto"/>
        <w:jc w:val="center"/>
        <w:rPr>
          <w:rFonts w:ascii="Times New Roman" w:hAnsi="Times New Roman" w:eastAsia="仿宋_GB2312" w:cs="Times New Roman"/>
          <w:color w:val="000000"/>
          <w:sz w:val="28"/>
        </w:rPr>
      </w:pPr>
    </w:p>
    <w:p>
      <w:pPr>
        <w:jc w:val="center"/>
        <w:rPr>
          <w:rFonts w:ascii="Times New Roman" w:hAnsi="Times New Roman" w:eastAsia="仿宋_GB2312" w:cs="Times New Roman"/>
          <w:color w:val="000000"/>
          <w:sz w:val="28"/>
        </w:rPr>
      </w:pPr>
    </w:p>
    <w:p>
      <w:pPr>
        <w:jc w:val="center"/>
        <w:rPr>
          <w:rFonts w:ascii="Times New Roman" w:hAnsi="Times New Roman" w:eastAsia="仿宋_GB2312" w:cs="Times New Roman"/>
          <w:color w:val="000000"/>
          <w:sz w:val="28"/>
        </w:rPr>
      </w:pPr>
    </w:p>
    <w:p>
      <w:pPr>
        <w:jc w:val="center"/>
        <w:rPr>
          <w:rFonts w:ascii="Times New Roman" w:hAnsi="Times New Roman" w:eastAsia="仿宋_GB2312" w:cs="Times New Roman"/>
          <w:color w:val="000000"/>
          <w:sz w:val="28"/>
        </w:rPr>
      </w:pPr>
    </w:p>
    <w:p>
      <w:pPr>
        <w:jc w:val="center"/>
        <w:rPr>
          <w:rFonts w:ascii="Times New Roman" w:hAnsi="Times New Roman" w:eastAsia="仿宋_GB2312" w:cs="Times New Roman"/>
          <w:color w:val="000000"/>
          <w:sz w:val="28"/>
        </w:rPr>
      </w:pPr>
    </w:p>
    <w:p>
      <w:pPr>
        <w:rPr>
          <w:rFonts w:ascii="Times New Roman" w:hAnsi="Times New Roman" w:eastAsia="仿宋_GB2312" w:cs="Times New Roman"/>
          <w:color w:val="000000"/>
          <w:sz w:val="28"/>
        </w:rPr>
      </w:pPr>
    </w:p>
    <w:p>
      <w:pPr>
        <w:rPr>
          <w:rFonts w:ascii="Times New Roman" w:hAnsi="Times New Roman" w:eastAsia="华文新魏" w:cs="Times New Roman"/>
          <w:color w:val="000000"/>
          <w:sz w:val="28"/>
          <w:szCs w:val="28"/>
        </w:rPr>
      </w:pPr>
      <w:r>
        <w:rPr>
          <w:rFonts w:ascii="Times New Roman" w:hAnsi="Times New Roman" w:eastAsia="仿宋_GB2312" w:cs="Times New Roman"/>
          <w:color w:val="000000"/>
          <w:sz w:val="28"/>
        </w:rPr>
        <w:tab/>
      </w:r>
    </w:p>
    <w:p>
      <w:pPr>
        <w:ind w:firstLine="1260" w:firstLineChars="450"/>
        <w:rPr>
          <w:rFonts w:hint="default" w:ascii="Times New Roman" w:hAnsi="Times New Roman" w:eastAsia="华文新魏" w:cs="Times New Roman"/>
          <w:color w:val="000000"/>
          <w:sz w:val="28"/>
          <w:szCs w:val="28"/>
          <w:lang w:val="en-US" w:eastAsia="zh-CN"/>
        </w:rPr>
      </w:pPr>
      <w:r>
        <w:rPr>
          <w:rFonts w:ascii="Times New Roman" w:hAnsi="Times New Roman" w:eastAsia="华文新魏" w:cs="Times New Roman"/>
          <w:color w:val="000000"/>
          <w:kern w:val="0"/>
          <w:sz w:val="28"/>
          <w:szCs w:val="28"/>
        </w:rPr>
        <w:t>建设单位：</w:t>
      </w:r>
      <w:r>
        <w:rPr>
          <w:bCs/>
          <w:sz w:val="24"/>
        </w:rPr>
        <w:t>山东安特牧业科技有限公司</w:t>
      </w:r>
    </w:p>
    <w:p>
      <w:pPr>
        <w:widowControl/>
        <w:adjustRightInd w:val="0"/>
        <w:snapToGrid w:val="0"/>
        <w:spacing w:after="200"/>
        <w:ind w:firstLine="1260" w:firstLineChars="450"/>
        <w:rPr>
          <w:rFonts w:ascii="Times New Roman" w:hAnsi="Times New Roman" w:eastAsia="华文新魏" w:cs="Times New Roman"/>
          <w:color w:val="000000"/>
          <w:kern w:val="0"/>
          <w:sz w:val="28"/>
          <w:szCs w:val="28"/>
        </w:rPr>
      </w:pPr>
      <w:r>
        <w:rPr>
          <w:rFonts w:ascii="Times New Roman" w:hAnsi="Times New Roman" w:eastAsia="华文新魏" w:cs="Times New Roman"/>
          <w:color w:val="000000"/>
          <w:kern w:val="0"/>
          <w:sz w:val="28"/>
          <w:szCs w:val="28"/>
        </w:rPr>
        <w:t>编制单位：</w:t>
      </w:r>
      <w:r>
        <w:rPr>
          <w:bCs/>
          <w:sz w:val="24"/>
        </w:rPr>
        <w:t>山东安特牧业科技有限公司</w:t>
      </w:r>
    </w:p>
    <w:p>
      <w:pPr>
        <w:spacing w:beforeLines="100" w:line="360" w:lineRule="auto"/>
        <w:rPr>
          <w:rFonts w:ascii="Times New Roman" w:hAnsi="Times New Roman" w:cs="Times New Roman"/>
          <w:color w:val="000000"/>
          <w:sz w:val="28"/>
          <w:szCs w:val="28"/>
        </w:rPr>
      </w:pPr>
    </w:p>
    <w:p>
      <w:pPr>
        <w:widowControl/>
        <w:adjustRightInd w:val="0"/>
        <w:snapToGrid w:val="0"/>
        <w:spacing w:after="200"/>
        <w:jc w:val="center"/>
        <w:rPr>
          <w:rFonts w:ascii="Times New Roman" w:hAnsi="Times New Roman" w:eastAsia="华文新魏" w:cs="Times New Roman"/>
          <w:color w:val="000000"/>
          <w:kern w:val="0"/>
          <w:sz w:val="28"/>
          <w:szCs w:val="28"/>
        </w:rPr>
      </w:pPr>
      <w:r>
        <w:rPr>
          <w:rFonts w:ascii="Times New Roman" w:hAnsi="Times New Roman" w:eastAsia="华文新魏" w:cs="Times New Roman"/>
          <w:color w:val="000000"/>
          <w:kern w:val="0"/>
          <w:sz w:val="28"/>
          <w:szCs w:val="28"/>
        </w:rPr>
        <w:t>201</w:t>
      </w:r>
      <w:r>
        <w:rPr>
          <w:rFonts w:hint="eastAsia" w:ascii="Times New Roman" w:hAnsi="Times New Roman" w:eastAsia="华文新魏" w:cs="Times New Roman"/>
          <w:color w:val="000000"/>
          <w:kern w:val="0"/>
          <w:sz w:val="28"/>
          <w:szCs w:val="28"/>
        </w:rPr>
        <w:t>9</w:t>
      </w:r>
      <w:r>
        <w:rPr>
          <w:rFonts w:ascii="Times New Roman" w:hAnsi="Times New Roman" w:eastAsia="华文新魏" w:cs="Times New Roman"/>
          <w:color w:val="000000"/>
          <w:kern w:val="0"/>
          <w:sz w:val="28"/>
          <w:szCs w:val="28"/>
        </w:rPr>
        <w:t>年</w:t>
      </w:r>
      <w:r>
        <w:rPr>
          <w:rFonts w:hint="eastAsia" w:ascii="Times New Roman" w:hAnsi="Times New Roman" w:eastAsia="华文新魏" w:cs="Times New Roman"/>
          <w:color w:val="000000"/>
          <w:kern w:val="0"/>
          <w:sz w:val="28"/>
          <w:szCs w:val="28"/>
          <w:lang w:val="en-US" w:eastAsia="zh-CN"/>
        </w:rPr>
        <w:t>11</w:t>
      </w:r>
      <w:r>
        <w:rPr>
          <w:rFonts w:ascii="Times New Roman" w:hAnsi="Times New Roman" w:eastAsia="华文新魏" w:cs="Times New Roman"/>
          <w:color w:val="000000"/>
          <w:kern w:val="0"/>
          <w:sz w:val="28"/>
          <w:szCs w:val="28"/>
        </w:rPr>
        <w:t>月</w:t>
      </w:r>
    </w:p>
    <w:p>
      <w:pPr>
        <w:rPr>
          <w:rFonts w:ascii="Times New Roman" w:hAnsi="Times New Roman" w:cs="Times New Roman"/>
          <w:sz w:val="28"/>
          <w:szCs w:val="28"/>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60" w:lineRule="auto"/>
        <w:rPr>
          <w:rFonts w:ascii="Times New Roman" w:hAnsi="Times New Roman" w:cs="Times New Roman"/>
          <w:color w:val="000000"/>
          <w:sz w:val="28"/>
        </w:rPr>
      </w:pPr>
    </w:p>
    <w:p>
      <w:pPr>
        <w:spacing w:line="360" w:lineRule="auto"/>
        <w:rPr>
          <w:rFonts w:ascii="Times New Roman" w:hAnsi="Times New Roman" w:cs="Times New Roman"/>
          <w:color w:val="000000"/>
          <w:sz w:val="28"/>
        </w:rPr>
      </w:pPr>
      <w:r>
        <w:rPr>
          <w:rFonts w:ascii="Times New Roman" w:hAnsi="Times New Roman" w:cs="Times New Roman"/>
          <w:color w:val="000000"/>
          <w:sz w:val="28"/>
        </w:rPr>
        <w:t>建设单位法人代表：</w:t>
      </w:r>
      <w:r>
        <w:rPr>
          <w:rFonts w:hint="eastAsia"/>
          <w:bCs/>
          <w:sz w:val="24"/>
        </w:rPr>
        <w:t>孙广凯</w:t>
      </w:r>
      <w:r>
        <w:rPr>
          <w:rFonts w:ascii="Times New Roman" w:hAnsi="Times New Roman" w:cs="Times New Roman"/>
          <w:color w:val="000000"/>
          <w:sz w:val="28"/>
        </w:rPr>
        <w:t xml:space="preserve"> </w:t>
      </w:r>
    </w:p>
    <w:p>
      <w:pPr>
        <w:spacing w:line="360" w:lineRule="auto"/>
        <w:rPr>
          <w:rFonts w:ascii="Times New Roman" w:hAnsi="Times New Roman" w:cs="Times New Roman"/>
          <w:color w:val="000000"/>
          <w:sz w:val="28"/>
        </w:rPr>
      </w:pPr>
      <w:r>
        <w:rPr>
          <w:rFonts w:ascii="Times New Roman" w:hAnsi="Times New Roman" w:cs="Times New Roman"/>
          <w:color w:val="000000"/>
          <w:sz w:val="28"/>
        </w:rPr>
        <w:t>编制单位法人代表：</w:t>
      </w:r>
      <w:r>
        <w:rPr>
          <w:rFonts w:hint="eastAsia"/>
          <w:bCs/>
          <w:sz w:val="24"/>
        </w:rPr>
        <w:t>孙广凯</w:t>
      </w:r>
      <w:r>
        <w:rPr>
          <w:rFonts w:ascii="Times New Roman" w:hAnsi="Times New Roman" w:cs="Times New Roman"/>
          <w:color w:val="000000"/>
          <w:sz w:val="28"/>
        </w:rPr>
        <w:t xml:space="preserve">     </w:t>
      </w:r>
    </w:p>
    <w:p>
      <w:pPr>
        <w:spacing w:line="360" w:lineRule="auto"/>
        <w:rPr>
          <w:rFonts w:ascii="Times New Roman" w:hAnsi="Times New Roman" w:cs="Times New Roman"/>
          <w:color w:val="000000"/>
          <w:sz w:val="28"/>
        </w:rPr>
      </w:pPr>
      <w:r>
        <w:rPr>
          <w:rFonts w:hint="eastAsia" w:ascii="Times New Roman" w:hAnsi="Times New Roman" w:cs="Times New Roman"/>
          <w:color w:val="000000"/>
          <w:sz w:val="28"/>
        </w:rPr>
        <w:t xml:space="preserve">项  目 </w:t>
      </w:r>
      <w:r>
        <w:rPr>
          <w:rFonts w:ascii="Times New Roman" w:hAnsi="Times New Roman" w:cs="Times New Roman"/>
          <w:color w:val="000000"/>
          <w:sz w:val="28"/>
        </w:rPr>
        <w:t xml:space="preserve"> 负 责 人：</w:t>
      </w:r>
      <w:r>
        <w:rPr>
          <w:rFonts w:hint="eastAsia"/>
          <w:bCs/>
          <w:sz w:val="24"/>
        </w:rPr>
        <w:t>孙广凯</w:t>
      </w:r>
    </w:p>
    <w:p>
      <w:pPr>
        <w:spacing w:line="360" w:lineRule="auto"/>
        <w:rPr>
          <w:rFonts w:ascii="Times New Roman" w:hAnsi="Times New Roman" w:cs="Times New Roman"/>
          <w:color w:val="000000"/>
          <w:sz w:val="28"/>
        </w:rPr>
      </w:pPr>
      <w:r>
        <w:rPr>
          <w:rFonts w:hint="eastAsia" w:ascii="Times New Roman" w:hAnsi="Times New Roman" w:cs="Times New Roman"/>
          <w:color w:val="000000"/>
          <w:sz w:val="28"/>
        </w:rPr>
        <w:t xml:space="preserve">填     表    人 </w:t>
      </w:r>
      <w:r>
        <w:rPr>
          <w:rFonts w:ascii="Times New Roman" w:hAnsi="Times New Roman" w:cs="Times New Roman"/>
          <w:color w:val="000000"/>
          <w:sz w:val="28"/>
        </w:rPr>
        <w:t>：</w:t>
      </w:r>
      <w:r>
        <w:rPr>
          <w:rFonts w:hint="eastAsia"/>
          <w:bCs/>
          <w:sz w:val="24"/>
        </w:rPr>
        <w:t>孙广凯</w:t>
      </w:r>
      <w:r>
        <w:rPr>
          <w:rFonts w:ascii="Times New Roman" w:hAnsi="Times New Roman" w:cs="Times New Roman"/>
          <w:color w:val="000000"/>
          <w:sz w:val="28"/>
        </w:rPr>
        <w:tab/>
      </w:r>
    </w:p>
    <w:p>
      <w:pPr>
        <w:spacing w:line="360" w:lineRule="auto"/>
        <w:rPr>
          <w:rFonts w:ascii="Times New Roman" w:hAnsi="Times New Roman" w:cs="Times New Roman"/>
          <w:color w:val="FF0000"/>
          <w:sz w:val="28"/>
        </w:rPr>
      </w:pPr>
    </w:p>
    <w:p>
      <w:pPr>
        <w:spacing w:line="360" w:lineRule="auto"/>
        <w:rPr>
          <w:rFonts w:ascii="Times New Roman" w:hAnsi="Times New Roman" w:cs="Times New Roman"/>
          <w:color w:val="FF0000"/>
          <w:sz w:val="28"/>
        </w:rPr>
      </w:pPr>
    </w:p>
    <w:p>
      <w:pPr>
        <w:spacing w:line="360" w:lineRule="auto"/>
        <w:rPr>
          <w:rFonts w:ascii="Times New Roman" w:hAnsi="Times New Roman" w:cs="Times New Roman"/>
          <w:color w:val="FF0000"/>
          <w:sz w:val="28"/>
        </w:rPr>
      </w:pPr>
    </w:p>
    <w:p>
      <w:pPr>
        <w:spacing w:line="360" w:lineRule="auto"/>
        <w:rPr>
          <w:rFonts w:ascii="Times New Roman" w:hAnsi="Times New Roman" w:cs="Times New Roman"/>
          <w:color w:val="FF0000"/>
          <w:sz w:val="28"/>
        </w:rPr>
      </w:pPr>
    </w:p>
    <w:p>
      <w:pPr>
        <w:spacing w:line="360" w:lineRule="auto"/>
        <w:rPr>
          <w:rFonts w:ascii="Times New Roman" w:hAnsi="Times New Roman" w:cs="Times New Roman"/>
          <w:color w:val="FF0000"/>
          <w:sz w:val="28"/>
        </w:rPr>
      </w:pPr>
    </w:p>
    <w:p>
      <w:pPr>
        <w:spacing w:line="360" w:lineRule="auto"/>
        <w:rPr>
          <w:rFonts w:ascii="Times New Roman" w:hAnsi="Times New Roman" w:cs="Times New Roman"/>
          <w:color w:val="FF0000"/>
          <w:sz w:val="28"/>
        </w:rPr>
      </w:pPr>
    </w:p>
    <w:p>
      <w:pPr>
        <w:spacing w:line="360" w:lineRule="auto"/>
        <w:rPr>
          <w:rFonts w:ascii="Times New Roman" w:hAnsi="Times New Roman" w:cs="Times New Roman"/>
          <w:color w:val="FF0000"/>
          <w:sz w:val="28"/>
        </w:rPr>
      </w:pPr>
    </w:p>
    <w:tbl>
      <w:tblPr>
        <w:tblStyle w:val="29"/>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94"/>
        <w:gridCol w:w="1155"/>
        <w:gridCol w:w="37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94" w:type="dxa"/>
          </w:tcPr>
          <w:p>
            <w:pPr>
              <w:spacing w:line="360" w:lineRule="auto"/>
              <w:rPr>
                <w:rFonts w:ascii="Times New Roman" w:hAnsi="Times New Roman" w:cs="Times New Roman"/>
                <w:color w:val="000000"/>
                <w:sz w:val="28"/>
              </w:rPr>
            </w:pPr>
            <w:r>
              <w:rPr>
                <w:rFonts w:ascii="Times New Roman" w:hAnsi="Times New Roman" w:cs="Times New Roman"/>
                <w:color w:val="000000"/>
                <w:sz w:val="28"/>
              </w:rPr>
              <w:t>建设单位：</w:t>
            </w:r>
            <w:r>
              <w:rPr>
                <w:rFonts w:ascii="Times New Roman" w:hAnsi="Times New Roman" w:cs="Times New Roman"/>
                <w:color w:val="000000"/>
                <w:sz w:val="28"/>
                <w:u w:val="single"/>
              </w:rPr>
              <w:t>山东安特牧业科技有限公司</w:t>
            </w:r>
            <w:r>
              <w:rPr>
                <w:rFonts w:ascii="Times New Roman" w:hAnsi="Times New Roman" w:cs="Times New Roman"/>
                <w:color w:val="000000"/>
                <w:sz w:val="28"/>
              </w:rPr>
              <w:t>（盖章）</w:t>
            </w:r>
          </w:p>
          <w:p>
            <w:pPr>
              <w:spacing w:line="360" w:lineRule="auto"/>
              <w:rPr>
                <w:rFonts w:hint="default" w:ascii="Times New Roman" w:hAnsi="Times New Roman" w:cs="Times New Roman" w:eastAsiaTheme="minorEastAsia"/>
                <w:color w:val="000000"/>
                <w:sz w:val="28"/>
                <w:lang w:val="en-US" w:eastAsia="zh-CN"/>
              </w:rPr>
            </w:pPr>
            <w:r>
              <w:rPr>
                <w:rFonts w:ascii="Times New Roman" w:hAnsi="Times New Roman" w:cs="Times New Roman"/>
                <w:color w:val="000000"/>
                <w:sz w:val="28"/>
              </w:rPr>
              <w:t>电话:</w:t>
            </w:r>
            <w:r>
              <w:rPr>
                <w:rFonts w:hint="eastAsia" w:ascii="Times New Roman" w:hAnsi="Times New Roman" w:cs="Times New Roman"/>
                <w:color w:val="000000"/>
                <w:sz w:val="28"/>
              </w:rPr>
              <w:t>18766116119</w:t>
            </w:r>
          </w:p>
          <w:p>
            <w:pPr>
              <w:spacing w:line="360" w:lineRule="auto"/>
              <w:rPr>
                <w:rFonts w:ascii="Times New Roman" w:hAnsi="Times New Roman" w:cs="Times New Roman"/>
                <w:color w:val="000000"/>
                <w:sz w:val="28"/>
              </w:rPr>
            </w:pPr>
            <w:r>
              <w:rPr>
                <w:rFonts w:ascii="Times New Roman" w:hAnsi="Times New Roman" w:cs="Times New Roman"/>
                <w:color w:val="000000"/>
                <w:sz w:val="28"/>
              </w:rPr>
              <w:t>传真:</w:t>
            </w:r>
            <w:r>
              <w:rPr>
                <w:rFonts w:hint="eastAsia" w:ascii="Times New Roman" w:hAnsi="Times New Roman" w:cs="Times New Roman"/>
                <w:color w:val="000000"/>
                <w:sz w:val="28"/>
              </w:rPr>
              <w:t xml:space="preserve">——  </w:t>
            </w:r>
          </w:p>
          <w:p>
            <w:pPr>
              <w:spacing w:line="360" w:lineRule="auto"/>
              <w:rPr>
                <w:rFonts w:hint="default" w:ascii="Times New Roman" w:hAnsi="Times New Roman" w:cs="Times New Roman" w:eastAsiaTheme="minorEastAsia"/>
                <w:color w:val="000000"/>
                <w:sz w:val="28"/>
                <w:lang w:val="en-US" w:eastAsia="zh-CN"/>
              </w:rPr>
            </w:pPr>
            <w:r>
              <w:rPr>
                <w:rFonts w:ascii="Times New Roman" w:hAnsi="Times New Roman" w:cs="Times New Roman"/>
                <w:color w:val="000000"/>
                <w:sz w:val="28"/>
              </w:rPr>
              <w:t xml:space="preserve">邮编: </w:t>
            </w:r>
            <w:r>
              <w:rPr>
                <w:rFonts w:hint="eastAsia" w:ascii="Times New Roman" w:hAnsi="Times New Roman" w:cs="Times New Roman"/>
                <w:color w:val="000000"/>
                <w:sz w:val="28"/>
                <w:lang w:val="en-US" w:eastAsia="zh-CN"/>
              </w:rPr>
              <w:t>251600</w:t>
            </w:r>
          </w:p>
          <w:p>
            <w:pPr>
              <w:spacing w:line="360" w:lineRule="auto"/>
              <w:rPr>
                <w:rFonts w:ascii="Times New Roman" w:hAnsi="Times New Roman" w:cs="Times New Roman"/>
                <w:color w:val="000000"/>
                <w:sz w:val="28"/>
              </w:rPr>
            </w:pPr>
            <w:r>
              <w:rPr>
                <w:rFonts w:ascii="Times New Roman" w:hAnsi="Times New Roman" w:cs="Times New Roman"/>
                <w:color w:val="000000"/>
                <w:sz w:val="28"/>
              </w:rPr>
              <w:t>地址: 山东省济南市商河县经济开发区凯源路29号</w:t>
            </w:r>
          </w:p>
        </w:tc>
        <w:tc>
          <w:tcPr>
            <w:tcW w:w="1155" w:type="dxa"/>
          </w:tcPr>
          <w:p>
            <w:pPr>
              <w:spacing w:line="360" w:lineRule="auto"/>
              <w:rPr>
                <w:rFonts w:ascii="Times New Roman" w:hAnsi="Times New Roman" w:cs="Times New Roman"/>
                <w:color w:val="000000"/>
                <w:sz w:val="28"/>
                <w:szCs w:val="22"/>
              </w:rPr>
            </w:pPr>
          </w:p>
        </w:tc>
        <w:tc>
          <w:tcPr>
            <w:tcW w:w="3773" w:type="dxa"/>
            <w:vAlign w:val="top"/>
          </w:tcPr>
          <w:p>
            <w:pPr>
              <w:spacing w:line="360" w:lineRule="auto"/>
              <w:rPr>
                <w:rFonts w:ascii="Times New Roman" w:hAnsi="Times New Roman" w:cs="Times New Roman"/>
                <w:color w:val="000000"/>
                <w:sz w:val="28"/>
              </w:rPr>
            </w:pPr>
            <w:r>
              <w:rPr>
                <w:rFonts w:hint="eastAsia" w:ascii="Times New Roman" w:hAnsi="Times New Roman" w:cs="Times New Roman"/>
                <w:color w:val="000000"/>
                <w:sz w:val="28"/>
                <w:lang w:eastAsia="zh-CN"/>
              </w:rPr>
              <w:t>编制</w:t>
            </w:r>
            <w:r>
              <w:rPr>
                <w:rFonts w:ascii="Times New Roman" w:hAnsi="Times New Roman" w:cs="Times New Roman"/>
                <w:color w:val="000000"/>
                <w:sz w:val="28"/>
              </w:rPr>
              <w:t>单位：</w:t>
            </w:r>
            <w:r>
              <w:rPr>
                <w:rFonts w:ascii="Times New Roman" w:hAnsi="Times New Roman" w:cs="Times New Roman"/>
                <w:color w:val="000000"/>
                <w:sz w:val="28"/>
                <w:u w:val="single"/>
              </w:rPr>
              <w:t>山东安特牧业科技有限公司</w:t>
            </w:r>
            <w:r>
              <w:rPr>
                <w:rFonts w:ascii="Times New Roman" w:hAnsi="Times New Roman" w:cs="Times New Roman"/>
                <w:color w:val="000000"/>
                <w:sz w:val="28"/>
              </w:rPr>
              <w:t>（盖章）</w:t>
            </w:r>
          </w:p>
          <w:p>
            <w:pPr>
              <w:spacing w:line="360" w:lineRule="auto"/>
              <w:rPr>
                <w:rFonts w:hint="default" w:ascii="Times New Roman" w:hAnsi="Times New Roman" w:cs="Times New Roman" w:eastAsiaTheme="minorEastAsia"/>
                <w:color w:val="000000"/>
                <w:sz w:val="28"/>
                <w:lang w:val="en-US" w:eastAsia="zh-CN"/>
              </w:rPr>
            </w:pPr>
            <w:r>
              <w:rPr>
                <w:rFonts w:ascii="Times New Roman" w:hAnsi="Times New Roman" w:cs="Times New Roman"/>
                <w:color w:val="000000"/>
                <w:sz w:val="28"/>
              </w:rPr>
              <w:t>电话:</w:t>
            </w:r>
            <w:r>
              <w:rPr>
                <w:rFonts w:hint="eastAsia" w:ascii="Times New Roman" w:hAnsi="Times New Roman" w:cs="Times New Roman"/>
                <w:color w:val="000000"/>
                <w:sz w:val="28"/>
              </w:rPr>
              <w:t>18766116119</w:t>
            </w:r>
          </w:p>
          <w:p>
            <w:pPr>
              <w:spacing w:line="360" w:lineRule="auto"/>
              <w:rPr>
                <w:rFonts w:ascii="Times New Roman" w:hAnsi="Times New Roman" w:cs="Times New Roman"/>
                <w:color w:val="000000"/>
                <w:sz w:val="28"/>
              </w:rPr>
            </w:pPr>
            <w:r>
              <w:rPr>
                <w:rFonts w:ascii="Times New Roman" w:hAnsi="Times New Roman" w:cs="Times New Roman"/>
                <w:color w:val="000000"/>
                <w:sz w:val="28"/>
              </w:rPr>
              <w:t>传真:</w:t>
            </w:r>
            <w:r>
              <w:rPr>
                <w:rFonts w:hint="eastAsia" w:ascii="Times New Roman" w:hAnsi="Times New Roman" w:cs="Times New Roman"/>
                <w:color w:val="000000"/>
                <w:sz w:val="28"/>
              </w:rPr>
              <w:t xml:space="preserve">——  </w:t>
            </w:r>
          </w:p>
          <w:p>
            <w:pPr>
              <w:spacing w:line="360" w:lineRule="auto"/>
              <w:rPr>
                <w:rFonts w:hint="default" w:ascii="Times New Roman" w:hAnsi="Times New Roman" w:cs="Times New Roman" w:eastAsiaTheme="minorEastAsia"/>
                <w:color w:val="000000"/>
                <w:sz w:val="28"/>
                <w:lang w:val="en-US" w:eastAsia="zh-CN"/>
              </w:rPr>
            </w:pPr>
            <w:r>
              <w:rPr>
                <w:rFonts w:ascii="Times New Roman" w:hAnsi="Times New Roman" w:cs="Times New Roman"/>
                <w:color w:val="000000"/>
                <w:sz w:val="28"/>
              </w:rPr>
              <w:t xml:space="preserve">邮编: </w:t>
            </w:r>
            <w:r>
              <w:rPr>
                <w:rFonts w:hint="eastAsia" w:ascii="Times New Roman" w:hAnsi="Times New Roman" w:cs="Times New Roman"/>
                <w:color w:val="000000"/>
                <w:sz w:val="28"/>
                <w:lang w:val="en-US" w:eastAsia="zh-CN"/>
              </w:rPr>
              <w:t>251600</w:t>
            </w:r>
          </w:p>
          <w:p>
            <w:pPr>
              <w:spacing w:line="360" w:lineRule="auto"/>
              <w:rPr>
                <w:rFonts w:ascii="Times New Roman" w:hAnsi="Times New Roman" w:cs="Times New Roman"/>
                <w:sz w:val="28"/>
                <w:szCs w:val="28"/>
              </w:rPr>
            </w:pPr>
            <w:r>
              <w:rPr>
                <w:rFonts w:ascii="Times New Roman" w:hAnsi="Times New Roman" w:cs="Times New Roman"/>
                <w:color w:val="000000"/>
                <w:sz w:val="28"/>
              </w:rPr>
              <w:t>地址: 山东省济南市商河县经济开发区凯源路29号</w:t>
            </w:r>
          </w:p>
        </w:tc>
      </w:tr>
    </w:tbl>
    <w:p>
      <w:pPr>
        <w:rPr>
          <w:rFonts w:ascii="Times New Roman" w:hAnsi="Times New Roman" w:cs="Times New Roman"/>
          <w:sz w:val="28"/>
          <w:szCs w:val="28"/>
        </w:rPr>
      </w:pPr>
    </w:p>
    <w:p>
      <w:pPr>
        <w:rPr>
          <w:rFonts w:ascii="Times New Roman" w:hAnsi="Times New Roman" w:cs="Times New Roman"/>
          <w:sz w:val="28"/>
          <w:szCs w:val="28"/>
        </w:rPr>
        <w:sectPr>
          <w:headerReference r:id="rId5" w:type="default"/>
          <w:pgSz w:w="11906" w:h="16838"/>
          <w:pgMar w:top="1440" w:right="1800" w:bottom="1843"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5"/>
        <w:spacing w:before="0" w:after="0" w:line="360" w:lineRule="auto"/>
        <w:jc w:val="left"/>
        <w:rPr>
          <w:rFonts w:ascii="Times New Roman" w:hAnsi="Times New Roman" w:cs="Times New Roman"/>
          <w:sz w:val="28"/>
          <w:szCs w:val="28"/>
        </w:rPr>
      </w:pPr>
      <w:bookmarkStart w:id="0" w:name="_Toc517710307"/>
      <w:r>
        <w:rPr>
          <w:rFonts w:ascii="Times New Roman" w:hAnsi="Times New Roman" w:cs="Times New Roman"/>
          <w:sz w:val="28"/>
          <w:szCs w:val="28"/>
        </w:rPr>
        <w:t xml:space="preserve">表一  </w:t>
      </w:r>
      <w:bookmarkEnd w:id="0"/>
    </w:p>
    <w:tbl>
      <w:tblPr>
        <w:tblStyle w:val="28"/>
        <w:tblW w:w="980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59"/>
        <w:gridCol w:w="2464"/>
        <w:gridCol w:w="1901"/>
        <w:gridCol w:w="1090"/>
        <w:gridCol w:w="850"/>
        <w:gridCol w:w="12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建设项目名称</w:t>
            </w:r>
          </w:p>
        </w:tc>
        <w:tc>
          <w:tcPr>
            <w:tcW w:w="7546" w:type="dxa"/>
            <w:gridSpan w:val="5"/>
            <w:vAlign w:val="center"/>
          </w:tcPr>
          <w:p>
            <w:pPr>
              <w:spacing w:line="360" w:lineRule="auto"/>
              <w:jc w:val="center"/>
              <w:rPr>
                <w:rFonts w:ascii="Times New Roman" w:hAnsi="Times New Roman" w:cs="Times New Roman"/>
                <w:sz w:val="21"/>
                <w:szCs w:val="21"/>
              </w:rPr>
            </w:pPr>
            <w:r>
              <w:rPr>
                <w:bCs/>
                <w:sz w:val="24"/>
              </w:rPr>
              <w:t>山东安特牧业科技有限公司兽药扩建项目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建设单位名称</w:t>
            </w:r>
          </w:p>
        </w:tc>
        <w:tc>
          <w:tcPr>
            <w:tcW w:w="7546" w:type="dxa"/>
            <w:gridSpan w:val="5"/>
            <w:vAlign w:val="center"/>
          </w:tcPr>
          <w:p>
            <w:pPr>
              <w:snapToGrid w:val="0"/>
              <w:spacing w:line="360" w:lineRule="auto"/>
              <w:jc w:val="center"/>
              <w:rPr>
                <w:rFonts w:ascii="Times New Roman" w:hAnsi="Times New Roman" w:cs="Times New Roman"/>
                <w:sz w:val="21"/>
                <w:szCs w:val="21"/>
              </w:rPr>
            </w:pPr>
            <w:r>
              <w:rPr>
                <w:bCs/>
                <w:sz w:val="24"/>
              </w:rPr>
              <w:t>山东安特牧业科技有限公司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建设项目性质</w:t>
            </w:r>
          </w:p>
        </w:tc>
        <w:tc>
          <w:tcPr>
            <w:tcW w:w="7546" w:type="dxa"/>
            <w:gridSpan w:val="5"/>
            <w:vAlign w:val="center"/>
          </w:tcPr>
          <w:p>
            <w:pPr>
              <w:spacing w:line="36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新建 </w:t>
            </w:r>
            <w:r>
              <w:rPr>
                <w:rFonts w:ascii="Times New Roman" w:hAnsi="Times New Roman" w:cs="Times New Roman"/>
                <w:sz w:val="21"/>
                <w:szCs w:val="21"/>
              </w:rPr>
              <w:t xml:space="preserve"> </w:t>
            </w:r>
            <w:r>
              <w:rPr>
                <w:rFonts w:ascii="Times New Roman" w:hAnsi="Times New Roman" w:cs="Times New Roman"/>
                <w:color w:val="000000"/>
                <w:sz w:val="21"/>
                <w:szCs w:val="21"/>
              </w:rPr>
              <w:t>改扩建</w:t>
            </w:r>
            <w:r>
              <w:rPr>
                <w:rFonts w:ascii="Times New Roman" w:hAnsi="Times New Roman" w:cs="Times New Roman"/>
                <w:sz w:val="21"/>
                <w:szCs w:val="21"/>
              </w:rPr>
              <w:t>√</w:t>
            </w:r>
            <w:r>
              <w:rPr>
                <w:rFonts w:ascii="Times New Roman" w:hAnsi="Times New Roman" w:cs="Times New Roman"/>
                <w:color w:val="000000"/>
                <w:sz w:val="21"/>
                <w:szCs w:val="21"/>
              </w:rPr>
              <w:t xml:space="preserve">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建设地点</w:t>
            </w:r>
          </w:p>
        </w:tc>
        <w:tc>
          <w:tcPr>
            <w:tcW w:w="7546" w:type="dxa"/>
            <w:gridSpan w:val="5"/>
            <w:vAlign w:val="center"/>
          </w:tcPr>
          <w:p>
            <w:pPr>
              <w:spacing w:line="360" w:lineRule="auto"/>
              <w:jc w:val="center"/>
              <w:rPr>
                <w:rFonts w:ascii="Times New Roman" w:hAnsi="Times New Roman" w:cs="Times New Roman"/>
                <w:color w:val="000000"/>
                <w:sz w:val="21"/>
                <w:szCs w:val="21"/>
              </w:rPr>
            </w:pPr>
            <w:r>
              <w:rPr>
                <w:sz w:val="24"/>
              </w:rPr>
              <w:t>山东省济南市商河县经济开发区凯源路29号山东安特牧业科技有限公司现有兽药车间内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主要产品名称</w:t>
            </w:r>
          </w:p>
        </w:tc>
        <w:tc>
          <w:tcPr>
            <w:tcW w:w="7546" w:type="dxa"/>
            <w:gridSpan w:val="5"/>
            <w:vAlign w:val="center"/>
          </w:tcPr>
          <w:p>
            <w:pPr>
              <w:spacing w:line="360" w:lineRule="auto"/>
              <w:jc w:val="center"/>
              <w:rPr>
                <w:rFonts w:hint="default" w:ascii="Times New Roman" w:hAnsi="Times New Roman" w:cs="Times New Roman" w:eastAsiaTheme="minorEastAsia"/>
                <w:color w:val="000000"/>
                <w:sz w:val="21"/>
                <w:szCs w:val="21"/>
                <w:lang w:val="en-US" w:eastAsia="zh-CN"/>
              </w:rPr>
            </w:pPr>
            <w:r>
              <w:rPr>
                <w:bCs/>
                <w:sz w:val="24"/>
              </w:rPr>
              <w:t>兽药扩建项目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设计生产能力</w:t>
            </w:r>
          </w:p>
        </w:tc>
        <w:tc>
          <w:tcPr>
            <w:tcW w:w="7546" w:type="dxa"/>
            <w:gridSpan w:val="5"/>
            <w:vAlign w:val="center"/>
          </w:tcPr>
          <w:p>
            <w:pPr>
              <w:spacing w:line="360" w:lineRule="auto"/>
              <w:jc w:val="center"/>
              <w:rPr>
                <w:rFonts w:hint="default" w:ascii="Times New Roman" w:eastAsiaTheme="minorEastAsia"/>
                <w:sz w:val="21"/>
                <w:szCs w:val="21"/>
                <w:lang w:val="en-US" w:eastAsia="zh-CN"/>
              </w:rPr>
            </w:pPr>
            <w:r>
              <w:rPr>
                <w:bCs/>
                <w:sz w:val="24"/>
              </w:rPr>
              <w:t>年增产</w:t>
            </w:r>
            <w:r>
              <w:rPr>
                <w:rFonts w:hint="eastAsia"/>
                <w:bCs/>
                <w:sz w:val="24"/>
              </w:rPr>
              <w:t>片</w:t>
            </w:r>
            <w:r>
              <w:rPr>
                <w:bCs/>
                <w:sz w:val="24"/>
              </w:rPr>
              <w:t>剂</w:t>
            </w:r>
            <w:r>
              <w:rPr>
                <w:rFonts w:hint="eastAsia"/>
                <w:bCs/>
                <w:sz w:val="24"/>
              </w:rPr>
              <w:t>10吨</w:t>
            </w:r>
            <w:r>
              <w:rPr>
                <w:bCs/>
                <w:sz w:val="24"/>
              </w:rPr>
              <w:t>、</w:t>
            </w:r>
            <w:r>
              <w:rPr>
                <w:rFonts w:hint="eastAsia"/>
                <w:bCs/>
                <w:sz w:val="24"/>
              </w:rPr>
              <w:t>口服液200吨</w:t>
            </w:r>
            <w:r>
              <w:rPr>
                <w:bCs/>
                <w:sz w:val="24"/>
              </w:rPr>
              <w:t>、</w:t>
            </w:r>
            <w:r>
              <w:rPr>
                <w:rFonts w:hint="eastAsia"/>
                <w:bCs/>
                <w:sz w:val="24"/>
              </w:rPr>
              <w:t>液体消毒剂300吨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实际生产能力</w:t>
            </w:r>
          </w:p>
        </w:tc>
        <w:tc>
          <w:tcPr>
            <w:tcW w:w="7546" w:type="dxa"/>
            <w:gridSpan w:val="5"/>
            <w:vAlign w:val="center"/>
          </w:tcPr>
          <w:p>
            <w:pPr>
              <w:spacing w:line="360" w:lineRule="auto"/>
              <w:jc w:val="center"/>
              <w:rPr>
                <w:rFonts w:ascii="Times New Roman" w:hAnsi="Times New Roman"/>
                <w:sz w:val="21"/>
                <w:szCs w:val="21"/>
              </w:rPr>
            </w:pPr>
            <w:r>
              <w:rPr>
                <w:rFonts w:hint="eastAsia"/>
                <w:bCs/>
                <w:color w:val="auto"/>
                <w:sz w:val="24"/>
                <w:lang w:eastAsia="zh-CN"/>
              </w:rPr>
              <w:t>一期</w:t>
            </w:r>
            <w:r>
              <w:rPr>
                <w:bCs/>
                <w:color w:val="auto"/>
                <w:sz w:val="24"/>
              </w:rPr>
              <w:t>年产</w:t>
            </w:r>
            <w:r>
              <w:rPr>
                <w:rFonts w:hint="eastAsia"/>
                <w:bCs/>
                <w:color w:val="auto"/>
                <w:sz w:val="24"/>
              </w:rPr>
              <w:t>片</w:t>
            </w:r>
            <w:r>
              <w:rPr>
                <w:bCs/>
                <w:color w:val="auto"/>
                <w:sz w:val="24"/>
              </w:rPr>
              <w:t>剂</w:t>
            </w:r>
            <w:r>
              <w:rPr>
                <w:rFonts w:hint="eastAsia"/>
                <w:bCs/>
                <w:color w:val="auto"/>
                <w:sz w:val="24"/>
                <w:lang w:val="en-US" w:eastAsia="zh-CN"/>
              </w:rPr>
              <w:t>5</w:t>
            </w:r>
            <w:r>
              <w:rPr>
                <w:rFonts w:hint="eastAsia"/>
                <w:bCs/>
                <w:color w:val="auto"/>
                <w:sz w:val="24"/>
              </w:rPr>
              <w:t>吨</w:t>
            </w:r>
            <w:r>
              <w:rPr>
                <w:bCs/>
                <w:color w:val="auto"/>
                <w:sz w:val="24"/>
              </w:rPr>
              <w:t>、</w:t>
            </w:r>
            <w:r>
              <w:rPr>
                <w:rFonts w:hint="eastAsia"/>
                <w:bCs/>
                <w:color w:val="auto"/>
                <w:sz w:val="24"/>
              </w:rPr>
              <w:t>口服液</w:t>
            </w:r>
            <w:r>
              <w:rPr>
                <w:rFonts w:hint="eastAsia"/>
                <w:bCs/>
                <w:color w:val="auto"/>
                <w:sz w:val="24"/>
                <w:lang w:val="en-US" w:eastAsia="zh-CN"/>
              </w:rPr>
              <w:t>100</w:t>
            </w:r>
            <w:r>
              <w:rPr>
                <w:rFonts w:hint="eastAsia"/>
                <w:bCs/>
                <w:color w:val="auto"/>
                <w:sz w:val="24"/>
              </w:rPr>
              <w:t>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建设项目环评时间</w:t>
            </w:r>
          </w:p>
        </w:tc>
        <w:tc>
          <w:tcPr>
            <w:tcW w:w="2464" w:type="dxa"/>
            <w:vAlign w:val="center"/>
          </w:tcPr>
          <w:p>
            <w:pPr>
              <w:spacing w:line="36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w:t>
            </w:r>
            <w:r>
              <w:rPr>
                <w:rFonts w:hint="eastAsia" w:ascii="Times New Roman" w:hAnsi="Times New Roman" w:cs="Times New Roman"/>
                <w:color w:val="000000" w:themeColor="text1"/>
                <w:sz w:val="21"/>
                <w:szCs w:val="21"/>
                <w:lang w:val="en-US" w:eastAsia="zh-CN"/>
                <w14:textFill>
                  <w14:solidFill>
                    <w14:schemeClr w14:val="tx1"/>
                  </w14:solidFill>
                </w14:textFill>
              </w:rPr>
              <w:t>9</w:t>
            </w:r>
            <w:r>
              <w:rPr>
                <w:rFonts w:hint="eastAsia"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11</w:t>
            </w:r>
          </w:p>
        </w:tc>
        <w:tc>
          <w:tcPr>
            <w:tcW w:w="1901" w:type="dxa"/>
            <w:vAlign w:val="center"/>
          </w:tcPr>
          <w:p>
            <w:pPr>
              <w:spacing w:line="360" w:lineRule="auto"/>
              <w:jc w:val="center"/>
              <w:rPr>
                <w:rFonts w:ascii="Times New Roman" w:hAnsi="Times New Roman" w:cs="Times New Roman"/>
                <w:b/>
                <w:bCs/>
                <w:sz w:val="21"/>
                <w:szCs w:val="21"/>
              </w:rPr>
            </w:pPr>
            <w:r>
              <w:rPr>
                <w:rFonts w:hint="eastAsia" w:ascii="Times New Roman" w:hAnsi="Times New Roman" w:cs="Times New Roman"/>
                <w:b/>
                <w:bCs/>
                <w:sz w:val="21"/>
                <w:szCs w:val="21"/>
              </w:rPr>
              <w:t>开工建设时间</w:t>
            </w:r>
          </w:p>
        </w:tc>
        <w:tc>
          <w:tcPr>
            <w:tcW w:w="3181" w:type="dxa"/>
            <w:gridSpan w:val="3"/>
            <w:vAlign w:val="center"/>
          </w:tcPr>
          <w:p>
            <w:pPr>
              <w:spacing w:line="36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2019.11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b/>
                <w:bCs/>
                <w:sz w:val="21"/>
                <w:szCs w:val="21"/>
              </w:rPr>
            </w:pPr>
            <w:r>
              <w:rPr>
                <w:rFonts w:hint="eastAsia" w:ascii="Times New Roman" w:hAnsi="Times New Roman" w:cs="Times New Roman"/>
                <w:b/>
                <w:bCs/>
                <w:sz w:val="21"/>
                <w:szCs w:val="21"/>
              </w:rPr>
              <w:t>调试时间</w:t>
            </w:r>
          </w:p>
        </w:tc>
        <w:tc>
          <w:tcPr>
            <w:tcW w:w="2464" w:type="dxa"/>
            <w:vAlign w:val="center"/>
          </w:tcPr>
          <w:p>
            <w:pPr>
              <w:spacing w:line="36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2019.11</w:t>
            </w:r>
          </w:p>
        </w:tc>
        <w:tc>
          <w:tcPr>
            <w:tcW w:w="1901" w:type="dxa"/>
            <w:vAlign w:val="center"/>
          </w:tcPr>
          <w:p>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验收监测时间</w:t>
            </w:r>
          </w:p>
        </w:tc>
        <w:tc>
          <w:tcPr>
            <w:tcW w:w="3181" w:type="dxa"/>
            <w:gridSpan w:val="3"/>
            <w:vAlign w:val="center"/>
          </w:tcPr>
          <w:p>
            <w:pPr>
              <w:spacing w:line="36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2019.11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环评报告表</w:t>
            </w:r>
          </w:p>
          <w:p>
            <w:pPr>
              <w:spacing w:line="36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审批部门</w:t>
            </w:r>
          </w:p>
        </w:tc>
        <w:tc>
          <w:tcPr>
            <w:tcW w:w="2464" w:type="dxa"/>
            <w:vAlign w:val="center"/>
          </w:tcPr>
          <w:p>
            <w:pPr>
              <w:spacing w:line="360" w:lineRule="auto"/>
              <w:jc w:val="center"/>
              <w:rPr>
                <w:rFonts w:hint="eastAsia" w:ascii="Times New Roman" w:hAnsi="Times New Roman" w:cs="Times New Roman" w:eastAsiaTheme="minorEastAsia"/>
                <w:color w:val="000000"/>
                <w:sz w:val="21"/>
                <w:szCs w:val="21"/>
                <w:lang w:eastAsia="zh-CN"/>
              </w:rPr>
            </w:pPr>
            <w:r>
              <w:rPr>
                <w:rFonts w:hint="eastAsia" w:ascii="Times New Roman" w:hAnsi="Times New Roman" w:cs="Times New Roman"/>
                <w:color w:val="000000"/>
                <w:sz w:val="21"/>
                <w:szCs w:val="21"/>
                <w:lang w:eastAsia="zh-CN"/>
              </w:rPr>
              <w:t>济南市生态环境局商河分局</w:t>
            </w:r>
          </w:p>
        </w:tc>
        <w:tc>
          <w:tcPr>
            <w:tcW w:w="1901" w:type="dxa"/>
            <w:vAlign w:val="center"/>
          </w:tcPr>
          <w:p>
            <w:pPr>
              <w:spacing w:line="36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环评报告表</w:t>
            </w:r>
          </w:p>
          <w:p>
            <w:pPr>
              <w:spacing w:line="36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编制单位</w:t>
            </w:r>
          </w:p>
        </w:tc>
        <w:tc>
          <w:tcPr>
            <w:tcW w:w="3181" w:type="dxa"/>
            <w:gridSpan w:val="3"/>
            <w:vAlign w:val="center"/>
          </w:tcPr>
          <w:p>
            <w:pPr>
              <w:spacing w:line="360" w:lineRule="auto"/>
              <w:jc w:val="center"/>
              <w:rPr>
                <w:rFonts w:hint="default" w:ascii="Times New Roman" w:hAnsi="Times New Roman" w:eastAsiaTheme="minorEastAsia"/>
                <w:sz w:val="21"/>
                <w:szCs w:val="21"/>
                <w:lang w:val="en-US" w:eastAsia="zh-CN"/>
              </w:rPr>
            </w:pPr>
            <w:r>
              <w:rPr>
                <w:rFonts w:hint="eastAsia" w:ascii="Times New Roman" w:hAnsi="Times New Roman" w:cs="Times New Roman"/>
                <w:color w:val="000000"/>
                <w:sz w:val="21"/>
                <w:szCs w:val="21"/>
                <w:lang w:eastAsia="zh-CN"/>
              </w:rPr>
              <w:t>江苏苏辰勘察设计研究院有限公司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b/>
                <w:bCs/>
                <w:color w:val="000000"/>
                <w:sz w:val="21"/>
                <w:szCs w:val="21"/>
              </w:rPr>
            </w:pPr>
            <w:r>
              <w:rPr>
                <w:rFonts w:hint="eastAsia" w:ascii="Times New Roman" w:hAnsi="Times New Roman" w:cs="Times New Roman"/>
                <w:b/>
                <w:bCs/>
                <w:color w:val="000000"/>
                <w:sz w:val="21"/>
                <w:szCs w:val="21"/>
              </w:rPr>
              <w:t>环保设施设计单位</w:t>
            </w:r>
          </w:p>
        </w:tc>
        <w:tc>
          <w:tcPr>
            <w:tcW w:w="2464" w:type="dxa"/>
            <w:vAlign w:val="center"/>
          </w:tcPr>
          <w:p>
            <w:pPr>
              <w:spacing w:line="360" w:lineRule="auto"/>
              <w:jc w:val="center"/>
              <w:rPr>
                <w:rFonts w:hint="eastAsia" w:ascii="Times New Roman" w:eastAsiaTheme="minorEastAsia"/>
                <w:color w:val="FF0000"/>
                <w:sz w:val="21"/>
                <w:szCs w:val="21"/>
                <w:lang w:eastAsia="zh-CN"/>
              </w:rPr>
            </w:pPr>
            <w:r>
              <w:rPr>
                <w:rFonts w:hint="eastAsia"/>
                <w:sz w:val="21"/>
                <w:szCs w:val="21"/>
                <w:lang w:val="en-US" w:eastAsia="zh-CN"/>
              </w:rPr>
              <w:t>/</w:t>
            </w:r>
          </w:p>
        </w:tc>
        <w:tc>
          <w:tcPr>
            <w:tcW w:w="1901" w:type="dxa"/>
            <w:vAlign w:val="center"/>
          </w:tcPr>
          <w:p>
            <w:pPr>
              <w:spacing w:line="360" w:lineRule="auto"/>
              <w:jc w:val="center"/>
              <w:rPr>
                <w:rFonts w:ascii="Times New Roman" w:hAnsi="Times New Roman" w:cs="Times New Roman"/>
                <w:b/>
                <w:bCs/>
                <w:color w:val="000000"/>
                <w:sz w:val="21"/>
                <w:szCs w:val="21"/>
              </w:rPr>
            </w:pPr>
            <w:r>
              <w:rPr>
                <w:rFonts w:hint="eastAsia" w:ascii="Times New Roman" w:hAnsi="Times New Roman" w:cs="Times New Roman"/>
                <w:b/>
                <w:bCs/>
                <w:color w:val="000000"/>
                <w:sz w:val="21"/>
                <w:szCs w:val="21"/>
              </w:rPr>
              <w:t>环保设施施工单位</w:t>
            </w:r>
          </w:p>
        </w:tc>
        <w:tc>
          <w:tcPr>
            <w:tcW w:w="3181" w:type="dxa"/>
            <w:gridSpan w:val="3"/>
            <w:vAlign w:val="center"/>
          </w:tcPr>
          <w:p>
            <w:pPr>
              <w:spacing w:line="360" w:lineRule="auto"/>
              <w:jc w:val="center"/>
              <w:rPr>
                <w:rFonts w:ascii="Times New Roman" w:hAnsi="Times New Roman"/>
                <w:sz w:val="21"/>
                <w:szCs w:val="21"/>
              </w:rPr>
            </w:pPr>
            <w:r>
              <w:rPr>
                <w:rFonts w:hint="eastAsia" w:ascii="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投资总概算</w:t>
            </w:r>
          </w:p>
        </w:tc>
        <w:tc>
          <w:tcPr>
            <w:tcW w:w="2464" w:type="dxa"/>
            <w:vAlign w:val="center"/>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lang w:val="en-US" w:eastAsia="zh-CN"/>
              </w:rPr>
              <w:t>30</w:t>
            </w:r>
            <w:r>
              <w:rPr>
                <w:rFonts w:ascii="Times New Roman" w:hAnsi="Times New Roman" w:cs="Times New Roman"/>
                <w:sz w:val="21"/>
                <w:szCs w:val="21"/>
              </w:rPr>
              <w:t>万元</w:t>
            </w:r>
          </w:p>
        </w:tc>
        <w:tc>
          <w:tcPr>
            <w:tcW w:w="1901" w:type="dxa"/>
            <w:vAlign w:val="center"/>
          </w:tcPr>
          <w:p>
            <w:pPr>
              <w:spacing w:line="36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环保投资总概算</w:t>
            </w:r>
          </w:p>
        </w:tc>
        <w:tc>
          <w:tcPr>
            <w:tcW w:w="1090" w:type="dxa"/>
            <w:vAlign w:val="center"/>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lang w:val="en-US" w:eastAsia="zh-CN"/>
              </w:rPr>
              <w:t>5</w:t>
            </w:r>
            <w:r>
              <w:rPr>
                <w:rFonts w:ascii="Times New Roman" w:hAnsi="Times New Roman" w:cs="Times New Roman"/>
                <w:sz w:val="21"/>
                <w:szCs w:val="21"/>
              </w:rPr>
              <w:t>万元</w:t>
            </w:r>
          </w:p>
        </w:tc>
        <w:tc>
          <w:tcPr>
            <w:tcW w:w="850" w:type="dxa"/>
            <w:vAlign w:val="center"/>
          </w:tcPr>
          <w:p>
            <w:pPr>
              <w:spacing w:line="36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比例</w:t>
            </w:r>
          </w:p>
        </w:tc>
        <w:tc>
          <w:tcPr>
            <w:tcW w:w="1241" w:type="dxa"/>
            <w:vAlign w:val="center"/>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lang w:val="en-US" w:eastAsia="zh-CN"/>
              </w:rPr>
              <w:t>16.67</w:t>
            </w:r>
            <w:r>
              <w:rPr>
                <w:rFonts w:ascii="Times New Roman" w:hAnsi="Times New Roman"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实际总</w:t>
            </w:r>
            <w:r>
              <w:rPr>
                <w:rFonts w:hint="eastAsia" w:ascii="Times New Roman" w:hAnsi="Times New Roman" w:cs="Times New Roman"/>
                <w:b/>
                <w:bCs/>
                <w:color w:val="000000"/>
                <w:sz w:val="21"/>
                <w:szCs w:val="21"/>
              </w:rPr>
              <w:t>概算</w:t>
            </w:r>
          </w:p>
        </w:tc>
        <w:tc>
          <w:tcPr>
            <w:tcW w:w="2464" w:type="dxa"/>
            <w:vAlign w:val="center"/>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lang w:val="en-US" w:eastAsia="zh-CN"/>
              </w:rPr>
              <w:t>15</w:t>
            </w:r>
            <w:r>
              <w:rPr>
                <w:rFonts w:hint="eastAsia" w:ascii="Times New Roman" w:hAnsi="Times New Roman" w:cs="Times New Roman"/>
                <w:sz w:val="21"/>
                <w:szCs w:val="21"/>
              </w:rPr>
              <w:t>万元</w:t>
            </w:r>
          </w:p>
        </w:tc>
        <w:tc>
          <w:tcPr>
            <w:tcW w:w="1901" w:type="dxa"/>
            <w:vAlign w:val="center"/>
          </w:tcPr>
          <w:p>
            <w:pPr>
              <w:spacing w:line="36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环保投资</w:t>
            </w:r>
          </w:p>
        </w:tc>
        <w:tc>
          <w:tcPr>
            <w:tcW w:w="1090" w:type="dxa"/>
            <w:vAlign w:val="center"/>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lang w:val="en-US" w:eastAsia="zh-CN"/>
              </w:rPr>
              <w:t>3</w:t>
            </w:r>
            <w:r>
              <w:rPr>
                <w:rFonts w:hint="eastAsia" w:ascii="Times New Roman" w:hAnsi="Times New Roman" w:cs="Times New Roman"/>
                <w:sz w:val="21"/>
                <w:szCs w:val="21"/>
              </w:rPr>
              <w:t>万元</w:t>
            </w:r>
          </w:p>
        </w:tc>
        <w:tc>
          <w:tcPr>
            <w:tcW w:w="850" w:type="dxa"/>
            <w:vAlign w:val="center"/>
          </w:tcPr>
          <w:p>
            <w:pPr>
              <w:spacing w:line="36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比例</w:t>
            </w:r>
          </w:p>
        </w:tc>
        <w:tc>
          <w:tcPr>
            <w:tcW w:w="1241" w:type="dxa"/>
            <w:vAlign w:val="center"/>
          </w:tcPr>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lang w:val="en-US" w:eastAsia="zh-CN"/>
              </w:rPr>
              <w:t>20</w:t>
            </w:r>
            <w:r>
              <w:rPr>
                <w:rFonts w:ascii="Times New Roman" w:hAnsi="Times New Roman"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center"/>
              <w:rPr>
                <w:rFonts w:ascii="Times New Roman" w:hAnsi="Times New Roman" w:cs="Times New Roman"/>
                <w:color w:val="000000"/>
                <w:sz w:val="21"/>
                <w:szCs w:val="21"/>
              </w:rPr>
            </w:pPr>
            <w:r>
              <w:rPr>
                <w:rFonts w:ascii="Times New Roman" w:hAnsi="Times New Roman" w:cs="Times New Roman"/>
                <w:b/>
                <w:bCs/>
                <w:color w:val="000000"/>
                <w:sz w:val="21"/>
                <w:szCs w:val="21"/>
              </w:rPr>
              <w:t>验收监测依据</w:t>
            </w:r>
          </w:p>
        </w:tc>
        <w:tc>
          <w:tcPr>
            <w:tcW w:w="7546"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sz w:val="21"/>
                <w:szCs w:val="21"/>
              </w:rPr>
            </w:pPr>
            <w:r>
              <w:rPr>
                <w:rFonts w:hint="eastAsia" w:ascii="Times New Roman" w:hAnsi="Times New Roman" w:cs="Times New Roman"/>
                <w:sz w:val="21"/>
                <w:szCs w:val="21"/>
                <w:lang w:val="en-US" w:eastAsia="zh-CN"/>
              </w:rPr>
              <w:t>1、</w:t>
            </w:r>
            <w:r>
              <w:rPr>
                <w:rFonts w:ascii="Times New Roman" w:hAnsi="Times New Roman" w:cs="Times New Roman"/>
                <w:sz w:val="21"/>
                <w:szCs w:val="21"/>
              </w:rPr>
              <w:t>国务院令第682号《建设项目环境保护管理条例》</w:t>
            </w:r>
            <w:r>
              <w:rPr>
                <w:rFonts w:hint="eastAsia" w:ascii="Times New Roman" w:hAnsi="Times New Roman"/>
                <w:sz w:val="21"/>
                <w:szCs w:val="21"/>
              </w:rPr>
              <w:t>(2017.10.01)</w:t>
            </w:r>
            <w:r>
              <w:rPr>
                <w:rFonts w:ascii="Times New Roman" w:hAnsi="Times New Roman" w:cs="Times New Roman"/>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color w:val="000000" w:themeColor="text1"/>
                <w:sz w:val="21"/>
                <w:szCs w:val="21"/>
                <w14:textFill>
                  <w14:solidFill>
                    <w14:schemeClr w14:val="tx1"/>
                  </w14:solidFill>
                </w14:textFill>
              </w:rPr>
              <w:t>环境保护部国环规环评[2017]4号，</w:t>
            </w:r>
            <w:r>
              <w:rPr>
                <w:rFonts w:ascii="Times New Roman" w:hAnsi="Times New Roman" w:cs="Times New Roman"/>
                <w:sz w:val="21"/>
                <w:szCs w:val="21"/>
              </w:rPr>
              <w:t>《建设项目竣工环境保护验收暂行办法》</w:t>
            </w:r>
            <w:r>
              <w:rPr>
                <w:rFonts w:ascii="Times New Roman" w:hAnsi="Times New Roman" w:cs="Times New Roman"/>
                <w:color w:val="000000" w:themeColor="text1"/>
                <w:sz w:val="21"/>
                <w:szCs w:val="21"/>
                <w14:textFill>
                  <w14:solidFill>
                    <w14:schemeClr w14:val="tx1"/>
                  </w14:solidFill>
                </w14:textFill>
              </w:rPr>
              <w:t>（2017.11.20）</w:t>
            </w:r>
            <w:r>
              <w:rPr>
                <w:rFonts w:ascii="Times New Roman" w:hAnsi="Times New Roman" w:cs="Times New Roman"/>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SimSun" w:cs="SimSun"/>
                <w:color w:val="000000"/>
                <w:sz w:val="21"/>
                <w:szCs w:val="21"/>
              </w:rPr>
            </w:pPr>
            <w:r>
              <w:rPr>
                <w:rFonts w:hint="eastAsia" w:ascii="Times New Roman" w:hAnsi="Times New Roman" w:eastAsia="SimSun" w:cs="Times New Roman"/>
                <w:sz w:val="21"/>
                <w:szCs w:val="21"/>
              </w:rPr>
              <w:t>3</w:t>
            </w:r>
            <w:r>
              <w:rPr>
                <w:rFonts w:hint="eastAsia" w:ascii="Times New Roman" w:hAnsi="SimSun" w:eastAsia="SimSun" w:cs="SimSun"/>
                <w:color w:val="000000"/>
                <w:sz w:val="21"/>
                <w:szCs w:val="21"/>
              </w:rPr>
              <w:t>、生态环境部公告</w:t>
            </w:r>
            <w:r>
              <w:rPr>
                <w:rFonts w:hint="eastAsia" w:ascii="Times New Roman" w:hAnsi="Times New Roman" w:eastAsia="SimSun" w:cs="Times New Roman"/>
                <w:sz w:val="21"/>
                <w:szCs w:val="21"/>
              </w:rPr>
              <w:t>2018</w:t>
            </w:r>
            <w:r>
              <w:rPr>
                <w:rFonts w:hint="eastAsia" w:ascii="Times New Roman" w:hAnsi="SimSun" w:eastAsia="SimSun" w:cs="SimSun"/>
                <w:color w:val="000000"/>
                <w:sz w:val="21"/>
                <w:szCs w:val="21"/>
              </w:rPr>
              <w:t>年第</w:t>
            </w:r>
            <w:r>
              <w:rPr>
                <w:rFonts w:hint="eastAsia" w:ascii="Times New Roman" w:hAnsi="Times New Roman" w:eastAsia="SimSun" w:cs="Times New Roman"/>
                <w:sz w:val="21"/>
                <w:szCs w:val="21"/>
              </w:rPr>
              <w:t>9</w:t>
            </w:r>
            <w:r>
              <w:rPr>
                <w:rFonts w:hint="eastAsia" w:ascii="Times New Roman" w:hAnsi="SimSun" w:eastAsia="SimSun" w:cs="SimSun"/>
                <w:color w:val="000000"/>
                <w:sz w:val="21"/>
                <w:szCs w:val="21"/>
              </w:rPr>
              <w:t>号，《关于发布</w:t>
            </w:r>
            <w:r>
              <w:rPr>
                <w:rFonts w:hint="eastAsia" w:ascii="Times New Roman" w:hAnsi="Times New Roman" w:eastAsia="SimSun" w:cs="SimSun"/>
                <w:color w:val="000000"/>
                <w:sz w:val="21"/>
                <w:szCs w:val="21"/>
              </w:rPr>
              <w:t>&lt;</w:t>
            </w:r>
            <w:r>
              <w:rPr>
                <w:rFonts w:hint="eastAsia" w:ascii="Times New Roman" w:hAnsi="SimSun" w:eastAsia="SimSun" w:cs="SimSun"/>
                <w:color w:val="000000"/>
                <w:sz w:val="21"/>
                <w:szCs w:val="21"/>
              </w:rPr>
              <w:t>建设项目竣工环境保护验收技术指南污染影响类</w:t>
            </w:r>
            <w:r>
              <w:rPr>
                <w:rFonts w:hint="eastAsia" w:ascii="Times New Roman" w:hAnsi="Times New Roman" w:eastAsia="SimSun" w:cs="SimSun"/>
                <w:color w:val="000000"/>
                <w:sz w:val="21"/>
                <w:szCs w:val="21"/>
              </w:rPr>
              <w:t>&gt;</w:t>
            </w:r>
            <w:r>
              <w:rPr>
                <w:rFonts w:hint="eastAsia" w:ascii="Times New Roman" w:hAnsi="SimSun" w:eastAsia="SimSun" w:cs="SimSun"/>
                <w:color w:val="000000"/>
                <w:sz w:val="21"/>
                <w:szCs w:val="21"/>
              </w:rPr>
              <w:t>的公告》</w:t>
            </w:r>
            <w:r>
              <w:rPr>
                <w:rFonts w:hint="eastAsia" w:ascii="Times New Roman" w:hAnsi="Times New Roman" w:eastAsia="SimSun" w:cs="Times New Roman"/>
                <w:sz w:val="21"/>
                <w:szCs w:val="21"/>
              </w:rPr>
              <w:t>（2018.5.15）</w:t>
            </w:r>
            <w:r>
              <w:rPr>
                <w:rFonts w:hint="eastAsia" w:ascii="Times New Roman" w:hAnsi="SimSun" w:eastAsia="SimSun" w:cs="SimSun"/>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SimSun" w:cs="Times New Roman"/>
                <w:sz w:val="21"/>
                <w:szCs w:val="21"/>
              </w:rPr>
            </w:pPr>
            <w:r>
              <w:rPr>
                <w:rFonts w:hint="eastAsia" w:ascii="Times New Roman" w:hAnsi="Times New Roman" w:eastAsia="SimSun" w:cs="Times New Roman"/>
                <w:sz w:val="21"/>
                <w:szCs w:val="21"/>
              </w:rPr>
              <w:t>4、环境保护部办公厅环办[2015]52号，《关于印发环评管理中部分行业建设项目重大变动清单的通知》；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SimSun" w:eastAsia="SimSun" w:cs="SimSun"/>
                <w:color w:val="000000"/>
                <w:sz w:val="21"/>
                <w:szCs w:val="21"/>
              </w:rPr>
            </w:pPr>
            <w:r>
              <w:rPr>
                <w:rFonts w:hint="eastAsia" w:ascii="Times New Roman" w:hAnsi="Times New Roman" w:eastAsia="SimSun" w:cs="Times New Roman"/>
                <w:sz w:val="21"/>
                <w:szCs w:val="21"/>
              </w:rPr>
              <w:t>5</w:t>
            </w:r>
            <w:r>
              <w:rPr>
                <w:rFonts w:hint="eastAsia" w:ascii="Times New Roman" w:hAnsi="SimSun" w:cs="SimSun"/>
                <w:sz w:val="21"/>
                <w:szCs w:val="21"/>
              </w:rPr>
              <w:t>、</w:t>
            </w:r>
            <w:r>
              <w:rPr>
                <w:rFonts w:hint="eastAsia" w:ascii="Times New Roman" w:hAnsi="SimSun" w:eastAsia="SimSun" w:cs="SimSun"/>
                <w:color w:val="000000"/>
                <w:sz w:val="21"/>
                <w:szCs w:val="21"/>
              </w:rPr>
              <w:t>环境保护部环办环评</w:t>
            </w:r>
            <w:r>
              <w:rPr>
                <w:rFonts w:ascii="Times New Roman" w:hAnsi="Times New Roman" w:cs="Times New Roman"/>
                <w:color w:val="000000" w:themeColor="text1"/>
                <w:sz w:val="21"/>
                <w:szCs w:val="21"/>
                <w14:textFill>
                  <w14:solidFill>
                    <w14:schemeClr w14:val="tx1"/>
                  </w14:solidFill>
                </w14:textFill>
              </w:rPr>
              <w:t>[201</w:t>
            </w:r>
            <w:r>
              <w:rPr>
                <w:rFonts w:hint="eastAsia" w:ascii="Times New Roman" w:hAnsi="Times New Roman" w:cs="Times New Roman"/>
                <w:color w:val="000000" w:themeColor="text1"/>
                <w:sz w:val="21"/>
                <w:szCs w:val="21"/>
                <w14:textFill>
                  <w14:solidFill>
                    <w14:schemeClr w14:val="tx1"/>
                  </w14:solidFill>
                </w14:textFill>
              </w:rPr>
              <w:t>8</w:t>
            </w:r>
            <w:r>
              <w:rPr>
                <w:rFonts w:ascii="Times New Roman" w:hAnsi="Times New Roman" w:cs="Times New Roman"/>
                <w:color w:val="000000" w:themeColor="text1"/>
                <w:sz w:val="21"/>
                <w:szCs w:val="21"/>
                <w14:textFill>
                  <w14:solidFill>
                    <w14:schemeClr w14:val="tx1"/>
                  </w14:solidFill>
                </w14:textFill>
              </w:rPr>
              <w:t>]6</w:t>
            </w:r>
            <w:r>
              <w:rPr>
                <w:rFonts w:ascii="Times New Roman" w:hAnsi="Arial" w:cs="Arial"/>
                <w:color w:val="191919"/>
                <w:sz w:val="21"/>
                <w:szCs w:val="21"/>
                <w:shd w:val="clear" w:color="auto" w:fill="FFFFFF"/>
              </w:rPr>
              <w:t>号</w:t>
            </w:r>
            <w:r>
              <w:rPr>
                <w:rFonts w:hint="eastAsia" w:ascii="Times New Roman" w:hAnsi="Arial" w:cs="Arial"/>
                <w:color w:val="191919"/>
                <w:sz w:val="21"/>
                <w:szCs w:val="21"/>
                <w:shd w:val="clear" w:color="auto" w:fill="FFFFFF"/>
              </w:rPr>
              <w:t>，</w:t>
            </w:r>
            <w:r>
              <w:rPr>
                <w:rFonts w:hint="eastAsia" w:ascii="Times New Roman" w:hAnsi="SimSun" w:eastAsia="SimSun" w:cs="SimSun"/>
                <w:color w:val="000000"/>
                <w:sz w:val="21"/>
                <w:szCs w:val="21"/>
              </w:rPr>
              <w:t>《</w:t>
            </w:r>
            <w:r>
              <w:rPr>
                <w:rFonts w:ascii="Times New Roman" w:hAnsi="SimSun" w:eastAsia="SimSun" w:cs="SimSun"/>
                <w:color w:val="000000"/>
                <w:sz w:val="21"/>
                <w:szCs w:val="21"/>
              </w:rPr>
              <w:t>关于印发制浆造纸等十四个行业建设项目重大变动清单的通知</w:t>
            </w:r>
            <w:r>
              <w:rPr>
                <w:rFonts w:hint="eastAsia" w:ascii="Times New Roman" w:hAnsi="SimSun" w:eastAsia="SimSun" w:cs="SimSun"/>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SimSun" w:cs="SimSun"/>
                <w:color w:val="000000"/>
                <w:sz w:val="21"/>
                <w:szCs w:val="21"/>
              </w:rPr>
            </w:pPr>
            <w:r>
              <w:rPr>
                <w:rFonts w:hint="eastAsia" w:ascii="Times New Roman" w:hAnsi="Times New Roman" w:cs="Times New Roman"/>
                <w:color w:val="000000" w:themeColor="text1"/>
                <w:sz w:val="21"/>
                <w:szCs w:val="21"/>
                <w14:textFill>
                  <w14:solidFill>
                    <w14:schemeClr w14:val="tx1"/>
                  </w14:solidFill>
                </w14:textFill>
              </w:rPr>
              <w:t>6、</w:t>
            </w:r>
            <w:r>
              <w:rPr>
                <w:rFonts w:hint="eastAsia" w:ascii="Times New Roman" w:hAnsi="SimSun" w:eastAsia="SimSun" w:cs="SimSun"/>
                <w:color w:val="000000"/>
                <w:sz w:val="21"/>
                <w:szCs w:val="21"/>
              </w:rPr>
              <w:t>《山东省环境保护条例》（</w:t>
            </w:r>
            <w:r>
              <w:rPr>
                <w:rFonts w:hint="eastAsia" w:ascii="Times New Roman" w:hAnsi="Times New Roman" w:cs="Times New Roman"/>
                <w:color w:val="000000" w:themeColor="text1"/>
                <w:sz w:val="21"/>
                <w:szCs w:val="21"/>
                <w14:textFill>
                  <w14:solidFill>
                    <w14:schemeClr w14:val="tx1"/>
                  </w14:solidFill>
                </w14:textFill>
              </w:rPr>
              <w:t>2019.01.01</w:t>
            </w:r>
            <w:r>
              <w:rPr>
                <w:rFonts w:hint="eastAsia" w:ascii="Times New Roman" w:hAnsi="SimSun" w:eastAsia="SimSun" w:cs="SimSun"/>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sz w:val="21"/>
                <w:szCs w:val="21"/>
              </w:rPr>
            </w:pPr>
            <w:r>
              <w:rPr>
                <w:rFonts w:hint="eastAsia" w:ascii="Times New Roman" w:hAnsi="Times New Roman" w:cs="Times New Roman"/>
                <w:sz w:val="21"/>
                <w:szCs w:val="21"/>
              </w:rPr>
              <w:t>7</w:t>
            </w:r>
            <w:r>
              <w:rPr>
                <w:rFonts w:ascii="Times New Roman" w:hAnsi="Times New Roman" w:cs="Times New Roman"/>
                <w:sz w:val="21"/>
                <w:szCs w:val="21"/>
              </w:rPr>
              <w:t>、《山东安特牧业科技有限公司兽药扩建项目环境影响报告表》（201</w:t>
            </w:r>
            <w:r>
              <w:rPr>
                <w:rFonts w:hint="eastAsia" w:ascii="Times New Roman" w:hAnsi="Times New Roman" w:cs="Times New Roman"/>
                <w:sz w:val="21"/>
                <w:szCs w:val="21"/>
                <w:lang w:val="en-US" w:eastAsia="zh-CN"/>
              </w:rPr>
              <w:t>9</w:t>
            </w:r>
            <w:r>
              <w:rPr>
                <w:rFonts w:ascii="Times New Roman" w:hAnsi="Times New Roman" w:cs="Times New Roman"/>
                <w:sz w:val="21"/>
                <w:szCs w:val="21"/>
              </w:rPr>
              <w:t>.</w:t>
            </w:r>
            <w:r>
              <w:rPr>
                <w:rFonts w:hint="eastAsia" w:ascii="Times New Roman" w:hAnsi="Times New Roman" w:cs="Times New Roman"/>
                <w:sz w:val="21"/>
                <w:szCs w:val="21"/>
                <w:lang w:val="en-US" w:eastAsia="zh-CN"/>
              </w:rPr>
              <w:t>11</w:t>
            </w:r>
            <w:r>
              <w:rPr>
                <w:rFonts w:ascii="Times New Roman" w:hAnsi="Times New Roman" w:cs="Times New Roman"/>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sz w:val="21"/>
                <w:szCs w:val="21"/>
              </w:rPr>
              <w:t>8</w:t>
            </w:r>
            <w:r>
              <w:rPr>
                <w:rFonts w:ascii="Times New Roman" w:hAnsi="Times New Roman" w:cs="Times New Roman"/>
                <w:sz w:val="21"/>
                <w:szCs w:val="21"/>
              </w:rPr>
              <w:t>、《</w:t>
            </w:r>
            <w:r>
              <w:rPr>
                <w:rFonts w:hint="eastAsia" w:ascii="Times New Roman" w:hAnsi="Times New Roman" w:cs="Times New Roman"/>
                <w:sz w:val="21"/>
                <w:szCs w:val="21"/>
                <w:lang w:eastAsia="zh-CN"/>
              </w:rPr>
              <w:t>济南市生态环境局商河分局</w:t>
            </w:r>
            <w:r>
              <w:rPr>
                <w:rFonts w:ascii="Times New Roman" w:hAnsi="Times New Roman" w:cs="Times New Roman"/>
                <w:sz w:val="21"/>
                <w:szCs w:val="21"/>
              </w:rPr>
              <w:t>关于山东安特牧业科技有限公司兽药扩建项目环境影响报告表的</w:t>
            </w:r>
            <w:r>
              <w:rPr>
                <w:rFonts w:hint="eastAsia" w:ascii="Times New Roman" w:hAnsi="Times New Roman" w:cs="Times New Roman"/>
                <w:sz w:val="21"/>
                <w:szCs w:val="21"/>
              </w:rPr>
              <w:t>批复</w:t>
            </w:r>
            <w:r>
              <w:rPr>
                <w:rFonts w:ascii="Times New Roman" w:hAnsi="Times New Roman" w:cs="Times New Roman"/>
                <w:sz w:val="21"/>
                <w:szCs w:val="21"/>
              </w:rPr>
              <w:t>》</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商环报告表</w:t>
            </w:r>
            <w:r>
              <w:rPr>
                <w:rFonts w:ascii="Times New Roman" w:hAnsi="Times New Roman" w:cs="Times New Roman"/>
                <w:color w:val="000000" w:themeColor="text1"/>
                <w:sz w:val="21"/>
                <w:szCs w:val="21"/>
                <w14:textFill>
                  <w14:solidFill>
                    <w14:schemeClr w14:val="tx1"/>
                  </w14:solidFill>
                </w14:textFill>
              </w:rPr>
              <w:t>[201</w:t>
            </w:r>
            <w:r>
              <w:rPr>
                <w:rFonts w:hint="eastAsia" w:ascii="Times New Roman" w:hAnsi="Times New Roman" w:cs="Times New Roman"/>
                <w:color w:val="000000" w:themeColor="text1"/>
                <w:sz w:val="21"/>
                <w:szCs w:val="21"/>
                <w:lang w:val="en-US" w:eastAsia="zh-CN"/>
                <w14:textFill>
                  <w14:solidFill>
                    <w14:schemeClr w14:val="tx1"/>
                  </w14:solidFill>
                </w14:textFill>
              </w:rPr>
              <w:t>9</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111</w:t>
            </w:r>
            <w:r>
              <w:rPr>
                <w:rFonts w:ascii="Times New Roman" w:hAnsi="Times New Roman" w:cs="Times New Roman"/>
                <w:color w:val="000000" w:themeColor="text1"/>
                <w:sz w:val="21"/>
                <w:szCs w:val="21"/>
                <w14:textFill>
                  <w14:solidFill>
                    <w14:schemeClr w14:val="tx1"/>
                  </w14:solidFill>
                </w14:textFill>
              </w:rPr>
              <w:t>号），（201</w:t>
            </w:r>
            <w:r>
              <w:rPr>
                <w:rFonts w:hint="eastAsia" w:ascii="Times New Roman" w:hAnsi="Times New Roman" w:cs="Times New Roman"/>
                <w:color w:val="000000" w:themeColor="text1"/>
                <w:sz w:val="21"/>
                <w:szCs w:val="21"/>
                <w:lang w:val="en-US" w:eastAsia="zh-CN"/>
                <w14:textFill>
                  <w14:solidFill>
                    <w14:schemeClr w14:val="tx1"/>
                  </w14:solidFill>
                </w14:textFill>
              </w:rPr>
              <w:t>9</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11</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20</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auto"/>
                <w:sz w:val="21"/>
                <w:szCs w:val="21"/>
                <w:lang w:val="en-US" w:eastAsia="zh-CN"/>
              </w:rPr>
              <w:t>9、</w:t>
            </w:r>
            <w:r>
              <w:rPr>
                <w:rFonts w:hint="eastAsia" w:ascii="Times New Roman" w:hAnsi="SimSun" w:eastAsia="SimSun" w:cs="SimSun"/>
                <w:color w:val="auto"/>
                <w:sz w:val="21"/>
                <w:szCs w:val="21"/>
                <w:lang w:eastAsia="zh-CN"/>
              </w:rPr>
              <w:t>庆云县环庆环境检测有限公司</w:t>
            </w:r>
            <w:r>
              <w:rPr>
                <w:rFonts w:hint="eastAsia" w:ascii="Times New Roman" w:hAnsi="SimSun" w:eastAsia="SimSun" w:cs="SimSun"/>
                <w:color w:val="auto"/>
                <w:sz w:val="21"/>
                <w:szCs w:val="21"/>
              </w:rPr>
              <w:t>《</w:t>
            </w:r>
            <w:r>
              <w:rPr>
                <w:rFonts w:ascii="Times New Roman" w:hAnsi="Times New Roman" w:cs="Times New Roman"/>
                <w:color w:val="auto"/>
                <w:sz w:val="21"/>
                <w:szCs w:val="21"/>
              </w:rPr>
              <w:t>山东安特牧业科技有限公司兽药扩建项目</w:t>
            </w:r>
            <w:r>
              <w:rPr>
                <w:rFonts w:hint="eastAsia" w:ascii="Times New Roman" w:hAnsi="SimSun" w:eastAsia="SimSun" w:cs="SimSun"/>
                <w:color w:val="auto"/>
                <w:sz w:val="21"/>
                <w:szCs w:val="21"/>
              </w:rPr>
              <w:t>检测报告》（</w:t>
            </w:r>
            <w:r>
              <w:rPr>
                <w:rFonts w:hint="eastAsia" w:ascii="Times New Roman" w:hAnsi="SimSun" w:eastAsia="SimSun" w:cs="SimSun"/>
                <w:color w:val="auto"/>
                <w:sz w:val="21"/>
                <w:szCs w:val="21"/>
                <w:lang w:val="en-US" w:eastAsia="zh-CN"/>
              </w:rPr>
              <w:t>HQJC-JN-201900102</w:t>
            </w:r>
            <w:r>
              <w:rPr>
                <w:rFonts w:hint="eastAsia" w:ascii="Times New Roman" w:hAnsi="SimSun" w:eastAsia="SimSun" w:cs="SimSun"/>
                <w:color w:val="auto"/>
                <w:sz w:val="21"/>
                <w:szCs w:val="21"/>
              </w:rPr>
              <w:t>，2019.</w:t>
            </w:r>
            <w:r>
              <w:rPr>
                <w:rFonts w:hint="eastAsia" w:ascii="Times New Roman" w:hAnsi="SimSun" w:eastAsia="SimSun" w:cs="SimSun"/>
                <w:color w:val="auto"/>
                <w:sz w:val="21"/>
                <w:szCs w:val="21"/>
                <w:lang w:val="en-US" w:eastAsia="zh-CN"/>
              </w:rPr>
              <w:t>11.29</w:t>
            </w:r>
            <w:r>
              <w:rPr>
                <w:rFonts w:hint="eastAsia" w:ascii="Times New Roman" w:hAnsi="SimSun" w:eastAsia="SimSun" w:cs="SimSu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259" w:type="dxa"/>
            <w:vAlign w:val="center"/>
          </w:tcPr>
          <w:p>
            <w:pPr>
              <w:spacing w:line="360" w:lineRule="auto"/>
              <w:jc w:val="left"/>
              <w:rPr>
                <w:rFonts w:ascii="Times New Roman" w:hAnsi="Times New Roman" w:cs="Times New Roman"/>
                <w:b/>
                <w:bCs/>
                <w:color w:val="000000"/>
                <w:sz w:val="21"/>
                <w:szCs w:val="21"/>
              </w:rPr>
            </w:pPr>
            <w:r>
              <w:rPr>
                <w:rFonts w:ascii="Times New Roman" w:hAnsi="Times New Roman" w:cs="Times New Roman"/>
                <w:b/>
                <w:bCs/>
                <w:color w:val="000000"/>
                <w:sz w:val="21"/>
                <w:szCs w:val="21"/>
              </w:rPr>
              <w:t>验收监测评价标准、</w:t>
            </w:r>
          </w:p>
          <w:p>
            <w:pPr>
              <w:spacing w:line="360" w:lineRule="auto"/>
              <w:jc w:val="left"/>
              <w:rPr>
                <w:rFonts w:ascii="Times New Roman" w:hAnsi="Times New Roman" w:cs="Times New Roman"/>
                <w:color w:val="000000"/>
                <w:sz w:val="21"/>
                <w:szCs w:val="21"/>
              </w:rPr>
            </w:pPr>
            <w:r>
              <w:rPr>
                <w:rFonts w:hint="eastAsia" w:ascii="Times New Roman" w:hAnsi="Times New Roman" w:cs="Times New Roman"/>
                <w:b/>
                <w:bCs/>
                <w:color w:val="000000"/>
                <w:sz w:val="21"/>
                <w:szCs w:val="21"/>
                <w:lang w:val="en-US" w:eastAsia="zh-CN"/>
              </w:rPr>
              <w:t>标号、</w:t>
            </w:r>
            <w:r>
              <w:rPr>
                <w:rFonts w:ascii="Times New Roman" w:hAnsi="Times New Roman" w:cs="Times New Roman"/>
                <w:b/>
                <w:bCs/>
                <w:color w:val="000000"/>
                <w:sz w:val="21"/>
                <w:szCs w:val="21"/>
              </w:rPr>
              <w:t>级别</w:t>
            </w:r>
          </w:p>
        </w:tc>
        <w:tc>
          <w:tcPr>
            <w:tcW w:w="7546"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一、大气污染物排放标准：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口服液、液体消毒剂生产过程中产生的废气，经收集后引入布袋除尘器+UV光氧装置+活性炭吸附装置处理，片剂生产过程中产生的粉尘经集气罩收集，通过布袋除尘器处理，化验室化验过程中产生的有机废气经光氧催化+活性炭吸附装置处理，最后均通过1根15米高排气筒（1#)排放；VOCs排放浓度及排放速率须满足《挥发性有机物排放标准第6部分：有机化工行业》（DB37/2801.6-2018)表1Ⅱ时段限值要求；颗粒物排放浓度与排放速率须满足《区域性大气污染物综合排放标准》（DB37/2376-2019)表1重点控制区标准要求和《大气污染物综合排放标准》（GB16297-1996)表2标准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2、无组织废气</w:t>
            </w:r>
            <w:r>
              <w:rPr>
                <w:rFonts w:hint="eastAsia" w:ascii="Times New Roman" w:hAnsi="Times New Roman" w:cs="Times New Roman"/>
                <w:sz w:val="21"/>
                <w:szCs w:val="21"/>
                <w:lang w:val="en-US" w:eastAsia="zh-CN"/>
              </w:rPr>
              <w:t>：VOCs厂界排放浓度须满足《挥发性有机物排放标准第6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部分：有机化工行业》（DB37/2801.6-2018)表3中厂界监控点浓度限值要求；颗粒物厂界排放浓度须满足《大气污染物综合排放标准》（GB16297-1996)表2中厂界外浓度限值要求。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二、污水排放标准：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设备清洗废水、车间地面清洁废水、口服液瓶清洗水、纯水制备浓水</w:t>
            </w:r>
            <w:r>
              <w:rPr>
                <w:rFonts w:hint="default" w:ascii="Times New Roman" w:hAnsi="Times New Roman" w:cs="Times New Roman"/>
                <w:sz w:val="21"/>
                <w:szCs w:val="21"/>
                <w:lang w:val="en-US" w:eastAsia="zh-CN"/>
              </w:rPr>
              <w:t>预处理后须满足《污水排入城镇下水道水质标准》（GB/T31962-2015）B等级标准。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三、噪声排放标准：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厂界噪声执行《工业企业厂界环境噪声排放标准》（GB 12348-2008）2类标准要求。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四、固体废物标准：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1、一般工业固废执行《一般工业固体废弃物贮存、处置场污染控制标准》（GB 18599-2001）及其2013年修改单要求；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sz w:val="21"/>
                <w:szCs w:val="21"/>
                <w:lang w:val="en-US" w:eastAsia="zh-CN"/>
              </w:rPr>
            </w:pPr>
            <w:r>
              <w:rPr>
                <w:rFonts w:hint="default" w:ascii="Times New Roman" w:hAnsi="Times New Roman" w:cs="Times New Roman"/>
                <w:sz w:val="21"/>
                <w:szCs w:val="21"/>
                <w:lang w:val="en-US" w:eastAsia="zh-CN"/>
              </w:rPr>
              <w:t>2、危险废物执行《危险废物贮存污染控制标准》（GB 18597-2001）及其</w:t>
            </w:r>
            <w:r>
              <w:rPr>
                <w:rFonts w:hint="eastAsia" w:ascii="Times New Roman" w:hAnsi="Times New Roman" w:cs="Times New Roman"/>
                <w:sz w:val="21"/>
                <w:szCs w:val="21"/>
                <w:lang w:val="en-US" w:eastAsia="zh-CN"/>
              </w:rPr>
              <w:t>2013年</w:t>
            </w:r>
            <w:r>
              <w:rPr>
                <w:rFonts w:hint="default" w:ascii="Times New Roman" w:hAnsi="Times New Roman" w:cs="Times New Roman"/>
                <w:sz w:val="21"/>
                <w:szCs w:val="21"/>
                <w:lang w:val="en-US" w:eastAsia="zh-CN"/>
              </w:rPr>
              <w:t>修改单</w:t>
            </w:r>
            <w:r>
              <w:rPr>
                <w:rFonts w:hint="eastAsia" w:ascii="Times New Roman" w:hAnsi="Times New Roman" w:cs="Times New Roman"/>
                <w:sz w:val="21"/>
                <w:szCs w:val="21"/>
                <w:lang w:val="en-US" w:eastAsia="zh-CN"/>
              </w:rPr>
              <w:t>的</w:t>
            </w:r>
            <w:r>
              <w:rPr>
                <w:rFonts w:hint="default" w:ascii="Times New Roman" w:hAnsi="Times New Roman" w:cs="Times New Roman"/>
                <w:sz w:val="21"/>
                <w:szCs w:val="21"/>
                <w:lang w:val="en-US" w:eastAsia="zh-CN"/>
              </w:rPr>
              <w:t>标准要求。</w:t>
            </w:r>
          </w:p>
        </w:tc>
      </w:tr>
    </w:tbl>
    <w:p>
      <w:pPr>
        <w:pStyle w:val="5"/>
        <w:spacing w:before="0" w:after="0" w:line="360" w:lineRule="auto"/>
        <w:jc w:val="left"/>
        <w:rPr>
          <w:rFonts w:ascii="Times New Roman" w:hAnsi="Times New Roman" w:cs="Times New Roman"/>
          <w:sz w:val="28"/>
          <w:szCs w:val="28"/>
        </w:rPr>
      </w:pPr>
      <w:bookmarkStart w:id="1" w:name="_Toc517710308"/>
      <w:r>
        <w:rPr>
          <w:rFonts w:ascii="Times New Roman" w:hAnsi="Times New Roman" w:cs="Times New Roman"/>
          <w:sz w:val="28"/>
          <w:szCs w:val="28"/>
        </w:rPr>
        <w:t xml:space="preserve">表二  </w:t>
      </w:r>
      <w:bookmarkEnd w:id="1"/>
      <w:r>
        <w:rPr>
          <w:rFonts w:ascii="Times New Roman" w:hAnsi="Times New Roman" w:cs="Times New Roman"/>
          <w:sz w:val="28"/>
          <w:szCs w:val="28"/>
        </w:rPr>
        <w:t xml:space="preserve"> </w:t>
      </w:r>
    </w:p>
    <w:tbl>
      <w:tblPr>
        <w:tblStyle w:val="29"/>
        <w:tblW w:w="9968" w:type="dxa"/>
        <w:jc w:val="center"/>
        <w:tblInd w:w="-81"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996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12206" w:hRule="atLeast"/>
          <w:jc w:val="center"/>
        </w:trPr>
        <w:tc>
          <w:tcPr>
            <w:tcW w:w="9968" w:type="dxa"/>
          </w:tcPr>
          <w:p>
            <w:pPr>
              <w:spacing w:line="360" w:lineRule="auto"/>
              <w:jc w:val="left"/>
              <w:rPr>
                <w:rFonts w:ascii="Times New Roman" w:hAnsi="Times New Roman" w:eastAsia="SimSun" w:cs="Times New Roman"/>
                <w:b/>
                <w:spacing w:val="6"/>
                <w:sz w:val="28"/>
                <w:szCs w:val="24"/>
              </w:rPr>
            </w:pPr>
            <w:r>
              <w:rPr>
                <w:rFonts w:ascii="Times New Roman" w:hAnsi="Times New Roman" w:eastAsia="SimSun" w:cs="Times New Roman"/>
                <w:b/>
                <w:spacing w:val="6"/>
                <w:sz w:val="28"/>
                <w:szCs w:val="24"/>
              </w:rPr>
              <w:t>工程建设内容：</w:t>
            </w:r>
          </w:p>
          <w:p>
            <w:pPr>
              <w:spacing w:line="360" w:lineRule="auto"/>
              <w:jc w:val="left"/>
              <w:rPr>
                <w:rFonts w:ascii="Times New Roman" w:hAnsi="Times New Roman" w:cs="Times New Roman"/>
                <w:b/>
                <w:bCs/>
                <w:color w:val="000000"/>
                <w:kern w:val="0"/>
                <w:sz w:val="24"/>
                <w:szCs w:val="24"/>
              </w:rPr>
            </w:pPr>
            <w:r>
              <w:rPr>
                <w:rFonts w:hint="eastAsia" w:ascii="Times New Roman" w:hAnsi="Times New Roman" w:cs="Times New Roman"/>
                <w:b/>
                <w:bCs/>
                <w:color w:val="000000"/>
                <w:kern w:val="0"/>
                <w:sz w:val="24"/>
                <w:szCs w:val="24"/>
              </w:rPr>
              <w:t>1、项目</w:t>
            </w:r>
            <w:r>
              <w:rPr>
                <w:rFonts w:ascii="Times New Roman" w:hAnsi="Times New Roman" w:cs="Times New Roman"/>
                <w:b/>
                <w:bCs/>
                <w:color w:val="000000"/>
                <w:kern w:val="0"/>
                <w:sz w:val="24"/>
                <w:szCs w:val="24"/>
              </w:rPr>
              <w:t>概况</w:t>
            </w:r>
            <w:r>
              <w:rPr>
                <w:rFonts w:hint="eastAsia" w:ascii="Times New Roman" w:hAnsi="Times New Roman" w:cs="Times New Roman"/>
                <w:b/>
                <w:bCs/>
                <w:color w:val="000000"/>
                <w:kern w:val="0"/>
                <w:sz w:val="24"/>
                <w:szCs w:val="24"/>
              </w:rPr>
              <w:t>及进度</w:t>
            </w:r>
          </w:p>
          <w:p>
            <w:pPr>
              <w:pStyle w:val="91"/>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Times New Roman"/>
                <w:sz w:val="24"/>
                <w:lang w:eastAsia="zh-CN"/>
              </w:rPr>
            </w:pPr>
            <w:r>
              <w:rPr>
                <w:bCs/>
                <w:sz w:val="24"/>
              </w:rPr>
              <w:t>山东安特牧业科技有限公司</w:t>
            </w:r>
            <w:r>
              <w:rPr>
                <w:rFonts w:hint="eastAsia" w:ascii="Times New Roman"/>
                <w:sz w:val="24"/>
              </w:rPr>
              <w:t>位于</w:t>
            </w:r>
            <w:r>
              <w:rPr>
                <w:sz w:val="24"/>
              </w:rPr>
              <w:t>山东省济南市商河县经济开发区凯源路29号</w:t>
            </w:r>
            <w:r>
              <w:rPr>
                <w:rFonts w:hint="eastAsia" w:ascii="Times New Roman"/>
                <w:sz w:val="24"/>
                <w:lang w:eastAsia="zh-CN"/>
              </w:rPr>
              <w:t>，</w:t>
            </w:r>
            <w:r>
              <w:rPr>
                <w:rFonts w:hint="eastAsia" w:ascii="Times New Roman"/>
                <w:sz w:val="24"/>
                <w:lang w:val="en-US" w:eastAsia="zh-CN"/>
              </w:rPr>
              <w:t>本项目</w:t>
            </w:r>
            <w:r>
              <w:rPr>
                <w:rFonts w:hint="eastAsia" w:ascii="Times New Roman"/>
                <w:sz w:val="24"/>
                <w:lang w:val="zh-CN" w:eastAsia="zh-CN"/>
              </w:rPr>
              <w:t>根据</w:t>
            </w:r>
            <w:r>
              <w:rPr>
                <w:rFonts w:hint="eastAsia" w:ascii="Times New Roman"/>
                <w:sz w:val="24"/>
                <w:lang w:val="en-US" w:eastAsia="zh-CN"/>
              </w:rPr>
              <w:t>市场实际情况</w:t>
            </w:r>
            <w:r>
              <w:rPr>
                <w:rFonts w:hint="eastAsia" w:ascii="Times New Roman"/>
                <w:sz w:val="24"/>
                <w:lang w:eastAsia="zh-CN"/>
              </w:rPr>
              <w:t>扩建兽药</w:t>
            </w:r>
            <w:r>
              <w:rPr>
                <w:rFonts w:hint="eastAsia" w:ascii="Times New Roman"/>
                <w:sz w:val="24"/>
                <w:lang w:val="en-US" w:eastAsia="zh-CN"/>
              </w:rPr>
              <w:t>项目</w:t>
            </w:r>
            <w:r>
              <w:rPr>
                <w:rFonts w:hint="eastAsia" w:ascii="Times New Roman"/>
                <w:sz w:val="24"/>
                <w:lang w:eastAsia="zh-CN"/>
              </w:rPr>
              <w:t>。</w:t>
            </w:r>
            <w:r>
              <w:rPr>
                <w:rFonts w:hint="eastAsia" w:ascii="Calibri" w:hAnsi="Calibri"/>
                <w:sz w:val="24"/>
                <w:szCs w:val="24"/>
              </w:rPr>
              <w:t>本项目由于资金不足分期建设</w:t>
            </w:r>
            <w:r>
              <w:rPr>
                <w:rFonts w:hint="eastAsia" w:ascii="Times New Roman" w:hAnsi="Times New Roman"/>
                <w:sz w:val="24"/>
                <w:szCs w:val="24"/>
                <w:lang w:val="en-US" w:eastAsia="zh-CN"/>
              </w:rPr>
              <w:t>，分期进行验收，</w:t>
            </w:r>
            <w:r>
              <w:rPr>
                <w:rFonts w:hint="eastAsia" w:ascii="Times New Roman" w:hAnsi="Times New Roman"/>
                <w:sz w:val="24"/>
                <w:szCs w:val="24"/>
                <w:lang w:eastAsia="zh-CN"/>
              </w:rPr>
              <w:t>本次验收为</w:t>
            </w:r>
            <w:r>
              <w:rPr>
                <w:rFonts w:hint="eastAsia" w:ascii="Times New Roman" w:hAnsi="Times New Roman"/>
                <w:sz w:val="24"/>
                <w:szCs w:val="24"/>
                <w:lang w:val="en-US" w:eastAsia="zh-CN"/>
              </w:rPr>
              <w:t>已建成部分工程</w:t>
            </w:r>
            <w:r>
              <w:rPr>
                <w:rFonts w:hint="eastAsia" w:ascii="Times New Roman" w:hAnsi="Times New Roman"/>
                <w:sz w:val="24"/>
                <w:szCs w:val="24"/>
                <w:lang w:eastAsia="zh-CN"/>
              </w:rPr>
              <w:t>验收，</w:t>
            </w:r>
            <w:r>
              <w:rPr>
                <w:rFonts w:hint="eastAsia" w:ascii="Times New Roman"/>
                <w:sz w:val="24"/>
                <w:lang w:val="en-US" w:eastAsia="zh-CN"/>
              </w:rPr>
              <w:t>本</w:t>
            </w:r>
            <w:r>
              <w:rPr>
                <w:rFonts w:hint="eastAsia" w:ascii="Times New Roman"/>
                <w:sz w:val="24"/>
                <w:lang w:eastAsia="zh-CN"/>
              </w:rPr>
              <w:t>项目总</w:t>
            </w:r>
            <w:r>
              <w:rPr>
                <w:rFonts w:hint="eastAsia" w:ascii="Times New Roman"/>
                <w:sz w:val="24"/>
              </w:rPr>
              <w:t>投资</w:t>
            </w:r>
            <w:r>
              <w:rPr>
                <w:rFonts w:hint="eastAsia" w:ascii="Times New Roman"/>
                <w:sz w:val="24"/>
                <w:lang w:val="en-US" w:eastAsia="zh-CN"/>
              </w:rPr>
              <w:t>15</w:t>
            </w:r>
            <w:r>
              <w:rPr>
                <w:rFonts w:hint="eastAsia" w:ascii="Times New Roman"/>
                <w:sz w:val="24"/>
              </w:rPr>
              <w:t>万元，</w:t>
            </w:r>
            <w:r>
              <w:rPr>
                <w:rFonts w:hint="eastAsia"/>
                <w:sz w:val="24"/>
              </w:rPr>
              <w:t>扩建</w:t>
            </w:r>
            <w:r>
              <w:rPr>
                <w:sz w:val="24"/>
              </w:rPr>
              <w:t>项目不新增劳动定员，用工从现有项目中调配。设计工作日为300天，8小时/</w:t>
            </w:r>
            <w:r>
              <w:rPr>
                <w:rFonts w:hint="eastAsia"/>
                <w:sz w:val="24"/>
              </w:rPr>
              <w:t>天</w:t>
            </w:r>
            <w:r>
              <w:rPr>
                <w:sz w:val="24"/>
              </w:rPr>
              <w:t>。</w:t>
            </w:r>
            <w:r>
              <w:rPr>
                <w:rFonts w:hint="eastAsia"/>
                <w:sz w:val="24"/>
                <w:lang w:eastAsia="zh-CN"/>
              </w:rPr>
              <w:t>一期</w:t>
            </w:r>
            <w:r>
              <w:rPr>
                <w:rFonts w:hint="eastAsia" w:ascii="Times New Roman"/>
                <w:sz w:val="24"/>
                <w:lang w:eastAsia="zh-CN"/>
              </w:rPr>
              <w:t>年</w:t>
            </w:r>
            <w:r>
              <w:rPr>
                <w:rFonts w:hint="eastAsia" w:ascii="Times New Roman" w:hAnsi="Times New Roman" w:cs="Times New Roman"/>
                <w:bCs/>
                <w:color w:val="auto"/>
                <w:sz w:val="24"/>
                <w:szCs w:val="32"/>
                <w:lang w:eastAsia="zh-CN"/>
              </w:rPr>
              <w:t>产</w:t>
            </w:r>
            <w:r>
              <w:rPr>
                <w:rFonts w:hint="default" w:ascii="Times New Roman" w:hAnsi="Times New Roman" w:cs="Times New Roman"/>
                <w:bCs/>
                <w:color w:val="auto"/>
                <w:sz w:val="24"/>
                <w:szCs w:val="32"/>
              </w:rPr>
              <w:t>片剂</w:t>
            </w:r>
            <w:r>
              <w:rPr>
                <w:rFonts w:hint="eastAsia" w:ascii="Times New Roman" w:hAnsi="Times New Roman" w:cs="Times New Roman"/>
                <w:bCs/>
                <w:color w:val="auto"/>
                <w:sz w:val="24"/>
                <w:szCs w:val="32"/>
                <w:lang w:val="en-US" w:eastAsia="zh-CN"/>
              </w:rPr>
              <w:t>5</w:t>
            </w:r>
            <w:r>
              <w:rPr>
                <w:rFonts w:hint="default" w:ascii="Times New Roman" w:hAnsi="Times New Roman" w:cs="Times New Roman"/>
                <w:bCs/>
                <w:color w:val="auto"/>
                <w:sz w:val="24"/>
                <w:szCs w:val="32"/>
              </w:rPr>
              <w:t>吨、口服液</w:t>
            </w:r>
            <w:r>
              <w:rPr>
                <w:rFonts w:hint="eastAsia" w:ascii="Times New Roman" w:hAnsi="Times New Roman" w:cs="Times New Roman"/>
                <w:bCs/>
                <w:color w:val="auto"/>
                <w:sz w:val="24"/>
                <w:szCs w:val="32"/>
                <w:lang w:val="en-US" w:eastAsia="zh-CN"/>
              </w:rPr>
              <w:t>100</w:t>
            </w:r>
            <w:r>
              <w:rPr>
                <w:rFonts w:hint="default" w:ascii="Times New Roman" w:hAnsi="Times New Roman" w:cs="Times New Roman"/>
                <w:bCs/>
                <w:color w:val="auto"/>
                <w:sz w:val="24"/>
                <w:szCs w:val="32"/>
              </w:rPr>
              <w:t>吨</w:t>
            </w:r>
            <w:r>
              <w:rPr>
                <w:rFonts w:hint="eastAsia" w:ascii="Times New Roman"/>
                <w:sz w:val="24"/>
                <w:lang w:eastAsia="zh-CN"/>
              </w:rPr>
              <w:t>。</w:t>
            </w:r>
          </w:p>
          <w:p>
            <w:pPr>
              <w:pStyle w:val="91"/>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ascii="Times New Roman" w:hAnsi="Times New Roman"/>
                <w:sz w:val="24"/>
              </w:rPr>
            </w:pPr>
            <w:r>
              <w:rPr>
                <w:bCs/>
                <w:sz w:val="24"/>
              </w:rPr>
              <w:t>山东安特牧业科技有限公司</w:t>
            </w:r>
            <w:r>
              <w:rPr>
                <w:rFonts w:ascii="Times New Roman"/>
                <w:sz w:val="24"/>
              </w:rPr>
              <w:t>于</w:t>
            </w:r>
            <w:r>
              <w:rPr>
                <w:rFonts w:ascii="Times New Roman" w:hAnsi="Times New Roman" w:eastAsiaTheme="minorEastAsia"/>
                <w:sz w:val="24"/>
              </w:rPr>
              <w:t>201</w:t>
            </w:r>
            <w:r>
              <w:rPr>
                <w:rFonts w:hint="eastAsia" w:ascii="Times New Roman" w:hAnsi="Times New Roman" w:eastAsiaTheme="minorEastAsia"/>
                <w:sz w:val="24"/>
                <w:lang w:val="en-US" w:eastAsia="zh-CN"/>
              </w:rPr>
              <w:t>9</w:t>
            </w:r>
            <w:r>
              <w:rPr>
                <w:rFonts w:ascii="Times New Roman"/>
                <w:sz w:val="24"/>
              </w:rPr>
              <w:t>年</w:t>
            </w:r>
            <w:r>
              <w:rPr>
                <w:rFonts w:hint="eastAsia" w:ascii="Times New Roman"/>
                <w:sz w:val="24"/>
                <w:lang w:val="en-US" w:eastAsia="zh-CN"/>
              </w:rPr>
              <w:t>11</w:t>
            </w:r>
            <w:r>
              <w:rPr>
                <w:rFonts w:ascii="Times New Roman"/>
                <w:sz w:val="24"/>
              </w:rPr>
              <w:t>月委托</w:t>
            </w:r>
            <w:r>
              <w:rPr>
                <w:rFonts w:hint="eastAsia" w:ascii="Times New Roman" w:hAnsi="SimSun" w:eastAsia="SimSun"/>
                <w:sz w:val="24"/>
                <w:lang w:val="en-US" w:eastAsia="zh-CN"/>
              </w:rPr>
              <w:t>江苏苏辰勘察设计研究院有限公司</w:t>
            </w:r>
            <w:r>
              <w:rPr>
                <w:rFonts w:ascii="Times New Roman"/>
                <w:sz w:val="24"/>
              </w:rPr>
              <w:t>编制完成了《</w:t>
            </w:r>
            <w:r>
              <w:rPr>
                <w:bCs/>
                <w:sz w:val="24"/>
              </w:rPr>
              <w:t>山东安特牧业科技有限公司兽药扩建项目</w:t>
            </w:r>
            <w:r>
              <w:rPr>
                <w:rFonts w:ascii="Times New Roman" w:hAnsi="Times New Roman"/>
                <w:sz w:val="24"/>
                <w:szCs w:val="24"/>
              </w:rPr>
              <w:t>环境影响报告表</w:t>
            </w:r>
            <w:r>
              <w:rPr>
                <w:rFonts w:ascii="Times New Roman"/>
                <w:sz w:val="24"/>
              </w:rPr>
              <w:t>》</w:t>
            </w:r>
            <w:r>
              <w:rPr>
                <w:rFonts w:hint="eastAsia" w:ascii="Times New Roman"/>
                <w:sz w:val="24"/>
                <w:lang w:val="en-US" w:eastAsia="zh-CN"/>
              </w:rPr>
              <w:t xml:space="preserve"> </w:t>
            </w:r>
            <w:r>
              <w:rPr>
                <w:rFonts w:ascii="Times New Roman"/>
                <w:sz w:val="24"/>
              </w:rPr>
              <w:t>，</w:t>
            </w:r>
            <w:r>
              <w:rPr>
                <w:rFonts w:ascii="Times New Roman" w:hAnsi="Times New Roman" w:eastAsiaTheme="minorEastAsia"/>
                <w:sz w:val="24"/>
              </w:rPr>
              <w:t>201</w:t>
            </w:r>
            <w:r>
              <w:rPr>
                <w:rFonts w:hint="eastAsia" w:ascii="Times New Roman" w:hAnsi="Times New Roman" w:eastAsiaTheme="minorEastAsia"/>
                <w:sz w:val="24"/>
                <w:lang w:val="en-US" w:eastAsia="zh-CN"/>
              </w:rPr>
              <w:t>9</w:t>
            </w:r>
            <w:r>
              <w:rPr>
                <w:rFonts w:ascii="Times New Roman"/>
                <w:sz w:val="24"/>
              </w:rPr>
              <w:t>年</w:t>
            </w:r>
            <w:r>
              <w:rPr>
                <w:rFonts w:hint="eastAsia" w:ascii="Times New Roman"/>
                <w:sz w:val="24"/>
                <w:lang w:val="en-US" w:eastAsia="zh-CN"/>
              </w:rPr>
              <w:t>11</w:t>
            </w:r>
            <w:r>
              <w:rPr>
                <w:rFonts w:ascii="Times New Roman"/>
                <w:sz w:val="24"/>
              </w:rPr>
              <w:t>月</w:t>
            </w:r>
            <w:r>
              <w:rPr>
                <w:rFonts w:hint="eastAsia" w:ascii="Times New Roman"/>
                <w:sz w:val="24"/>
                <w:lang w:val="en-US" w:eastAsia="zh-CN"/>
              </w:rPr>
              <w:t>20</w:t>
            </w:r>
            <w:r>
              <w:rPr>
                <w:rFonts w:ascii="Times New Roman"/>
                <w:sz w:val="24"/>
              </w:rPr>
              <w:t>日</w:t>
            </w:r>
            <w:r>
              <w:rPr>
                <w:rFonts w:hint="eastAsia" w:ascii="Times New Roman" w:hAnsi="Times New Roman"/>
                <w:sz w:val="24"/>
                <w:szCs w:val="24"/>
                <w:lang w:eastAsia="zh-CN"/>
              </w:rPr>
              <w:t>济南市生态环境局商河分局</w:t>
            </w:r>
            <w:r>
              <w:rPr>
                <w:rFonts w:ascii="Times New Roman"/>
                <w:sz w:val="24"/>
              </w:rPr>
              <w:t>以</w:t>
            </w:r>
            <w:r>
              <w:rPr>
                <w:rFonts w:hint="eastAsia" w:ascii="Times New Roman" w:hAnsi="Times New Roman"/>
                <w:color w:val="000000" w:themeColor="text1"/>
                <w:sz w:val="24"/>
                <w:szCs w:val="24"/>
                <w14:textFill>
                  <w14:solidFill>
                    <w14:schemeClr w14:val="tx1"/>
                  </w14:solidFill>
                </w14:textFill>
              </w:rPr>
              <w:t>商环报告表</w:t>
            </w:r>
            <w:r>
              <w:rPr>
                <w:rFonts w:ascii="Times New Roman" w:hAnsi="Times New Roman"/>
                <w:color w:val="000000" w:themeColor="text1"/>
                <w:sz w:val="24"/>
                <w:szCs w:val="24"/>
                <w14:textFill>
                  <w14:solidFill>
                    <w14:schemeClr w14:val="tx1"/>
                  </w14:solidFill>
                </w14:textFill>
              </w:rPr>
              <w:t>[201</w:t>
            </w:r>
            <w:r>
              <w:rPr>
                <w:rFonts w:hint="eastAsia" w:ascii="Times New Roman" w:hAnsi="Times New Roman"/>
                <w:color w:val="000000" w:themeColor="text1"/>
                <w:sz w:val="24"/>
                <w:szCs w:val="24"/>
                <w:lang w:val="en-US" w:eastAsia="zh-CN"/>
                <w14:textFill>
                  <w14:solidFill>
                    <w14:schemeClr w14:val="tx1"/>
                  </w14:solidFill>
                </w14:textFill>
              </w:rPr>
              <w:t>9</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111</w:t>
            </w:r>
            <w:r>
              <w:rPr>
                <w:rFonts w:ascii="Times New Roman" w:hAnsi="Times New Roman"/>
                <w:color w:val="000000" w:themeColor="text1"/>
                <w:sz w:val="24"/>
                <w:szCs w:val="24"/>
                <w14:textFill>
                  <w14:solidFill>
                    <w14:schemeClr w14:val="tx1"/>
                  </w14:solidFill>
                </w14:textFill>
              </w:rPr>
              <w:t>号</w:t>
            </w:r>
            <w:r>
              <w:rPr>
                <w:rFonts w:ascii="Times New Roman"/>
                <w:sz w:val="24"/>
              </w:rPr>
              <w:t>文对该项目进行了批复。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bCs/>
                <w:color w:val="auto"/>
                <w:sz w:val="24"/>
              </w:rPr>
            </w:pPr>
            <w:r>
              <w:rPr>
                <w:rFonts w:ascii="Times New Roman" w:hAnsi="Times New Roman"/>
                <w:color w:val="auto"/>
                <w:sz w:val="24"/>
              </w:rPr>
              <w:t>201</w:t>
            </w:r>
            <w:r>
              <w:rPr>
                <w:rFonts w:hint="eastAsia" w:ascii="Times New Roman" w:hAnsi="Times New Roman"/>
                <w:color w:val="auto"/>
                <w:sz w:val="24"/>
              </w:rPr>
              <w:t>9</w:t>
            </w:r>
            <w:r>
              <w:rPr>
                <w:rFonts w:ascii="Times New Roman" w:hAnsi="Times New Roman"/>
                <w:color w:val="auto"/>
                <w:sz w:val="24"/>
              </w:rPr>
              <w:t>年</w:t>
            </w:r>
            <w:r>
              <w:rPr>
                <w:rFonts w:hint="eastAsia" w:ascii="Times New Roman" w:hAnsi="Times New Roman"/>
                <w:color w:val="auto"/>
                <w:sz w:val="24"/>
                <w:lang w:val="en-US" w:eastAsia="zh-CN"/>
              </w:rPr>
              <w:t>11</w:t>
            </w:r>
            <w:r>
              <w:rPr>
                <w:rFonts w:ascii="Times New Roman" w:hAnsi="Times New Roman"/>
                <w:color w:val="auto"/>
                <w:sz w:val="24"/>
              </w:rPr>
              <w:t>月</w:t>
            </w:r>
            <w:r>
              <w:rPr>
                <w:rFonts w:hint="eastAsia" w:ascii="Times New Roman" w:hAnsi="Times New Roman"/>
                <w:color w:val="auto"/>
                <w:sz w:val="24"/>
                <w:lang w:val="en-US" w:eastAsia="zh-CN"/>
              </w:rPr>
              <w:t>25</w:t>
            </w:r>
            <w:r>
              <w:rPr>
                <w:rFonts w:ascii="Times New Roman" w:hAnsi="Times New Roman"/>
                <w:color w:val="auto"/>
                <w:sz w:val="24"/>
              </w:rPr>
              <w:t>日</w:t>
            </w:r>
            <w:r>
              <w:rPr>
                <w:rFonts w:hint="eastAsia" w:ascii="Times New Roman" w:hAnsi="Times New Roman"/>
                <w:color w:val="auto"/>
                <w:sz w:val="24"/>
              </w:rPr>
              <w:t>～2019年</w:t>
            </w:r>
            <w:r>
              <w:rPr>
                <w:rFonts w:hint="eastAsia" w:ascii="Times New Roman" w:hAnsi="Times New Roman"/>
                <w:color w:val="auto"/>
                <w:sz w:val="24"/>
                <w:lang w:val="en-US" w:eastAsia="zh-CN"/>
              </w:rPr>
              <w:t>11</w:t>
            </w:r>
            <w:r>
              <w:rPr>
                <w:rFonts w:hint="eastAsia" w:ascii="Times New Roman" w:hAnsi="Times New Roman"/>
                <w:color w:val="auto"/>
                <w:sz w:val="24"/>
              </w:rPr>
              <w:t>月</w:t>
            </w:r>
            <w:r>
              <w:rPr>
                <w:rFonts w:hint="eastAsia" w:ascii="Times New Roman" w:hAnsi="Times New Roman"/>
                <w:color w:val="auto"/>
                <w:sz w:val="24"/>
                <w:lang w:val="en-US" w:eastAsia="zh-CN"/>
              </w:rPr>
              <w:t>26</w:t>
            </w:r>
            <w:r>
              <w:rPr>
                <w:rFonts w:hint="eastAsia" w:ascii="Times New Roman" w:hAnsi="Times New Roman"/>
                <w:color w:val="auto"/>
                <w:sz w:val="24"/>
              </w:rPr>
              <w:t>日</w:t>
            </w:r>
            <w:r>
              <w:rPr>
                <w:rFonts w:ascii="Times New Roman" w:hAnsi="Times New Roman"/>
                <w:color w:val="auto"/>
                <w:sz w:val="24"/>
              </w:rPr>
              <w:t>，</w:t>
            </w:r>
            <w:r>
              <w:rPr>
                <w:rFonts w:hint="eastAsia"/>
                <w:bCs/>
                <w:color w:val="auto"/>
                <w:sz w:val="24"/>
                <w:lang w:eastAsia="zh-CN"/>
              </w:rPr>
              <w:t>庆云县环庆环境检测有限公司</w:t>
            </w:r>
            <w:r>
              <w:rPr>
                <w:bCs/>
                <w:color w:val="auto"/>
                <w:sz w:val="24"/>
              </w:rPr>
              <w:t>对该项目环保设施运行情况进行了监测；山东安特牧业科技有限公司对环境管理水平情况进行了检查；山东安特牧业科技有限公司</w:t>
            </w:r>
            <w:r>
              <w:rPr>
                <w:rFonts w:hint="eastAsia"/>
                <w:bCs/>
                <w:color w:val="auto"/>
                <w:sz w:val="24"/>
              </w:rPr>
              <w:t>依据监测结果，结合现场等有关内容</w:t>
            </w:r>
            <w:r>
              <w:rPr>
                <w:bCs/>
                <w:color w:val="auto"/>
                <w:sz w:val="24"/>
              </w:rPr>
              <w:t>，</w:t>
            </w:r>
            <w:r>
              <w:rPr>
                <w:rFonts w:hint="eastAsia"/>
                <w:bCs/>
                <w:color w:val="auto"/>
                <w:sz w:val="24"/>
                <w:lang w:eastAsia="zh-CN"/>
              </w:rPr>
              <w:t>自主</w:t>
            </w:r>
            <w:r>
              <w:rPr>
                <w:bCs/>
                <w:color w:val="auto"/>
                <w:sz w:val="24"/>
              </w:rPr>
              <w:t>编制了《山东安特牧业科技有限公司兽药扩建项目</w:t>
            </w:r>
            <w:r>
              <w:rPr>
                <w:rFonts w:hint="eastAsia"/>
                <w:bCs/>
                <w:color w:val="auto"/>
                <w:sz w:val="24"/>
              </w:rPr>
              <w:t>竣工环境保护</w:t>
            </w:r>
            <w:r>
              <w:rPr>
                <w:bCs/>
                <w:color w:val="auto"/>
                <w:sz w:val="24"/>
              </w:rPr>
              <w:t>验收监测报告表》</w:t>
            </w:r>
            <w:r>
              <w:rPr>
                <w:rFonts w:hint="eastAsia"/>
                <w:bCs/>
                <w:color w:val="auto"/>
                <w:sz w:val="24"/>
                <w:lang w:val="en-US" w:eastAsia="zh-CN"/>
              </w:rPr>
              <w:t xml:space="preserve"> </w:t>
            </w:r>
            <w:r>
              <w:rPr>
                <w:bCs/>
                <w:color w:val="auto"/>
                <w:sz w:val="24"/>
              </w:rPr>
              <w:t>。</w:t>
            </w:r>
          </w:p>
          <w:p>
            <w:pPr>
              <w:pStyle w:val="36"/>
              <w:spacing w:line="360" w:lineRule="auto"/>
              <w:rPr>
                <w:b/>
                <w:bCs/>
              </w:rPr>
            </w:pPr>
            <w:r>
              <w:rPr>
                <w:b/>
                <w:bCs/>
              </w:rPr>
              <w:t>2、项目地理位置及平面布置</w:t>
            </w:r>
          </w:p>
          <w:p>
            <w:pPr>
              <w:spacing w:line="360" w:lineRule="auto"/>
              <w:ind w:firstLine="480" w:firstLineChars="200"/>
              <w:rPr>
                <w:rFonts w:hint="eastAsia" w:ascii="Times New Roman" w:hAnsi="SimSun" w:eastAsia="SimSun" w:cs="Times New Roman"/>
                <w:sz w:val="24"/>
              </w:rPr>
            </w:pPr>
            <w:r>
              <w:rPr>
                <w:rFonts w:hint="eastAsia" w:ascii="Times New Roman" w:hAnsi="SimSun" w:eastAsia="SimSun" w:cs="Times New Roman"/>
                <w:sz w:val="24"/>
                <w:lang w:eastAsia="zh-CN"/>
              </w:rPr>
              <w:t>本项目</w:t>
            </w:r>
            <w:r>
              <w:rPr>
                <w:rFonts w:hint="eastAsia" w:ascii="Times New Roman" w:hAnsi="SimSun" w:eastAsia="SimSun" w:cs="Times New Roman"/>
                <w:sz w:val="24"/>
              </w:rPr>
              <w:t>位于山东省济南市商河县经济开发区凯源路29号山东安特牧业科技有限公司现有兽药车间内，项目中心坐标经度117.083505、纬度37.093201（项目地理位置详见附图</w:t>
            </w:r>
            <w:r>
              <w:rPr>
                <w:rFonts w:hint="eastAsia" w:ascii="Times New Roman" w:hAnsi="SimSun" w:eastAsia="SimSun" w:cs="Times New Roman"/>
                <w:sz w:val="24"/>
                <w:lang w:val="en-US" w:eastAsia="zh-CN"/>
              </w:rPr>
              <w:t>2-</w:t>
            </w:r>
            <w:r>
              <w:rPr>
                <w:rFonts w:hint="eastAsia" w:ascii="Times New Roman" w:hAnsi="SimSun" w:eastAsia="SimSun" w:cs="Times New Roman"/>
                <w:sz w:val="24"/>
              </w:rPr>
              <w:t>1。</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Times New Roman" w:hAnsi="SimSun" w:eastAsia="SimSun" w:cs="Times New Roman"/>
                <w:b w:val="0"/>
                <w:bCs/>
                <w:sz w:val="24"/>
                <w:lang w:eastAsia="zh-CN"/>
              </w:rPr>
            </w:pPr>
            <w:r>
              <w:rPr>
                <w:rFonts w:hint="eastAsia" w:ascii="Times New Roman" w:hAnsi="SimSun" w:eastAsia="SimSun" w:cs="Times New Roman"/>
                <w:sz w:val="24"/>
                <w:lang w:val="en-US" w:eastAsia="zh-CN"/>
              </w:rPr>
              <w:t>项目</w:t>
            </w:r>
            <w:r>
              <w:rPr>
                <w:rFonts w:hint="eastAsia" w:ascii="Times New Roman" w:hAnsi="Times New Roman"/>
                <w:b w:val="0"/>
                <w:bCs/>
                <w:sz w:val="24"/>
                <w:szCs w:val="24"/>
                <w:lang w:val="en-US" w:eastAsia="zh-CN"/>
              </w:rPr>
              <w:t>周围敏感目标分布图见图2-2。</w:t>
            </w:r>
            <w:r>
              <w:rPr>
                <w:rFonts w:hint="eastAsia" w:ascii="Times New Roman" w:hAnsi="SimSun" w:eastAsia="SimSun" w:cs="Times New Roman"/>
                <w:b w:val="0"/>
                <w:bCs/>
                <w:sz w:val="24"/>
              </w:rPr>
              <w:t>厂区平面布置见图</w:t>
            </w:r>
            <w:r>
              <w:rPr>
                <w:rFonts w:hint="eastAsia" w:ascii="Times New Roman" w:hAnsi="Times New Roman" w:cs="Times New Roman"/>
                <w:b w:val="0"/>
                <w:bCs/>
                <w:sz w:val="24"/>
              </w:rPr>
              <w:t>2-</w:t>
            </w:r>
            <w:r>
              <w:rPr>
                <w:rFonts w:hint="eastAsia" w:ascii="Times New Roman" w:hAnsi="Times New Roman" w:cs="Times New Roman"/>
                <w:b w:val="0"/>
                <w:bCs/>
                <w:sz w:val="24"/>
                <w:lang w:val="en-US" w:eastAsia="zh-CN"/>
              </w:rPr>
              <w:t>3</w:t>
            </w:r>
            <w:r>
              <w:rPr>
                <w:rFonts w:hint="eastAsia" w:ascii="Times New Roman" w:hAnsi="SimSun" w:eastAsia="SimSun" w:cs="Times New Roman"/>
                <w:b w:val="0"/>
                <w:bCs/>
                <w:sz w:val="24"/>
              </w:rPr>
              <w:t>。</w:t>
            </w:r>
            <w:r>
              <w:rPr>
                <w:rFonts w:hint="eastAsia" w:ascii="Times New Roman" w:hAnsi="SimSun" w:eastAsia="SimSun" w:cs="Times New Roman"/>
                <w:b w:val="0"/>
                <w:bCs/>
                <w:sz w:val="24"/>
                <w:lang w:eastAsia="zh-CN"/>
              </w:rPr>
              <w:t>）</w:t>
            </w:r>
          </w:p>
          <w:p>
            <w:pPr>
              <w:pStyle w:val="6"/>
              <w:spacing w:before="20" w:after="20" w:line="360" w:lineRule="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2.2.1</w:t>
            </w:r>
            <w:r>
              <w:rPr>
                <w:rFonts w:hint="default" w:ascii="Times New Roman" w:hAnsi="Times New Roman" w:cs="Times New Roman"/>
                <w:color w:val="auto"/>
                <w:sz w:val="24"/>
                <w:szCs w:val="24"/>
              </w:rPr>
              <w:t>防护距离</w:t>
            </w:r>
          </w:p>
          <w:p>
            <w:pPr>
              <w:pStyle w:val="1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olor w:val="000000"/>
                <w:sz w:val="24"/>
                <w:lang w:eastAsia="zh-CN"/>
              </w:rPr>
            </w:pPr>
            <w:r>
              <w:rPr>
                <w:rFonts w:hint="default" w:ascii="Times New Roman" w:hAnsi="Times New Roman" w:cs="Times New Roman" w:eastAsiaTheme="minorEastAsia"/>
                <w:color w:val="auto"/>
                <w:sz w:val="24"/>
                <w:szCs w:val="24"/>
              </w:rPr>
              <w:t>根据环评，</w:t>
            </w:r>
            <w:r>
              <w:rPr>
                <w:rFonts w:ascii="Times New Roman" w:hAnsi="Times New Roman" w:eastAsia="SimSun"/>
                <w:snapToGrid w:val="0"/>
                <w:color w:val="000000"/>
                <w:sz w:val="24"/>
              </w:rPr>
              <w:t>项目生产车间需设置100m的卫生防护距离，此范围内无居民区、学校、医院等敏感点。</w:t>
            </w:r>
            <w:r>
              <w:rPr>
                <w:rFonts w:ascii="Times New Roman" w:hAnsi="Times New Roman"/>
                <w:color w:val="000000"/>
                <w:sz w:val="24"/>
              </w:rPr>
              <w:t>厂区远离居民区（距离本项目最近的敏感点为厂区</w:t>
            </w:r>
            <w:r>
              <w:rPr>
                <w:rFonts w:hint="eastAsia" w:ascii="Times New Roman" w:hAnsi="Times New Roman"/>
                <w:color w:val="000000"/>
                <w:sz w:val="24"/>
                <w:lang w:eastAsia="zh-CN"/>
              </w:rPr>
              <w:t>东北方向</w:t>
            </w:r>
            <w:r>
              <w:rPr>
                <w:rFonts w:ascii="Times New Roman" w:hAnsi="Times New Roman"/>
                <w:color w:val="000000"/>
                <w:sz w:val="24"/>
              </w:rPr>
              <w:t>大约</w:t>
            </w:r>
            <w:r>
              <w:rPr>
                <w:rFonts w:hint="eastAsia" w:ascii="Times New Roman" w:hAnsi="Times New Roman"/>
                <w:color w:val="000000"/>
                <w:sz w:val="24"/>
                <w:lang w:val="en-US" w:eastAsia="zh-CN"/>
              </w:rPr>
              <w:t>410</w:t>
            </w:r>
            <w:r>
              <w:rPr>
                <w:rFonts w:ascii="Times New Roman" w:hAnsi="Times New Roman"/>
                <w:color w:val="000000"/>
                <w:sz w:val="24"/>
              </w:rPr>
              <w:t>米处</w:t>
            </w:r>
            <w:r>
              <w:rPr>
                <w:rFonts w:hint="eastAsia" w:ascii="Times New Roman" w:hAnsi="Times New Roman"/>
                <w:color w:val="000000"/>
                <w:sz w:val="24"/>
                <w:lang w:eastAsia="zh-CN"/>
              </w:rPr>
              <w:t>的双龙店村），且厂区所在地地势平坦，适宜本项目建设。</w:t>
            </w:r>
          </w:p>
          <w:p>
            <w:pPr>
              <w:pStyle w:val="6"/>
              <w:spacing w:before="20" w:after="20" w:line="360" w:lineRule="auto"/>
              <w:rPr>
                <w:rFonts w:hint="default" w:ascii="Times New Roman" w:hAnsi="Times New Roman" w:cs="Times New Roman"/>
                <w:color w:val="auto"/>
                <w:sz w:val="24"/>
                <w:szCs w:val="24"/>
              </w:rPr>
            </w:pPr>
            <w:bookmarkStart w:id="2" w:name="_Toc28667_WPSOffice_Level3"/>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环境保护目标</w:t>
            </w:r>
            <w:bookmarkEnd w:id="2"/>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项目周边情况详见</w:t>
            </w:r>
            <w:r>
              <w:rPr>
                <w:rFonts w:hint="eastAsia" w:ascii="Times New Roman" w:hAnsi="Times New Roman" w:cs="Times New Roman"/>
                <w:color w:val="auto"/>
                <w:sz w:val="24"/>
                <w:lang w:eastAsia="zh-CN"/>
              </w:rPr>
              <w:t>下表</w:t>
            </w:r>
            <w:r>
              <w:rPr>
                <w:rFonts w:hint="default" w:ascii="Times New Roman" w:hAnsi="Times New Roman" w:cs="Times New Roman"/>
                <w:color w:val="auto"/>
                <w:sz w:val="24"/>
              </w:rPr>
              <w:t>。</w:t>
            </w:r>
          </w:p>
          <w:tbl>
            <w:tblPr>
              <w:tblStyle w:val="28"/>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056"/>
              <w:gridCol w:w="821"/>
              <w:gridCol w:w="844"/>
              <w:gridCol w:w="1006"/>
              <w:gridCol w:w="1247"/>
              <w:gridCol w:w="1122"/>
              <w:gridCol w:w="991"/>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restart"/>
                  <w:noWrap w:val="0"/>
                  <w:vAlign w:val="center"/>
                </w:tcPr>
                <w:p>
                  <w:pPr>
                    <w:pStyle w:val="14"/>
                    <w:jc w:val="center"/>
                    <w:rPr>
                      <w:rFonts w:ascii="Times New Roman" w:hAnsi="Times New Roman"/>
                      <w:sz w:val="21"/>
                      <w:szCs w:val="21"/>
                    </w:rPr>
                  </w:pPr>
                  <w:r>
                    <w:rPr>
                      <w:rFonts w:ascii="Times New Roman" w:hAnsi="Times New Roman"/>
                      <w:sz w:val="21"/>
                      <w:szCs w:val="21"/>
                    </w:rPr>
                    <w:t>种类</w:t>
                  </w:r>
                </w:p>
              </w:tc>
              <w:tc>
                <w:tcPr>
                  <w:tcW w:w="1056" w:type="dxa"/>
                  <w:vMerge w:val="restart"/>
                  <w:noWrap w:val="0"/>
                  <w:vAlign w:val="center"/>
                </w:tcPr>
                <w:p>
                  <w:pPr>
                    <w:pStyle w:val="14"/>
                    <w:jc w:val="center"/>
                    <w:rPr>
                      <w:rFonts w:ascii="Times New Roman" w:hAnsi="Times New Roman"/>
                      <w:sz w:val="21"/>
                      <w:szCs w:val="21"/>
                    </w:rPr>
                  </w:pPr>
                  <w:r>
                    <w:rPr>
                      <w:rFonts w:ascii="Times New Roman" w:hAnsi="Times New Roman"/>
                      <w:sz w:val="21"/>
                      <w:szCs w:val="21"/>
                    </w:rPr>
                    <w:t>名称</w:t>
                  </w:r>
                </w:p>
              </w:tc>
              <w:tc>
                <w:tcPr>
                  <w:tcW w:w="1665" w:type="dxa"/>
                  <w:gridSpan w:val="2"/>
                  <w:noWrap w:val="0"/>
                  <w:vAlign w:val="center"/>
                </w:tcPr>
                <w:p>
                  <w:pPr>
                    <w:pStyle w:val="14"/>
                    <w:jc w:val="center"/>
                    <w:rPr>
                      <w:rFonts w:ascii="Times New Roman" w:hAnsi="Times New Roman"/>
                      <w:sz w:val="21"/>
                      <w:szCs w:val="21"/>
                    </w:rPr>
                  </w:pPr>
                  <w:r>
                    <w:rPr>
                      <w:rFonts w:ascii="Times New Roman" w:hAnsi="Times New Roman"/>
                      <w:sz w:val="21"/>
                      <w:szCs w:val="21"/>
                    </w:rPr>
                    <w:t>坐标</w:t>
                  </w:r>
                </w:p>
              </w:tc>
              <w:tc>
                <w:tcPr>
                  <w:tcW w:w="1006" w:type="dxa"/>
                  <w:vMerge w:val="restart"/>
                  <w:noWrap w:val="0"/>
                  <w:vAlign w:val="center"/>
                </w:tcPr>
                <w:p>
                  <w:pPr>
                    <w:pStyle w:val="14"/>
                    <w:jc w:val="center"/>
                    <w:rPr>
                      <w:rFonts w:ascii="Times New Roman" w:hAnsi="Times New Roman"/>
                      <w:sz w:val="21"/>
                      <w:szCs w:val="21"/>
                    </w:rPr>
                  </w:pPr>
                  <w:r>
                    <w:rPr>
                      <w:rFonts w:ascii="Times New Roman" w:hAnsi="Times New Roman"/>
                      <w:sz w:val="21"/>
                      <w:szCs w:val="21"/>
                    </w:rPr>
                    <w:t>保护对</w:t>
                  </w:r>
                  <w:r>
                    <w:rPr>
                      <w:rFonts w:ascii="Times New Roman" w:hAnsi="Times New Roman"/>
                      <w:sz w:val="21"/>
                      <w:szCs w:val="21"/>
                    </w:rPr>
                    <w:cr/>
                  </w:r>
                </w:p>
              </w:tc>
              <w:tc>
                <w:tcPr>
                  <w:tcW w:w="1247" w:type="dxa"/>
                  <w:vMerge w:val="restart"/>
                  <w:noWrap w:val="0"/>
                  <w:vAlign w:val="center"/>
                </w:tcPr>
                <w:p>
                  <w:pPr>
                    <w:pStyle w:val="14"/>
                    <w:jc w:val="center"/>
                    <w:rPr>
                      <w:rFonts w:ascii="Times New Roman" w:hAnsi="Times New Roman"/>
                      <w:sz w:val="21"/>
                      <w:szCs w:val="21"/>
                    </w:rPr>
                  </w:pPr>
                  <w:r>
                    <w:rPr>
                      <w:rFonts w:ascii="Times New Roman" w:hAnsi="Times New Roman"/>
                      <w:sz w:val="21"/>
                      <w:szCs w:val="21"/>
                    </w:rPr>
                    <w:t>保护内容</w:t>
                  </w:r>
                </w:p>
              </w:tc>
              <w:tc>
                <w:tcPr>
                  <w:tcW w:w="1122" w:type="dxa"/>
                  <w:vMerge w:val="restart"/>
                  <w:noWrap w:val="0"/>
                  <w:vAlign w:val="center"/>
                </w:tcPr>
                <w:p>
                  <w:pPr>
                    <w:pStyle w:val="14"/>
                    <w:jc w:val="center"/>
                    <w:rPr>
                      <w:rFonts w:ascii="Times New Roman" w:hAnsi="Times New Roman"/>
                      <w:sz w:val="21"/>
                      <w:szCs w:val="21"/>
                    </w:rPr>
                  </w:pPr>
                  <w:r>
                    <w:rPr>
                      <w:rFonts w:ascii="Times New Roman" w:hAnsi="Times New Roman"/>
                      <w:sz w:val="21"/>
                      <w:szCs w:val="21"/>
                    </w:rPr>
                    <w:t>环境功能区</w:t>
                  </w:r>
                </w:p>
              </w:tc>
              <w:tc>
                <w:tcPr>
                  <w:tcW w:w="991" w:type="dxa"/>
                  <w:vMerge w:val="restart"/>
                  <w:noWrap w:val="0"/>
                  <w:vAlign w:val="center"/>
                </w:tcPr>
                <w:p>
                  <w:pPr>
                    <w:pStyle w:val="14"/>
                    <w:jc w:val="center"/>
                    <w:rPr>
                      <w:rFonts w:ascii="Times New Roman" w:hAnsi="Times New Roman"/>
                      <w:sz w:val="21"/>
                      <w:szCs w:val="21"/>
                    </w:rPr>
                  </w:pPr>
                  <w:r>
                    <w:rPr>
                      <w:rFonts w:ascii="Times New Roman" w:hAnsi="Times New Roman"/>
                      <w:sz w:val="21"/>
                      <w:szCs w:val="21"/>
                    </w:rPr>
                    <w:t>相对厂址方位</w:t>
                  </w:r>
                </w:p>
              </w:tc>
              <w:tc>
                <w:tcPr>
                  <w:tcW w:w="1127" w:type="dxa"/>
                  <w:vMerge w:val="restart"/>
                  <w:noWrap w:val="0"/>
                  <w:vAlign w:val="center"/>
                </w:tcPr>
                <w:p>
                  <w:pPr>
                    <w:pStyle w:val="14"/>
                    <w:jc w:val="center"/>
                    <w:rPr>
                      <w:rFonts w:ascii="Times New Roman" w:hAnsi="Times New Roman"/>
                      <w:sz w:val="21"/>
                      <w:szCs w:val="21"/>
                    </w:rPr>
                  </w:pPr>
                  <w:r>
                    <w:rPr>
                      <w:rFonts w:ascii="Times New Roman" w:hAnsi="Times New Roman"/>
                      <w:sz w:val="21"/>
                      <w:szCs w:val="21"/>
                    </w:rPr>
                    <w:t>相对厂界</w:t>
                  </w:r>
                </w:p>
                <w:p>
                  <w:pPr>
                    <w:pStyle w:val="14"/>
                    <w:jc w:val="center"/>
                    <w:rPr>
                      <w:rFonts w:ascii="Times New Roman" w:hAnsi="Times New Roman"/>
                      <w:sz w:val="21"/>
                      <w:szCs w:val="21"/>
                    </w:rPr>
                  </w:pPr>
                  <w:r>
                    <w:rPr>
                      <w:rFonts w:ascii="Times New Roman" w:hAnsi="Times New Roman"/>
                      <w:sz w:val="21"/>
                      <w:szCs w:val="21"/>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Merge w:val="continue"/>
                  <w:noWrap w:val="0"/>
                  <w:vAlign w:val="center"/>
                </w:tcPr>
                <w:p>
                  <w:pPr>
                    <w:pStyle w:val="14"/>
                    <w:jc w:val="center"/>
                    <w:rPr>
                      <w:rFonts w:ascii="Times New Roman" w:hAnsi="Times New Roman"/>
                      <w:sz w:val="21"/>
                      <w:szCs w:val="21"/>
                    </w:rPr>
                  </w:pPr>
                </w:p>
              </w:tc>
              <w:tc>
                <w:tcPr>
                  <w:tcW w:w="1056" w:type="dxa"/>
                  <w:vMerge w:val="continue"/>
                  <w:noWrap w:val="0"/>
                  <w:vAlign w:val="center"/>
                </w:tcPr>
                <w:p>
                  <w:pPr>
                    <w:pStyle w:val="14"/>
                    <w:jc w:val="center"/>
                    <w:rPr>
                      <w:rFonts w:ascii="Times New Roman" w:hAnsi="Times New Roman"/>
                      <w:sz w:val="21"/>
                      <w:szCs w:val="21"/>
                    </w:rPr>
                  </w:pPr>
                </w:p>
              </w:tc>
              <w:tc>
                <w:tcPr>
                  <w:tcW w:w="821" w:type="dxa"/>
                  <w:noWrap w:val="0"/>
                  <w:vAlign w:val="center"/>
                </w:tcPr>
                <w:p>
                  <w:pPr>
                    <w:pStyle w:val="14"/>
                    <w:jc w:val="center"/>
                    <w:rPr>
                      <w:rFonts w:ascii="Times New Roman" w:hAnsi="Times New Roman"/>
                      <w:sz w:val="21"/>
                      <w:szCs w:val="21"/>
                    </w:rPr>
                  </w:pPr>
                  <w:r>
                    <w:rPr>
                      <w:rFonts w:ascii="Times New Roman" w:hAnsi="Times New Roman"/>
                      <w:sz w:val="21"/>
                      <w:szCs w:val="21"/>
                    </w:rPr>
                    <w:cr/>
                  </w:r>
                  <w:r>
                    <w:rPr>
                      <w:rFonts w:ascii="Times New Roman" w:hAnsi="Times New Roman"/>
                      <w:sz w:val="21"/>
                      <w:szCs w:val="21"/>
                    </w:rPr>
                    <w:t>/m</w:t>
                  </w:r>
                </w:p>
              </w:tc>
              <w:tc>
                <w:tcPr>
                  <w:tcW w:w="844" w:type="dxa"/>
                  <w:noWrap w:val="0"/>
                  <w:vAlign w:val="center"/>
                </w:tcPr>
                <w:p>
                  <w:pPr>
                    <w:pStyle w:val="14"/>
                    <w:jc w:val="center"/>
                    <w:rPr>
                      <w:rFonts w:ascii="Times New Roman" w:hAnsi="Times New Roman"/>
                      <w:sz w:val="21"/>
                      <w:szCs w:val="21"/>
                    </w:rPr>
                  </w:pPr>
                  <w:r>
                    <w:rPr>
                      <w:rFonts w:ascii="Times New Roman" w:hAnsi="Times New Roman"/>
                      <w:sz w:val="21"/>
                      <w:szCs w:val="21"/>
                    </w:rPr>
                    <w:t>Y/m</w:t>
                  </w:r>
                </w:p>
              </w:tc>
              <w:tc>
                <w:tcPr>
                  <w:tcW w:w="1006" w:type="dxa"/>
                  <w:vMerge w:val="continue"/>
                  <w:noWrap w:val="0"/>
                  <w:vAlign w:val="center"/>
                </w:tcPr>
                <w:p>
                  <w:pPr>
                    <w:pStyle w:val="14"/>
                    <w:jc w:val="center"/>
                    <w:rPr>
                      <w:rFonts w:ascii="Times New Roman" w:hAnsi="Times New Roman"/>
                      <w:sz w:val="21"/>
                      <w:szCs w:val="21"/>
                    </w:rPr>
                  </w:pPr>
                </w:p>
              </w:tc>
              <w:tc>
                <w:tcPr>
                  <w:tcW w:w="1247" w:type="dxa"/>
                  <w:vMerge w:val="continue"/>
                  <w:noWrap w:val="0"/>
                  <w:vAlign w:val="center"/>
                </w:tcPr>
                <w:p>
                  <w:pPr>
                    <w:pStyle w:val="14"/>
                    <w:jc w:val="center"/>
                    <w:rPr>
                      <w:rFonts w:ascii="Times New Roman" w:hAnsi="Times New Roman"/>
                      <w:sz w:val="21"/>
                      <w:szCs w:val="21"/>
                    </w:rPr>
                  </w:pPr>
                </w:p>
              </w:tc>
              <w:tc>
                <w:tcPr>
                  <w:tcW w:w="1122" w:type="dxa"/>
                  <w:vMerge w:val="continue"/>
                  <w:noWrap w:val="0"/>
                  <w:vAlign w:val="center"/>
                </w:tcPr>
                <w:p>
                  <w:pPr>
                    <w:pStyle w:val="14"/>
                    <w:jc w:val="center"/>
                    <w:rPr>
                      <w:rFonts w:ascii="Times New Roman" w:hAnsi="Times New Roman"/>
                      <w:sz w:val="21"/>
                      <w:szCs w:val="21"/>
                    </w:rPr>
                  </w:pPr>
                </w:p>
              </w:tc>
              <w:tc>
                <w:tcPr>
                  <w:tcW w:w="991" w:type="dxa"/>
                  <w:vMerge w:val="continue"/>
                  <w:noWrap w:val="0"/>
                  <w:vAlign w:val="center"/>
                </w:tcPr>
                <w:p>
                  <w:pPr>
                    <w:pStyle w:val="14"/>
                    <w:jc w:val="center"/>
                    <w:rPr>
                      <w:rFonts w:ascii="Times New Roman" w:hAnsi="Times New Roman"/>
                      <w:sz w:val="21"/>
                      <w:szCs w:val="21"/>
                    </w:rPr>
                  </w:pPr>
                </w:p>
              </w:tc>
              <w:tc>
                <w:tcPr>
                  <w:tcW w:w="1127" w:type="dxa"/>
                  <w:vMerge w:val="continue"/>
                  <w:noWrap w:val="0"/>
                  <w:vAlign w:val="center"/>
                </w:tcPr>
                <w:p>
                  <w:pPr>
                    <w:pStyle w:val="14"/>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noWrap w:val="0"/>
                  <w:vAlign w:val="center"/>
                </w:tcPr>
                <w:p>
                  <w:pPr>
                    <w:pStyle w:val="14"/>
                    <w:jc w:val="center"/>
                    <w:rPr>
                      <w:rFonts w:ascii="Times New Roman" w:hAnsi="Times New Roman"/>
                      <w:sz w:val="21"/>
                      <w:szCs w:val="21"/>
                    </w:rPr>
                  </w:pPr>
                  <w:r>
                    <w:rPr>
                      <w:rFonts w:ascii="Times New Roman" w:hAnsi="Times New Roman"/>
                      <w:sz w:val="21"/>
                      <w:szCs w:val="21"/>
                    </w:rPr>
                    <w:t>环境空气</w:t>
                  </w:r>
                </w:p>
              </w:tc>
              <w:tc>
                <w:tcPr>
                  <w:tcW w:w="1056" w:type="dxa"/>
                  <w:noWrap w:val="0"/>
                  <w:vAlign w:val="center"/>
                </w:tcPr>
                <w:p>
                  <w:pPr>
                    <w:pStyle w:val="14"/>
                    <w:jc w:val="center"/>
                    <w:rPr>
                      <w:rFonts w:ascii="Times New Roman" w:hAnsi="Times New Roman"/>
                      <w:sz w:val="21"/>
                      <w:szCs w:val="21"/>
                    </w:rPr>
                  </w:pPr>
                  <w:r>
                    <w:rPr>
                      <w:rFonts w:hint="eastAsia" w:ascii="Times New Roman" w:hAnsi="Times New Roman"/>
                      <w:sz w:val="21"/>
                      <w:szCs w:val="21"/>
                    </w:rPr>
                    <w:t>双龙店村</w:t>
                  </w:r>
                </w:p>
              </w:tc>
              <w:tc>
                <w:tcPr>
                  <w:tcW w:w="821" w:type="dxa"/>
                  <w:noWrap w:val="0"/>
                  <w:vAlign w:val="center"/>
                </w:tcPr>
                <w:p>
                  <w:pPr>
                    <w:pStyle w:val="14"/>
                    <w:jc w:val="center"/>
                    <w:rPr>
                      <w:rFonts w:ascii="Times New Roman" w:hAnsi="Times New Roman"/>
                      <w:sz w:val="21"/>
                      <w:szCs w:val="21"/>
                    </w:rPr>
                  </w:pPr>
                  <w:r>
                    <w:rPr>
                      <w:rFonts w:hint="eastAsia" w:ascii="Times New Roman" w:hAnsi="Times New Roman"/>
                      <w:sz w:val="21"/>
                      <w:szCs w:val="21"/>
                    </w:rPr>
                    <w:t>383</w:t>
                  </w:r>
                </w:p>
              </w:tc>
              <w:tc>
                <w:tcPr>
                  <w:tcW w:w="844" w:type="dxa"/>
                  <w:noWrap w:val="0"/>
                  <w:vAlign w:val="center"/>
                </w:tcPr>
                <w:p>
                  <w:pPr>
                    <w:pStyle w:val="14"/>
                    <w:jc w:val="center"/>
                    <w:rPr>
                      <w:rFonts w:ascii="Times New Roman" w:hAnsi="Times New Roman"/>
                      <w:sz w:val="21"/>
                      <w:szCs w:val="21"/>
                    </w:rPr>
                  </w:pPr>
                  <w:r>
                    <w:rPr>
                      <w:rFonts w:hint="eastAsia" w:ascii="Times New Roman" w:hAnsi="Times New Roman"/>
                      <w:sz w:val="21"/>
                      <w:szCs w:val="21"/>
                    </w:rPr>
                    <w:t>328</w:t>
                  </w:r>
                </w:p>
              </w:tc>
              <w:tc>
                <w:tcPr>
                  <w:tcW w:w="1006" w:type="dxa"/>
                  <w:noWrap w:val="0"/>
                  <w:vAlign w:val="center"/>
                </w:tcPr>
                <w:p>
                  <w:pPr>
                    <w:pStyle w:val="14"/>
                    <w:jc w:val="center"/>
                    <w:rPr>
                      <w:rFonts w:ascii="Times New Roman" w:hAnsi="Times New Roman"/>
                      <w:sz w:val="21"/>
                      <w:szCs w:val="21"/>
                    </w:rPr>
                  </w:pPr>
                  <w:r>
                    <w:rPr>
                      <w:rFonts w:ascii="Times New Roman" w:hAnsi="Times New Roman"/>
                      <w:sz w:val="21"/>
                      <w:szCs w:val="21"/>
                    </w:rPr>
                    <w:t>村民</w:t>
                  </w:r>
                </w:p>
              </w:tc>
              <w:tc>
                <w:tcPr>
                  <w:tcW w:w="1247" w:type="dxa"/>
                  <w:noWrap w:val="0"/>
                  <w:vAlign w:val="center"/>
                </w:tcPr>
                <w:p>
                  <w:pPr>
                    <w:pStyle w:val="14"/>
                    <w:jc w:val="center"/>
                    <w:rPr>
                      <w:rFonts w:ascii="Times New Roman" w:hAnsi="Times New Roman"/>
                      <w:sz w:val="21"/>
                      <w:szCs w:val="21"/>
                    </w:rPr>
                  </w:pPr>
                  <w:r>
                    <w:rPr>
                      <w:rFonts w:hint="eastAsia" w:ascii="Times New Roman" w:hAnsi="Times New Roman"/>
                      <w:sz w:val="21"/>
                      <w:szCs w:val="21"/>
                    </w:rPr>
                    <w:t>292</w:t>
                  </w:r>
                  <w:r>
                    <w:rPr>
                      <w:rFonts w:ascii="Times New Roman" w:hAnsi="Times New Roman"/>
                      <w:sz w:val="21"/>
                      <w:szCs w:val="21"/>
                    </w:rPr>
                    <w:t>人</w:t>
                  </w:r>
                </w:p>
              </w:tc>
              <w:tc>
                <w:tcPr>
                  <w:tcW w:w="1122" w:type="dxa"/>
                  <w:noWrap w:val="0"/>
                  <w:vAlign w:val="center"/>
                </w:tcPr>
                <w:p>
                  <w:pPr>
                    <w:pStyle w:val="14"/>
                    <w:jc w:val="center"/>
                    <w:rPr>
                      <w:rFonts w:ascii="Times New Roman" w:hAnsi="Times New Roman"/>
                      <w:sz w:val="21"/>
                      <w:szCs w:val="21"/>
                    </w:rPr>
                  </w:pPr>
                  <w:r>
                    <w:rPr>
                      <w:rFonts w:ascii="Times New Roman" w:hAnsi="Times New Roman"/>
                      <w:sz w:val="21"/>
                      <w:szCs w:val="21"/>
                    </w:rPr>
                    <w:t>环境空气二类区</w:t>
                  </w:r>
                </w:p>
              </w:tc>
              <w:tc>
                <w:tcPr>
                  <w:tcW w:w="991" w:type="dxa"/>
                  <w:noWrap w:val="0"/>
                  <w:vAlign w:val="center"/>
                </w:tcPr>
                <w:p>
                  <w:pPr>
                    <w:pStyle w:val="14"/>
                    <w:jc w:val="center"/>
                    <w:rPr>
                      <w:rFonts w:ascii="Times New Roman" w:hAnsi="Times New Roman"/>
                      <w:sz w:val="21"/>
                      <w:szCs w:val="21"/>
                    </w:rPr>
                  </w:pPr>
                  <w:r>
                    <w:rPr>
                      <w:rFonts w:hint="eastAsia" w:ascii="Times New Roman" w:hAnsi="Times New Roman"/>
                      <w:sz w:val="21"/>
                      <w:szCs w:val="21"/>
                    </w:rPr>
                    <w:t>NE</w:t>
                  </w:r>
                </w:p>
              </w:tc>
              <w:tc>
                <w:tcPr>
                  <w:tcW w:w="1127" w:type="dxa"/>
                  <w:noWrap w:val="0"/>
                  <w:vAlign w:val="center"/>
                </w:tcPr>
                <w:p>
                  <w:pPr>
                    <w:pStyle w:val="14"/>
                    <w:jc w:val="center"/>
                    <w:rPr>
                      <w:rFonts w:ascii="Times New Roman" w:hAnsi="Times New Roman"/>
                      <w:sz w:val="21"/>
                      <w:szCs w:val="21"/>
                    </w:rPr>
                  </w:pPr>
                  <w:r>
                    <w:rPr>
                      <w:rFonts w:hint="eastAsia" w:ascii="Times New Roman" w:hAnsi="Times New Roman"/>
                      <w:sz w:val="21"/>
                      <w:szCs w:val="21"/>
                    </w:rPr>
                    <w:t>410</w:t>
                  </w:r>
                </w:p>
              </w:tc>
            </w:tr>
          </w:tbl>
          <w:p>
            <w:pPr>
              <w:widowControl/>
              <w:spacing w:line="360" w:lineRule="auto"/>
              <w:jc w:val="center"/>
              <w:rPr>
                <w:rFonts w:ascii="Times New Roman" w:hAnsi="Times New Roman" w:eastAsia="SimSun" w:cs="Times New Roman"/>
                <w:sz w:val="24"/>
              </w:rPr>
            </w:pPr>
            <w:r>
              <w:rPr>
                <w:rFonts w:ascii="Times New Roman" w:hAnsi="Times New Roman" w:eastAsia="SimSun" w:cs="Times New Roman"/>
                <w:b/>
                <w:sz w:val="24"/>
                <w:szCs w:val="24"/>
              </w:rPr>
              <w:t>图2-1</w:t>
            </w:r>
            <w:r>
              <w:rPr>
                <w:rFonts w:hint="eastAsia" w:ascii="Times New Roman" w:hAnsi="Times New Roman" w:eastAsia="SimSun" w:cs="Times New Roman"/>
                <w:b/>
                <w:sz w:val="24"/>
                <w:szCs w:val="24"/>
              </w:rPr>
              <w:t xml:space="preserve"> </w:t>
            </w:r>
            <w:r>
              <w:rPr>
                <w:rFonts w:ascii="Times New Roman" w:hAnsi="Times New Roman" w:eastAsia="SimSun" w:cs="Times New Roman"/>
                <w:b/>
                <w:sz w:val="24"/>
                <w:szCs w:val="24"/>
              </w:rPr>
              <w:t>项目地理位置图</w:t>
            </w:r>
          </w:p>
          <w:p>
            <w:pPr>
              <w:pStyle w:val="36"/>
              <w:jc w:val="center"/>
              <w:rPr>
                <w:rFonts w:ascii="Times New Roman" w:hAnsi="Times New Roman" w:eastAsia="SimSun" w:cs="Times New Roman"/>
                <w:sz w:val="24"/>
              </w:rPr>
            </w:pPr>
            <w:r>
              <w:drawing>
                <wp:anchor distT="0" distB="0" distL="114300" distR="114300" simplePos="0" relativeHeight="2252798976" behindDoc="0" locked="0" layoutInCell="1" allowOverlap="1">
                  <wp:simplePos x="0" y="0"/>
                  <wp:positionH relativeFrom="character">
                    <wp:posOffset>-1720215</wp:posOffset>
                  </wp:positionH>
                  <wp:positionV relativeFrom="line">
                    <wp:posOffset>66040</wp:posOffset>
                  </wp:positionV>
                  <wp:extent cx="5454015" cy="4191000"/>
                  <wp:effectExtent l="9525" t="9525" r="22860" b="9525"/>
                  <wp:wrapTopAndBottom/>
                  <wp:docPr id="12" name="图片 2" descr="济南市商河县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济南市商河县地图"/>
                          <pic:cNvPicPr>
                            <a:picLocks noChangeAspect="1"/>
                          </pic:cNvPicPr>
                        </pic:nvPicPr>
                        <pic:blipFill>
                          <a:blip r:embed="rId9"/>
                          <a:stretch>
                            <a:fillRect/>
                          </a:stretch>
                        </pic:blipFill>
                        <pic:spPr>
                          <a:xfrm>
                            <a:off x="0" y="0"/>
                            <a:ext cx="5454015" cy="4191000"/>
                          </a:xfrm>
                          <a:prstGeom prst="rect">
                            <a:avLst/>
                          </a:prstGeom>
                          <a:noFill/>
                          <a:ln w="9525" cap="flat" cmpd="sng">
                            <a:solidFill>
                              <a:srgbClr val="000000"/>
                            </a:solidFill>
                            <a:prstDash val="solid"/>
                            <a:miter/>
                            <a:headEnd type="none" w="med" len="med"/>
                            <a:tailEnd type="none" w="med" len="med"/>
                          </a:ln>
                        </pic:spPr>
                      </pic:pic>
                    </a:graphicData>
                  </a:graphic>
                </wp:anchor>
              </w:drawing>
            </w:r>
            <w:r>
              <mc:AlternateContent>
                <mc:Choice Requires="wps">
                  <w:drawing>
                    <wp:anchor distT="0" distB="0" distL="114300" distR="114300" simplePos="0" relativeHeight="2252801024" behindDoc="0" locked="0" layoutInCell="1" allowOverlap="1">
                      <wp:simplePos x="0" y="0"/>
                      <wp:positionH relativeFrom="character">
                        <wp:posOffset>-207645</wp:posOffset>
                      </wp:positionH>
                      <wp:positionV relativeFrom="line">
                        <wp:posOffset>1550035</wp:posOffset>
                      </wp:positionV>
                      <wp:extent cx="882015" cy="253365"/>
                      <wp:effectExtent l="5080" t="5080" r="351155" b="408305"/>
                      <wp:wrapNone/>
                      <wp:docPr id="58" name="矩形标注 58"/>
                      <wp:cNvGraphicFramePr/>
                      <a:graphic xmlns:a="http://schemas.openxmlformats.org/drawingml/2006/main">
                        <a:graphicData uri="http://schemas.microsoft.com/office/word/2010/wordprocessingShape">
                          <wps:wsp>
                            <wps:cNvSpPr/>
                            <wps:spPr>
                              <a:xfrm>
                                <a:off x="0" y="0"/>
                                <a:ext cx="882015" cy="253365"/>
                              </a:xfrm>
                              <a:prstGeom prst="wedgeRectCallout">
                                <a:avLst>
                                  <a:gd name="adj1" fmla="val 85972"/>
                                  <a:gd name="adj2" fmla="val 196116"/>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pPr>
                                  <w:r>
                                    <w:rPr>
                                      <w:rFonts w:hint="eastAsia" w:ascii="SimSun" w:hAnsi="SimSun"/>
                                    </w:rPr>
                                    <w:t>项目厂区位置</w:t>
                                  </w:r>
                                </w:p>
                              </w:txbxContent>
                            </wps:txbx>
                            <wps:bodyPr lIns="18000" tIns="36000" rIns="18000" bIns="10800" upright="1"/>
                          </wps:wsp>
                        </a:graphicData>
                      </a:graphic>
                    </wp:anchor>
                  </w:drawing>
                </mc:Choice>
                <mc:Fallback>
                  <w:pict>
                    <v:shape id="_x0000_s1026" o:spid="_x0000_s1026" o:spt="61" type="#_x0000_t61" style="position:absolute;left:0pt;margin-left:-16.35pt;margin-top:122.05pt;height:19.95pt;width:69.45pt;mso-position-horizontal-relative:char;mso-position-vertical-relative:line;z-index:-2042166272;mso-width-relative:page;mso-height-relative:page;" fillcolor="#FFFFFF" filled="t" stroked="t" coordsize="21600,21600" o:gfxdata="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odC92gAAAAsBAAAPAAAAAAAAAAEAIAAAACIAAABkcnMvZG93bnJl&#10;di54bWxQSwECFAAUAAAACACHTuJABiMmHzQCAAB0BAAADgAAAAAAAAABACAAAAApAQAAZHJzL2Uy&#10;b0RvYy54bWxQSwUGAAAAAAYABgBZAQAAzwUAAAAA&#10;" adj="29370,53161">
                      <v:fill on="t" focussize="0,0"/>
                      <v:stroke color="#000000" joinstyle="miter"/>
                      <v:imagedata o:title=""/>
                      <o:lock v:ext="edit" aspectratio="f"/>
                      <v:textbox inset="0.5mm,1mm,0.5mm,0.3mm">
                        <w:txbxContent>
                          <w:p>
                            <w:pPr>
                              <w:ind w:firstLine="0" w:firstLineChars="0"/>
                              <w:jc w:val="center"/>
                            </w:pPr>
                            <w:r>
                              <w:rPr>
                                <w:rFonts w:hint="eastAsia" w:ascii="SimSun" w:hAnsi="SimSun"/>
                              </w:rPr>
                              <w:t>项目厂区位置</w:t>
                            </w:r>
                          </w:p>
                        </w:txbxContent>
                      </v:textbox>
                    </v:shape>
                  </w:pict>
                </mc:Fallback>
              </mc:AlternateContent>
            </w:r>
            <w:r>
              <w:rPr>
                <w:rFonts w:hint="eastAsia"/>
                <w:b/>
                <w:sz w:val="24"/>
                <w:szCs w:val="24"/>
                <w:lang w:val="en-US" w:eastAsia="zh-CN"/>
              </w:rPr>
              <w:t>图2-2</w:t>
            </w:r>
            <w:r>
              <w:rPr>
                <w:rFonts w:hint="eastAsia" w:ascii="Times New Roman" w:hAnsi="Times New Roman"/>
                <w:b/>
                <w:sz w:val="24"/>
                <w:szCs w:val="24"/>
                <w:lang w:val="en-US" w:eastAsia="zh-CN"/>
              </w:rPr>
              <w:t>项目周围</w:t>
            </w:r>
            <w:r>
              <mc:AlternateContent>
                <mc:Choice Requires="wps">
                  <w:drawing>
                    <wp:anchor distT="0" distB="0" distL="114300" distR="114300" simplePos="0" relativeHeight="2252800000" behindDoc="0" locked="0" layoutInCell="1" allowOverlap="1">
                      <wp:simplePos x="0" y="0"/>
                      <wp:positionH relativeFrom="character">
                        <wp:posOffset>168910</wp:posOffset>
                      </wp:positionH>
                      <wp:positionV relativeFrom="line">
                        <wp:posOffset>2137410</wp:posOffset>
                      </wp:positionV>
                      <wp:extent cx="81280" cy="82550"/>
                      <wp:effectExtent l="13970" t="16510" r="19050" b="15240"/>
                      <wp:wrapNone/>
                      <wp:docPr id="56" name="五角星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1280" cy="82550"/>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13.3pt;margin-top:168.3pt;height:6.5pt;width:6.4pt;mso-position-horizontal-relative:char;mso-position-vertical-relative:line;z-index:-2042167296;mso-width-relative:page;mso-height-relative:page;" fillcolor="#FF0000" filled="t" stroked="t" coordsize="81280,82550" o:gfxdata="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H2Ks2AAAAAkBAAAPAAAAAAAAAAEAIAAAACIAAABkcnMvZG93bnJl&#10;di54bWxQSwECFAAUAAAACACHTuJAitLa1P0BAAD/AwAADgAAAAAAAAABACAAAAAnAQAAZHJzL2Uy&#10;b0RvYy54bWxQSwUGAAAAAAYABgBZAQAAlgUAAAAA&#10;" path="m0,31531l31046,31531,40640,0,50233,31531,81279,31531,56162,51018,65756,82549,40640,63062,15523,82549,25117,51018xe">
                      <v:path o:connectlocs="40640,0;0,31531;15523,82549;65756,82549;81279,31531" o:connectangles="247,164,82,82,0"/>
                      <v:fill on="t" focussize="0,0"/>
                      <v:stroke color="#000000" joinstyle="miter"/>
                      <v:imagedata o:title=""/>
                      <o:lock v:ext="edit" aspectratio="t"/>
                    </v:shape>
                  </w:pict>
                </mc:Fallback>
              </mc:AlternateContent>
            </w:r>
            <w:r>
              <w:rPr>
                <w:rFonts w:hint="eastAsia" w:ascii="Times New Roman" w:hAnsi="Times New Roman"/>
                <w:b/>
                <w:sz w:val="24"/>
                <w:szCs w:val="24"/>
                <w:lang w:val="en-US" w:eastAsia="zh-CN"/>
              </w:rPr>
              <w:t>敏感目标分布图</w:t>
            </w:r>
          </w:p>
          <w:p>
            <w:pPr>
              <w:pStyle w:val="36"/>
              <w:jc w:val="center"/>
              <w:rPr>
                <w:rFonts w:hint="eastAsia" w:ascii="Times New Roman" w:hAnsi="Times New Roman" w:eastAsia="SimSun" w:cs="Times New Roman"/>
                <w:sz w:val="24"/>
                <w:lang w:eastAsia="zh-CN"/>
              </w:rPr>
            </w:pPr>
            <w:r>
              <w:rPr>
                <w:rFonts w:hint="eastAsia" w:ascii="Times New Roman" w:hAnsi="Times New Roman" w:eastAsia="SimSun" w:cs="Times New Roman"/>
                <w:sz w:val="24"/>
                <w:lang w:eastAsia="zh-CN"/>
              </w:rPr>
              <w:drawing>
                <wp:anchor distT="0" distB="0" distL="114300" distR="114300" simplePos="0" relativeHeight="2252802048" behindDoc="0" locked="0" layoutInCell="1" allowOverlap="1">
                  <wp:simplePos x="0" y="0"/>
                  <wp:positionH relativeFrom="column">
                    <wp:posOffset>295910</wp:posOffset>
                  </wp:positionH>
                  <wp:positionV relativeFrom="paragraph">
                    <wp:posOffset>67310</wp:posOffset>
                  </wp:positionV>
                  <wp:extent cx="5600065" cy="3143250"/>
                  <wp:effectExtent l="0" t="0" r="635" b="0"/>
                  <wp:wrapTopAndBottom/>
                  <wp:docPr id="59" name="图片 59" descr="157596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575969420(1)"/>
                          <pic:cNvPicPr>
                            <a:picLocks noChangeAspect="1"/>
                          </pic:cNvPicPr>
                        </pic:nvPicPr>
                        <pic:blipFill>
                          <a:blip r:embed="rId10"/>
                          <a:stretch>
                            <a:fillRect/>
                          </a:stretch>
                        </pic:blipFill>
                        <pic:spPr>
                          <a:xfrm>
                            <a:off x="0" y="0"/>
                            <a:ext cx="5600065" cy="3143250"/>
                          </a:xfrm>
                          <a:prstGeom prst="rect">
                            <a:avLst/>
                          </a:prstGeom>
                        </pic:spPr>
                      </pic:pic>
                    </a:graphicData>
                  </a:graphic>
                </wp:anchor>
              </w:drawing>
            </w:r>
          </w:p>
          <w:p>
            <w:pPr>
              <w:pStyle w:val="36"/>
              <w:rPr>
                <w:rFonts w:ascii="Times New Roman" w:hAnsi="Times New Roman" w:eastAsia="SimSun" w:cs="Times New Roman"/>
                <w:sz w:val="24"/>
              </w:rPr>
            </w:pPr>
          </w:p>
          <w:p>
            <w:pPr>
              <w:pStyle w:val="36"/>
              <w:rPr>
                <w:rFonts w:ascii="Times New Roman" w:hAnsi="Times New Roman" w:eastAsia="SimSun" w:cs="Times New Roman"/>
                <w:sz w:val="24"/>
              </w:rPr>
            </w:pPr>
          </w:p>
          <w:p>
            <w:pPr>
              <w:jc w:val="center"/>
              <w:rPr>
                <w:rFonts w:ascii="Times New Roman" w:hAnsi="Times New Roman" w:eastAsia="SimSun" w:cs="Times New Roman"/>
                <w:b/>
                <w:sz w:val="24"/>
                <w:szCs w:val="24"/>
              </w:rPr>
            </w:pPr>
          </w:p>
          <w:p>
            <w:pPr>
              <w:jc w:val="center"/>
              <w:rPr>
                <w:rFonts w:ascii="Times New Roman" w:hAnsi="Times New Roman" w:eastAsia="SimSun" w:cs="Times New Roman"/>
                <w:b/>
                <w:sz w:val="24"/>
                <w:szCs w:val="24"/>
              </w:rPr>
            </w:pPr>
          </w:p>
          <w:p>
            <w:pPr>
              <w:jc w:val="center"/>
              <w:rPr>
                <w:rFonts w:ascii="Times New Roman" w:hAnsi="Times New Roman" w:eastAsia="SimSun" w:cs="Times New Roman"/>
                <w:b/>
                <w:sz w:val="24"/>
                <w:szCs w:val="24"/>
              </w:rPr>
            </w:pPr>
          </w:p>
          <w:p>
            <w:pPr>
              <w:jc w:val="center"/>
              <w:rPr>
                <w:rFonts w:ascii="Times New Roman" w:hAnsi="Times New Roman" w:eastAsia="SimSun" w:cs="Times New Roman"/>
                <w:b/>
                <w:sz w:val="24"/>
                <w:szCs w:val="24"/>
              </w:rPr>
            </w:pPr>
          </w:p>
          <w:p>
            <w:pPr>
              <w:jc w:val="center"/>
              <w:rPr>
                <w:rFonts w:ascii="Times New Roman" w:hAnsi="Times New Roman" w:eastAsia="SimSun" w:cs="Times New Roman"/>
                <w:b/>
                <w:sz w:val="24"/>
                <w:szCs w:val="24"/>
              </w:rPr>
            </w:pPr>
            <w:r>
              <w:rPr>
                <w:rFonts w:ascii="Times New Roman" w:hAnsi="Times New Roman" w:eastAsia="SimSun" w:cs="Times New Roman"/>
                <w:b/>
                <w:sz w:val="24"/>
                <w:szCs w:val="24"/>
              </w:rPr>
              <w:t>图2-</w:t>
            </w:r>
            <w:r>
              <w:rPr>
                <w:rFonts w:hint="eastAsia" w:ascii="Times New Roman" w:hAnsi="Times New Roman" w:eastAsia="SimSun" w:cs="Times New Roman"/>
                <w:b/>
                <w:sz w:val="24"/>
                <w:szCs w:val="24"/>
                <w:lang w:val="en-US" w:eastAsia="zh-CN"/>
              </w:rPr>
              <w:t>3</w:t>
            </w:r>
            <w:r>
              <w:rPr>
                <w:rFonts w:ascii="Times New Roman" w:hAnsi="Times New Roman" w:eastAsia="SimSun" w:cs="Times New Roman"/>
                <w:b/>
                <w:sz w:val="24"/>
                <w:szCs w:val="24"/>
              </w:rPr>
              <w:t xml:space="preserve">  项目厂区平面布置图</w:t>
            </w:r>
          </w:p>
          <w:p>
            <w:pPr>
              <w:jc w:val="center"/>
              <w:rPr>
                <w:rFonts w:hint="eastAsia" w:ascii="Times New Roman" w:hAnsi="Times New Roman" w:eastAsia="SimSun" w:cs="Times New Roman"/>
                <w:sz w:val="24"/>
                <w:lang w:eastAsia="zh-CN"/>
              </w:rPr>
            </w:pPr>
            <w:r>
              <w:rPr>
                <w:rFonts w:hint="eastAsia" w:ascii="Times New Roman" w:hAnsi="Times New Roman" w:eastAsia="SimSun" w:cs="Times New Roman"/>
                <w:sz w:val="24"/>
                <w:lang w:eastAsia="zh-CN"/>
              </w:rPr>
              <w:drawing>
                <wp:inline distT="0" distB="0" distL="114300" distR="114300">
                  <wp:extent cx="6188075" cy="4708525"/>
                  <wp:effectExtent l="0" t="0" r="15875" b="3175"/>
                  <wp:docPr id="60" name="图片 60" descr="1575969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575969751(1)"/>
                          <pic:cNvPicPr>
                            <a:picLocks noChangeAspect="1"/>
                          </pic:cNvPicPr>
                        </pic:nvPicPr>
                        <pic:blipFill>
                          <a:blip r:embed="rId11"/>
                          <a:stretch>
                            <a:fillRect/>
                          </a:stretch>
                        </pic:blipFill>
                        <pic:spPr>
                          <a:xfrm rot="5400000">
                            <a:off x="0" y="0"/>
                            <a:ext cx="6188075" cy="4708525"/>
                          </a:xfrm>
                          <a:prstGeom prst="rect">
                            <a:avLst/>
                          </a:prstGeom>
                        </pic:spPr>
                      </pic:pic>
                    </a:graphicData>
                  </a:graphic>
                </wp:inline>
              </w:drawing>
            </w:r>
          </w:p>
        </w:tc>
      </w:tr>
    </w:tbl>
    <w:p>
      <w:pPr>
        <w:spacing w:line="360" w:lineRule="auto"/>
        <w:rPr>
          <w:rFonts w:ascii="Times New Roman" w:hAnsi="Times New Roman" w:cs="Times New Roman"/>
          <w:spacing w:val="6"/>
          <w:sz w:val="28"/>
          <w:szCs w:val="28"/>
        </w:rPr>
      </w:pPr>
    </w:p>
    <w:tbl>
      <w:tblPr>
        <w:tblStyle w:val="29"/>
        <w:tblW w:w="9815" w:type="dxa"/>
        <w:jc w:val="center"/>
        <w:tblInd w:w="108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8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202" w:hRule="atLeast"/>
          <w:jc w:val="center"/>
        </w:trPr>
        <w:tc>
          <w:tcPr>
            <w:tcW w:w="9815" w:type="dxa"/>
          </w:tcPr>
          <w:p>
            <w:pPr>
              <w:spacing w:line="360" w:lineRule="auto"/>
              <w:jc w:val="left"/>
              <w:rPr>
                <w:b/>
                <w:bCs/>
                <w:sz w:val="24"/>
                <w:szCs w:val="24"/>
              </w:rPr>
            </w:pPr>
            <w:r>
              <w:rPr>
                <w:rFonts w:hint="default" w:ascii="Times New Roman" w:hAnsi="Times New Roman" w:cs="Times New Roman"/>
                <w:b/>
                <w:bCs/>
                <w:sz w:val="24"/>
                <w:szCs w:val="24"/>
              </w:rPr>
              <w:t>3、</w:t>
            </w:r>
            <w:r>
              <w:rPr>
                <w:b/>
                <w:bCs/>
                <w:sz w:val="24"/>
                <w:szCs w:val="24"/>
              </w:rPr>
              <w:t>工程建设内容</w:t>
            </w:r>
          </w:p>
          <w:p>
            <w:pPr>
              <w:spacing w:line="360" w:lineRule="auto"/>
              <w:ind w:firstLine="240" w:firstLineChars="100"/>
              <w:jc w:val="left"/>
              <w:rPr>
                <w:sz w:val="24"/>
                <w:szCs w:val="24"/>
              </w:rPr>
            </w:pPr>
            <w:r>
              <w:rPr>
                <w:sz w:val="24"/>
                <w:szCs w:val="24"/>
              </w:rPr>
              <w:t>项目主要</w:t>
            </w:r>
            <w:r>
              <w:rPr>
                <w:rFonts w:hint="eastAsia"/>
                <w:sz w:val="24"/>
                <w:szCs w:val="24"/>
              </w:rPr>
              <w:t>组成</w:t>
            </w:r>
            <w:r>
              <w:rPr>
                <w:sz w:val="24"/>
                <w:szCs w:val="24"/>
              </w:rPr>
              <w:t xml:space="preserve">内容见表 </w:t>
            </w:r>
            <w:r>
              <w:rPr>
                <w:rFonts w:hint="default" w:ascii="Times New Roman" w:hAnsi="Times New Roman" w:cs="Times New Roman"/>
                <w:sz w:val="24"/>
                <w:szCs w:val="24"/>
              </w:rPr>
              <w:t>2-1</w:t>
            </w:r>
            <w:r>
              <w:rPr>
                <w:sz w:val="24"/>
                <w:szCs w:val="24"/>
              </w:rPr>
              <w:t>，</w:t>
            </w:r>
            <w:r>
              <w:rPr>
                <w:sz w:val="24"/>
              </w:rPr>
              <w:t>扩建项目新增生产设备见表</w:t>
            </w:r>
            <w:r>
              <w:rPr>
                <w:rFonts w:hint="default" w:ascii="Times New Roman" w:hAnsi="Times New Roman" w:cs="Times New Roman"/>
                <w:sz w:val="24"/>
                <w:szCs w:val="24"/>
              </w:rPr>
              <w:t>2-2</w:t>
            </w:r>
            <w:r>
              <w:rPr>
                <w:rFonts w:hint="eastAsia"/>
                <w:sz w:val="24"/>
                <w:szCs w:val="24"/>
              </w:rPr>
              <w:t>，产品方案见表</w:t>
            </w:r>
            <w:r>
              <w:rPr>
                <w:rFonts w:hint="default" w:ascii="Times New Roman" w:hAnsi="Times New Roman" w:cs="Times New Roman"/>
                <w:sz w:val="24"/>
                <w:szCs w:val="24"/>
              </w:rPr>
              <w:t>2-3</w:t>
            </w:r>
            <w:r>
              <w:rPr>
                <w:rFonts w:hint="eastAsia"/>
                <w:sz w:val="24"/>
                <w:szCs w:val="24"/>
              </w:rPr>
              <w:t>，环保投资见表</w:t>
            </w:r>
            <w:r>
              <w:rPr>
                <w:rFonts w:hint="default" w:ascii="Times New Roman" w:hAnsi="Times New Roman" w:cs="Times New Roman"/>
                <w:sz w:val="24"/>
                <w:szCs w:val="24"/>
              </w:rPr>
              <w:t>2-4</w:t>
            </w:r>
            <w:r>
              <w:rPr>
                <w:rFonts w:hint="eastAsia"/>
                <w:sz w:val="24"/>
                <w:szCs w:val="24"/>
              </w:rPr>
              <w:t>。</w:t>
            </w:r>
          </w:p>
          <w:p>
            <w:pPr>
              <w:spacing w:line="360" w:lineRule="auto"/>
              <w:jc w:val="center"/>
              <w:rPr>
                <w:b/>
                <w:bCs/>
                <w:sz w:val="24"/>
                <w:szCs w:val="24"/>
              </w:rPr>
            </w:pPr>
            <w:r>
              <w:rPr>
                <w:b/>
                <w:bCs/>
                <w:sz w:val="24"/>
                <w:szCs w:val="24"/>
              </w:rPr>
              <w:t>表</w:t>
            </w:r>
            <w:r>
              <w:rPr>
                <w:rFonts w:hint="default" w:ascii="Times New Roman" w:hAnsi="Times New Roman" w:cs="Times New Roman"/>
                <w:b/>
                <w:bCs/>
                <w:sz w:val="24"/>
                <w:szCs w:val="24"/>
              </w:rPr>
              <w:t xml:space="preserve">2-1 </w:t>
            </w:r>
            <w:r>
              <w:rPr>
                <w:b/>
                <w:bCs/>
                <w:sz w:val="24"/>
                <w:szCs w:val="24"/>
              </w:rPr>
              <w:t>项目组成一览表</w:t>
            </w:r>
          </w:p>
          <w:tbl>
            <w:tblPr>
              <w:tblStyle w:val="28"/>
              <w:tblW w:w="8928" w:type="dxa"/>
              <w:jc w:val="center"/>
              <w:tblInd w:w="-13"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650"/>
              <w:gridCol w:w="1011"/>
              <w:gridCol w:w="5118"/>
              <w:gridCol w:w="214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65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SimSun" w:cs="Times New Roman"/>
                      <w:b/>
                      <w:snapToGrid w:val="0"/>
                      <w:color w:val="000000"/>
                      <w:sz w:val="21"/>
                      <w:szCs w:val="21"/>
                      <w:lang w:val="zh-CN"/>
                    </w:rPr>
                  </w:pPr>
                  <w:r>
                    <w:rPr>
                      <w:rFonts w:hint="default" w:ascii="Times New Roman" w:hAnsi="Times New Roman" w:eastAsia="SimSun" w:cs="Times New Roman"/>
                      <w:b/>
                      <w:snapToGrid w:val="0"/>
                      <w:color w:val="000000"/>
                      <w:sz w:val="21"/>
                      <w:szCs w:val="21"/>
                      <w:lang w:val="zh-CN"/>
                    </w:rPr>
                    <w:t>工程类别</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SimSun" w:cs="Times New Roman"/>
                      <w:b/>
                      <w:snapToGrid w:val="0"/>
                      <w:color w:val="000000"/>
                      <w:sz w:val="21"/>
                      <w:szCs w:val="21"/>
                      <w:lang w:val="zh-CN"/>
                    </w:rPr>
                  </w:pPr>
                  <w:r>
                    <w:rPr>
                      <w:rFonts w:hint="default" w:ascii="Times New Roman" w:hAnsi="Times New Roman" w:eastAsia="SimSun" w:cs="Times New Roman"/>
                      <w:b/>
                      <w:snapToGrid w:val="0"/>
                      <w:color w:val="000000"/>
                      <w:sz w:val="21"/>
                      <w:szCs w:val="21"/>
                      <w:lang w:val="zh-CN"/>
                    </w:rPr>
                    <w:t>项目</w:t>
                  </w:r>
                </w:p>
              </w:tc>
              <w:tc>
                <w:tcPr>
                  <w:tcW w:w="511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SimSun" w:cs="Times New Roman"/>
                      <w:b/>
                      <w:snapToGrid w:val="0"/>
                      <w:color w:val="000000"/>
                      <w:sz w:val="21"/>
                      <w:szCs w:val="21"/>
                      <w:lang w:val="zh-CN"/>
                    </w:rPr>
                  </w:pPr>
                  <w:r>
                    <w:rPr>
                      <w:rFonts w:hint="eastAsia" w:ascii="Times New Roman" w:hAnsi="Times New Roman" w:eastAsia="SimSun" w:cs="Times New Roman"/>
                      <w:b/>
                      <w:snapToGrid w:val="0"/>
                      <w:color w:val="000000"/>
                      <w:sz w:val="21"/>
                      <w:szCs w:val="21"/>
                      <w:lang w:val="zh-CN"/>
                    </w:rPr>
                    <w:t>建设</w:t>
                  </w:r>
                  <w:r>
                    <w:rPr>
                      <w:rFonts w:hint="default" w:ascii="Times New Roman" w:hAnsi="Times New Roman" w:eastAsia="SimSun" w:cs="Times New Roman"/>
                      <w:b/>
                      <w:snapToGrid w:val="0"/>
                      <w:color w:val="000000"/>
                      <w:sz w:val="21"/>
                      <w:szCs w:val="21"/>
                      <w:lang w:val="zh-CN"/>
                    </w:rPr>
                    <w:t>内容</w:t>
                  </w:r>
                </w:p>
              </w:tc>
              <w:tc>
                <w:tcPr>
                  <w:tcW w:w="2149"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SimSun" w:cs="Times New Roman"/>
                      <w:b/>
                      <w:snapToGrid w:val="0"/>
                      <w:color w:val="000000"/>
                      <w:sz w:val="21"/>
                      <w:szCs w:val="21"/>
                      <w:lang w:val="zh-CN"/>
                    </w:rPr>
                  </w:pPr>
                  <w:r>
                    <w:rPr>
                      <w:rFonts w:hint="eastAsia" w:ascii="Times New Roman" w:hAnsi="Times New Roman" w:eastAsia="SimSun" w:cs="Times New Roman"/>
                      <w:b/>
                      <w:snapToGrid w:val="0"/>
                      <w:color w:val="000000"/>
                      <w:sz w:val="21"/>
                      <w:szCs w:val="21"/>
                      <w:lang w:val="zh-CN"/>
                    </w:rPr>
                    <w:t>实际建设情况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65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SimSun" w:cs="Times New Roman"/>
                      <w:b/>
                      <w:bCs/>
                      <w:snapToGrid w:val="0"/>
                      <w:color w:val="auto"/>
                      <w:sz w:val="21"/>
                      <w:szCs w:val="21"/>
                      <w:lang w:val="zh-CN"/>
                    </w:rPr>
                  </w:pPr>
                  <w:r>
                    <w:rPr>
                      <w:rFonts w:hint="default" w:ascii="Times New Roman" w:hAnsi="Times New Roman" w:eastAsia="SimSun" w:cs="Times New Roman"/>
                      <w:b/>
                      <w:bCs/>
                      <w:snapToGrid w:val="0"/>
                      <w:color w:val="auto"/>
                      <w:sz w:val="21"/>
                      <w:szCs w:val="21"/>
                      <w:lang w:val="zh-CN"/>
                    </w:rPr>
                    <w:t>主体工程</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SimSun" w:cs="Times New Roman"/>
                      <w:snapToGrid w:val="0"/>
                      <w:color w:val="auto"/>
                      <w:sz w:val="21"/>
                      <w:szCs w:val="21"/>
                      <w:lang w:val="zh-CN"/>
                    </w:rPr>
                  </w:pPr>
                  <w:r>
                    <w:rPr>
                      <w:rFonts w:ascii="Times New Roman" w:hAnsi="Times New Roman"/>
                      <w:bCs/>
                      <w:sz w:val="21"/>
                      <w:szCs w:val="21"/>
                    </w:rPr>
                    <w:t>GMP</w:t>
                  </w:r>
                  <w:r>
                    <w:rPr>
                      <w:rFonts w:hint="eastAsia" w:ascii="Times New Roman" w:hAnsi="Times New Roman"/>
                      <w:bCs/>
                      <w:sz w:val="21"/>
                      <w:szCs w:val="21"/>
                    </w:rPr>
                    <w:t>生产</w:t>
                  </w:r>
                  <w:r>
                    <w:rPr>
                      <w:rFonts w:ascii="Times New Roman" w:hAnsi="Times New Roman"/>
                      <w:bCs/>
                      <w:sz w:val="21"/>
                      <w:szCs w:val="21"/>
                    </w:rPr>
                    <w:t>车间</w:t>
                  </w:r>
                  <w:r>
                    <w:rPr>
                      <w:rFonts w:hint="eastAsia" w:ascii="Times New Roman" w:hAnsi="Times New Roman"/>
                      <w:bCs/>
                      <w:sz w:val="21"/>
                      <w:szCs w:val="21"/>
                    </w:rPr>
                    <w:t>二</w:t>
                  </w:r>
                </w:p>
              </w:tc>
              <w:tc>
                <w:tcPr>
                  <w:tcW w:w="5118"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default" w:ascii="Times New Roman" w:hAnsi="Times New Roman" w:eastAsia="SimSun" w:cs="Times New Roman"/>
                      <w:snapToGrid w:val="0"/>
                      <w:color w:val="auto"/>
                      <w:sz w:val="21"/>
                      <w:szCs w:val="21"/>
                      <w:lang w:val="en-US" w:eastAsia="zh-CN"/>
                    </w:rPr>
                  </w:pPr>
                  <w:r>
                    <w:rPr>
                      <w:rFonts w:hint="eastAsia" w:ascii="Times New Roman" w:hAnsi="Times New Roman"/>
                      <w:bCs/>
                      <w:color w:val="auto"/>
                      <w:sz w:val="21"/>
                      <w:szCs w:val="21"/>
                      <w:lang w:eastAsia="zh-CN"/>
                    </w:rPr>
                    <w:t>扩建项目位于</w:t>
                  </w:r>
                  <w:r>
                    <w:rPr>
                      <w:rFonts w:hint="eastAsia" w:ascii="Times New Roman" w:hAnsi="Times New Roman"/>
                      <w:bCs/>
                      <w:color w:val="auto"/>
                      <w:sz w:val="21"/>
                      <w:szCs w:val="21"/>
                      <w:lang w:val="en-US" w:eastAsia="zh-CN"/>
                    </w:rPr>
                    <w:t>GMP生产车间二内，</w:t>
                  </w:r>
                  <w:r>
                    <w:rPr>
                      <w:rFonts w:hint="eastAsia" w:ascii="Times New Roman" w:hAnsi="Times New Roman"/>
                      <w:bCs/>
                      <w:color w:val="auto"/>
                      <w:sz w:val="21"/>
                      <w:szCs w:val="21"/>
                    </w:rPr>
                    <w:t>1F</w:t>
                  </w:r>
                  <w:r>
                    <w:rPr>
                      <w:rFonts w:hint="eastAsia" w:ascii="Times New Roman" w:hAnsi="Times New Roman"/>
                      <w:bCs/>
                      <w:color w:val="auto"/>
                      <w:sz w:val="21"/>
                      <w:szCs w:val="21"/>
                      <w:lang w:eastAsia="zh-CN"/>
                    </w:rPr>
                    <w:t>，</w:t>
                  </w:r>
                  <w:r>
                    <w:rPr>
                      <w:rFonts w:hint="eastAsia" w:ascii="Times New Roman" w:hAnsi="Times New Roman"/>
                      <w:bCs/>
                      <w:color w:val="auto"/>
                      <w:sz w:val="21"/>
                      <w:szCs w:val="21"/>
                    </w:rPr>
                    <w:t>建筑</w:t>
                  </w:r>
                  <w:r>
                    <w:rPr>
                      <w:rFonts w:ascii="Times New Roman" w:hAnsi="Times New Roman"/>
                      <w:bCs/>
                      <w:color w:val="auto"/>
                      <w:sz w:val="21"/>
                      <w:szCs w:val="21"/>
                    </w:rPr>
                    <w:t>面积为</w:t>
                  </w:r>
                  <w:r>
                    <w:rPr>
                      <w:rFonts w:hint="eastAsia" w:ascii="Times New Roman" w:hAnsi="Times New Roman"/>
                      <w:bCs/>
                      <w:color w:val="auto"/>
                      <w:sz w:val="21"/>
                      <w:szCs w:val="21"/>
                    </w:rPr>
                    <w:t>132</w:t>
                  </w:r>
                  <w:r>
                    <w:rPr>
                      <w:rFonts w:ascii="Times New Roman" w:hAnsi="Times New Roman"/>
                      <w:bCs/>
                      <w:color w:val="auto"/>
                      <w:sz w:val="21"/>
                      <w:szCs w:val="21"/>
                    </w:rPr>
                    <w:t>0m</w:t>
                  </w:r>
                  <w:r>
                    <w:rPr>
                      <w:rFonts w:ascii="Times New Roman" w:hAnsi="Times New Roman"/>
                      <w:bCs/>
                      <w:color w:val="auto"/>
                      <w:sz w:val="21"/>
                      <w:szCs w:val="21"/>
                      <w:highlight w:val="none"/>
                      <w:vertAlign w:val="superscript"/>
                    </w:rPr>
                    <w:t>2</w:t>
                  </w:r>
                  <w:r>
                    <w:rPr>
                      <w:rFonts w:ascii="Times New Roman" w:hAnsi="Times New Roman"/>
                      <w:bCs/>
                      <w:color w:val="auto"/>
                      <w:sz w:val="21"/>
                      <w:szCs w:val="21"/>
                      <w:highlight w:val="none"/>
                    </w:rPr>
                    <w:t>，</w:t>
                  </w:r>
                  <w:r>
                    <w:rPr>
                      <w:rFonts w:hint="eastAsia" w:ascii="Times New Roman" w:hAnsi="Times New Roman"/>
                      <w:bCs/>
                      <w:color w:val="auto"/>
                      <w:sz w:val="21"/>
                      <w:szCs w:val="21"/>
                      <w:highlight w:val="none"/>
                      <w:lang w:eastAsia="zh-CN"/>
                    </w:rPr>
                    <w:t>目前</w:t>
                  </w:r>
                  <w:r>
                    <w:rPr>
                      <w:rFonts w:hint="eastAsia" w:ascii="Times New Roman" w:hAnsi="Times New Roman"/>
                      <w:bCs/>
                      <w:color w:val="auto"/>
                      <w:sz w:val="21"/>
                      <w:szCs w:val="21"/>
                      <w:highlight w:val="none"/>
                    </w:rPr>
                    <w:t>现有粉剂生产线，</w:t>
                  </w:r>
                  <w:r>
                    <w:rPr>
                      <w:rFonts w:hint="eastAsia" w:ascii="Times New Roman" w:hAnsi="Times New Roman"/>
                      <w:bCs/>
                      <w:color w:val="auto"/>
                      <w:sz w:val="21"/>
                      <w:szCs w:val="21"/>
                      <w:highlight w:val="none"/>
                      <w:lang w:eastAsia="zh-CN"/>
                    </w:rPr>
                    <w:t>扩建项目</w:t>
                  </w:r>
                  <w:r>
                    <w:rPr>
                      <w:rFonts w:hint="eastAsia" w:ascii="Times New Roman" w:hAnsi="Times New Roman"/>
                      <w:bCs/>
                      <w:color w:val="auto"/>
                      <w:sz w:val="21"/>
                      <w:szCs w:val="21"/>
                      <w:highlight w:val="none"/>
                    </w:rPr>
                    <w:t>再新增口服液、片剂</w:t>
                  </w:r>
                  <w:r>
                    <w:rPr>
                      <w:rFonts w:hint="eastAsia" w:ascii="Times New Roman" w:hAnsi="Times New Roman"/>
                      <w:bCs/>
                      <w:color w:val="auto"/>
                      <w:sz w:val="21"/>
                      <w:szCs w:val="21"/>
                      <w:highlight w:val="none"/>
                      <w:lang w:eastAsia="zh-CN"/>
                    </w:rPr>
                    <w:t>及</w:t>
                  </w:r>
                  <w:r>
                    <w:rPr>
                      <w:rFonts w:hint="eastAsia" w:ascii="Times New Roman" w:hAnsi="Times New Roman"/>
                      <w:bCs/>
                      <w:color w:val="auto"/>
                      <w:sz w:val="21"/>
                      <w:szCs w:val="21"/>
                      <w:highlight w:val="none"/>
                    </w:rPr>
                    <w:t>液体消毒剂</w:t>
                  </w:r>
                  <w:r>
                    <w:rPr>
                      <w:rFonts w:hint="eastAsia" w:ascii="Times New Roman" w:hAnsi="Times New Roman"/>
                      <w:bCs/>
                      <w:color w:val="auto"/>
                      <w:sz w:val="21"/>
                      <w:szCs w:val="21"/>
                      <w:highlight w:val="none"/>
                      <w:lang w:eastAsia="zh-CN"/>
                    </w:rPr>
                    <w:t>生产线，其中片剂生产线新增混合机、颗粒机、压片机、包衣机、整粒机、填充机等设备；消毒剂生产线新增</w:t>
                  </w:r>
                  <w:r>
                    <w:rPr>
                      <w:rFonts w:hint="eastAsia" w:ascii="Times New Roman" w:hAnsi="Times New Roman"/>
                      <w:bCs/>
                      <w:color w:val="auto"/>
                      <w:sz w:val="21"/>
                      <w:szCs w:val="21"/>
                      <w:highlight w:val="none"/>
                      <w:lang w:val="en-US" w:eastAsia="zh-CN"/>
                    </w:rPr>
                    <w:t>4个搅拌罐；</w:t>
                  </w:r>
                  <w:r>
                    <w:rPr>
                      <w:rFonts w:hint="eastAsia" w:ascii="Times New Roman" w:hAnsi="Times New Roman"/>
                      <w:bCs/>
                      <w:color w:val="auto"/>
                      <w:sz w:val="21"/>
                      <w:szCs w:val="21"/>
                      <w:highlight w:val="none"/>
                      <w:lang w:eastAsia="zh-CN"/>
                    </w:rPr>
                    <w:t>口服液生产线新增搅拌罐、灌装机、旋盖机等设备</w:t>
                  </w:r>
                  <w:r>
                    <w:rPr>
                      <w:rFonts w:ascii="Times New Roman" w:hAnsi="Times New Roman"/>
                      <w:bCs/>
                      <w:color w:val="auto"/>
                      <w:sz w:val="21"/>
                      <w:szCs w:val="21"/>
                    </w:rPr>
                    <w:t>。</w:t>
                  </w:r>
                  <w:r>
                    <w:rPr>
                      <w:rFonts w:hint="eastAsia" w:ascii="Times New Roman" w:hAnsi="Times New Roman"/>
                      <w:bCs/>
                      <w:color w:val="auto"/>
                      <w:sz w:val="21"/>
                      <w:szCs w:val="21"/>
                    </w:rPr>
                    <w:t>车间内布局为自东向西依次为片剂粉剂车间、口服液车间、消毒剂车间、口服液车间</w:t>
                  </w:r>
                  <w:r>
                    <w:rPr>
                      <w:rFonts w:hint="eastAsia" w:ascii="Times New Roman" w:hAnsi="Times New Roman"/>
                      <w:bCs/>
                      <w:color w:val="auto"/>
                      <w:sz w:val="21"/>
                      <w:szCs w:val="21"/>
                      <w:lang w:eastAsia="zh-CN"/>
                    </w:rPr>
                    <w:t>。</w:t>
                  </w:r>
                </w:p>
              </w:tc>
              <w:tc>
                <w:tcPr>
                  <w:tcW w:w="2149"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Theme="minorEastAsia"/>
                      <w:bCs/>
                      <w:color w:val="0000FF"/>
                      <w:sz w:val="21"/>
                      <w:szCs w:val="21"/>
                      <w:lang w:eastAsia="zh-CN"/>
                    </w:rPr>
                  </w:pPr>
                  <w:r>
                    <w:rPr>
                      <w:rFonts w:hint="eastAsia" w:ascii="Times New Roman" w:hAnsi="Times New Roman"/>
                      <w:bCs/>
                      <w:color w:val="auto"/>
                      <w:sz w:val="21"/>
                      <w:szCs w:val="21"/>
                    </w:rPr>
                    <w:t>依托现有车间</w:t>
                  </w:r>
                  <w:r>
                    <w:rPr>
                      <w:rFonts w:hint="eastAsia" w:ascii="Times New Roman" w:hAnsi="Times New Roman"/>
                      <w:bCs/>
                      <w:color w:val="auto"/>
                      <w:sz w:val="21"/>
                      <w:szCs w:val="21"/>
                      <w:lang w:eastAsia="zh-CN"/>
                    </w:rPr>
                    <w:t>（消毒剂生产线未建设，搅拌罐未购置）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650"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SimSun" w:cs="Times New Roman"/>
                      <w:b/>
                      <w:bCs/>
                      <w:snapToGrid w:val="0"/>
                      <w:color w:val="000000"/>
                      <w:sz w:val="21"/>
                      <w:szCs w:val="21"/>
                      <w:lang w:val="zh-CN"/>
                    </w:rPr>
                  </w:pPr>
                  <w:r>
                    <w:rPr>
                      <w:rFonts w:hint="default" w:ascii="Times New Roman" w:hAnsi="Times New Roman" w:eastAsia="SimSun" w:cs="Times New Roman"/>
                      <w:b/>
                      <w:bCs/>
                      <w:snapToGrid w:val="0"/>
                      <w:color w:val="000000"/>
                      <w:sz w:val="21"/>
                      <w:szCs w:val="21"/>
                      <w:lang w:val="zh-CN"/>
                    </w:rPr>
                    <w:t>辅助工程</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SimSun" w:cs="Times New Roman"/>
                      <w:snapToGrid w:val="0"/>
                      <w:color w:val="000000"/>
                      <w:sz w:val="21"/>
                      <w:szCs w:val="21"/>
                      <w:lang w:val="zh-CN"/>
                    </w:rPr>
                  </w:pPr>
                  <w:r>
                    <w:rPr>
                      <w:rFonts w:hint="default" w:ascii="Times New Roman" w:hAnsi="Times New Roman" w:eastAsia="SimSun" w:cs="Times New Roman"/>
                      <w:snapToGrid w:val="0"/>
                      <w:color w:val="000000"/>
                      <w:sz w:val="21"/>
                      <w:szCs w:val="21"/>
                      <w:lang w:val="zh-CN"/>
                    </w:rPr>
                    <w:t>办公室</w:t>
                  </w:r>
                </w:p>
              </w:tc>
              <w:tc>
                <w:tcPr>
                  <w:tcW w:w="5118"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SimSun" w:cs="Times New Roman"/>
                      <w:snapToGrid w:val="0"/>
                      <w:color w:val="000000"/>
                      <w:sz w:val="21"/>
                      <w:szCs w:val="21"/>
                      <w:lang w:val="zh-CN"/>
                    </w:rPr>
                  </w:pPr>
                  <w:r>
                    <w:rPr>
                      <w:rFonts w:hint="eastAsia" w:ascii="Times New Roman" w:hAnsi="Times New Roman"/>
                      <w:bCs/>
                      <w:sz w:val="21"/>
                      <w:szCs w:val="21"/>
                    </w:rPr>
                    <w:t>依托现有项目</w:t>
                  </w:r>
                  <w:r>
                    <w:rPr>
                      <w:rFonts w:hint="default" w:ascii="Times New Roman" w:hAnsi="Times New Roman" w:eastAsia="SimSun" w:cs="Times New Roman"/>
                      <w:snapToGrid w:val="0"/>
                      <w:color w:val="000000"/>
                      <w:sz w:val="21"/>
                      <w:szCs w:val="21"/>
                      <w:lang w:val="zh-CN"/>
                    </w:rPr>
                    <w:t>现有项目的办公楼</w:t>
                  </w:r>
                </w:p>
              </w:tc>
              <w:tc>
                <w:tcPr>
                  <w:tcW w:w="2149"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default" w:ascii="Times New Roman" w:hAnsi="Times New Roman" w:eastAsia="SimSun" w:cs="Times New Roman"/>
                      <w:snapToGrid w:val="0"/>
                      <w:color w:val="000000"/>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65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SimSun" w:cs="Times New Roman"/>
                      <w:b/>
                      <w:bCs/>
                      <w:snapToGrid w:val="0"/>
                      <w:color w:val="auto"/>
                      <w:sz w:val="21"/>
                      <w:szCs w:val="21"/>
                      <w:lang w:val="zh-CN"/>
                    </w:rPr>
                  </w:pPr>
                  <w:r>
                    <w:rPr>
                      <w:rFonts w:hint="default" w:ascii="Times New Roman" w:hAnsi="Times New Roman" w:eastAsia="SimSun" w:cs="Times New Roman"/>
                      <w:b/>
                      <w:bCs/>
                      <w:snapToGrid w:val="0"/>
                      <w:color w:val="auto"/>
                      <w:sz w:val="21"/>
                      <w:szCs w:val="21"/>
                      <w:lang w:val="zh-CN"/>
                    </w:rPr>
                    <w:t>公用工程</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SimSun" w:cs="Times New Roman"/>
                      <w:snapToGrid w:val="0"/>
                      <w:color w:val="auto"/>
                      <w:sz w:val="21"/>
                      <w:szCs w:val="21"/>
                      <w:lang w:val="zh-CN"/>
                    </w:rPr>
                  </w:pPr>
                  <w:r>
                    <w:rPr>
                      <w:rFonts w:hint="default" w:ascii="Times New Roman" w:hAnsi="Times New Roman" w:eastAsia="SimSun" w:cs="Times New Roman"/>
                      <w:snapToGrid w:val="0"/>
                      <w:color w:val="auto"/>
                      <w:sz w:val="21"/>
                      <w:szCs w:val="21"/>
                      <w:lang w:val="zh-CN"/>
                    </w:rPr>
                    <w:t>给</w:t>
                  </w:r>
                  <w:r>
                    <w:rPr>
                      <w:rFonts w:hint="eastAsia" w:ascii="Times New Roman" w:hAnsi="Times New Roman" w:eastAsia="SimSun" w:cs="Times New Roman"/>
                      <w:snapToGrid w:val="0"/>
                      <w:color w:val="auto"/>
                      <w:sz w:val="21"/>
                      <w:szCs w:val="21"/>
                      <w:lang w:val="zh-CN"/>
                    </w:rPr>
                    <w:t>、</w:t>
                  </w:r>
                  <w:r>
                    <w:rPr>
                      <w:rFonts w:hint="default" w:ascii="Times New Roman" w:hAnsi="Times New Roman" w:eastAsia="SimSun" w:cs="Times New Roman"/>
                      <w:snapToGrid w:val="0"/>
                      <w:color w:val="auto"/>
                      <w:sz w:val="21"/>
                      <w:szCs w:val="21"/>
                      <w:lang w:val="zh-CN"/>
                    </w:rPr>
                    <w:t>排水</w:t>
                  </w:r>
                </w:p>
              </w:tc>
              <w:tc>
                <w:tcPr>
                  <w:tcW w:w="51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pPr>
                  <w:r>
                    <w:rPr>
                      <w:rFonts w:hint="eastAsia"/>
                    </w:rPr>
                    <w:t>依托现有项目</w:t>
                  </w:r>
                  <w:r>
                    <w:rPr>
                      <w:rFonts w:hint="eastAsia"/>
                      <w:lang w:eastAsia="zh-CN"/>
                    </w:rPr>
                    <w:t>。</w:t>
                  </w:r>
                  <w:r>
                    <w:t>用水由商河县经济开发区自来水公司供给</w:t>
                  </w:r>
                </w:p>
                <w:p>
                  <w:pPr>
                    <w:pStyle w:val="16"/>
                    <w:ind w:left="0" w:leftChars="0" w:firstLine="0" w:firstLineChars="0"/>
                    <w:rPr>
                      <w:rFonts w:hint="default"/>
                      <w:lang w:val="zh-CN"/>
                    </w:rPr>
                  </w:pPr>
                  <w:r>
                    <w:rPr>
                      <w:rFonts w:hint="eastAsia" w:ascii="Times New Roman" w:hAnsi="Times New Roman"/>
                      <w:bCs/>
                      <w:sz w:val="21"/>
                      <w:szCs w:val="21"/>
                    </w:rPr>
                    <w:t>依托现有项目。</w:t>
                  </w:r>
                  <w:r>
                    <w:rPr>
                      <w:rFonts w:ascii="Times New Roman" w:hAnsi="Times New Roman"/>
                      <w:bCs/>
                      <w:sz w:val="21"/>
                      <w:szCs w:val="21"/>
                    </w:rPr>
                    <w:t>采用雨污水分流制，雨水经雨水管外排，生活污水排入园</w:t>
                  </w:r>
                  <w:r>
                    <w:rPr>
                      <w:rFonts w:ascii="Times New Roman" w:hAnsi="Times New Roman"/>
                      <w:bCs/>
                      <w:sz w:val="21"/>
                      <w:szCs w:val="21"/>
                    </w:rPr>
                    <w:cr/>
                  </w:r>
                  <w:r>
                    <w:rPr>
                      <w:rFonts w:ascii="Times New Roman" w:hAnsi="Times New Roman"/>
                      <w:bCs/>
                      <w:sz w:val="21"/>
                      <w:szCs w:val="21"/>
                    </w:rPr>
                    <w:t>污水管网进入商河县经济开发区污水处理厂处理达标后统一排放</w:t>
                  </w:r>
                </w:p>
              </w:tc>
              <w:tc>
                <w:tcPr>
                  <w:tcW w:w="2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SimSun" w:cs="Times New Roman"/>
                      <w:color w:val="auto"/>
                      <w:sz w:val="21"/>
                      <w:szCs w:val="21"/>
                      <w:lang w:eastAsia="zh-CN"/>
                    </w:rPr>
                  </w:pPr>
                  <w:r>
                    <w:rPr>
                      <w:rFonts w:hint="eastAsia" w:ascii="Times New Roman" w:hAnsi="Times New Roman" w:eastAsia="SimSun" w:cs="Times New Roman"/>
                      <w:color w:val="auto"/>
                      <w:sz w:val="21"/>
                      <w:szCs w:val="21"/>
                      <w:lang w:eastAsia="zh-CN"/>
                    </w:rPr>
                    <w:t>同环评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428" w:hRule="atLeast"/>
                <w:jc w:val="center"/>
              </w:trPr>
              <w:tc>
                <w:tcPr>
                  <w:tcW w:w="6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SimSun" w:cs="Times New Roman"/>
                      <w:b/>
                      <w:bCs/>
                      <w:snapToGrid w:val="0"/>
                      <w:color w:val="0070C0"/>
                      <w:sz w:val="21"/>
                      <w:szCs w:val="21"/>
                      <w:lang w:val="zh-CN"/>
                    </w:rPr>
                  </w:pP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SimSun" w:cs="Times New Roman"/>
                      <w:snapToGrid w:val="0"/>
                      <w:color w:val="auto"/>
                      <w:sz w:val="21"/>
                      <w:szCs w:val="21"/>
                      <w:lang w:val="zh-CN"/>
                    </w:rPr>
                  </w:pPr>
                  <w:r>
                    <w:rPr>
                      <w:rFonts w:hint="default" w:ascii="Times New Roman" w:hAnsi="Times New Roman" w:eastAsia="SimSun" w:cs="Times New Roman"/>
                      <w:snapToGrid w:val="0"/>
                      <w:color w:val="auto"/>
                      <w:sz w:val="21"/>
                      <w:szCs w:val="21"/>
                      <w:lang w:val="zh-CN"/>
                    </w:rPr>
                    <w:t>供电</w:t>
                  </w:r>
                </w:p>
              </w:tc>
              <w:tc>
                <w:tcPr>
                  <w:tcW w:w="51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SimSun" w:cs="Times New Roman"/>
                      <w:bCs/>
                      <w:color w:val="auto"/>
                      <w:sz w:val="21"/>
                      <w:szCs w:val="21"/>
                      <w:lang w:val="zh-CN"/>
                    </w:rPr>
                  </w:pPr>
                  <w:r>
                    <w:rPr>
                      <w:rFonts w:hint="eastAsia" w:ascii="Times New Roman" w:hAnsi="Times New Roman"/>
                      <w:bCs/>
                      <w:sz w:val="21"/>
                      <w:szCs w:val="21"/>
                    </w:rPr>
                    <w:t>依托现有项目，</w:t>
                  </w:r>
                  <w:r>
                    <w:rPr>
                      <w:rFonts w:ascii="Times New Roman" w:hAnsi="Times New Roman"/>
                      <w:bCs/>
                      <w:sz w:val="21"/>
                      <w:szCs w:val="21"/>
                    </w:rPr>
                    <w:t>由商河县经济开发区</w:t>
                  </w:r>
                  <w:r>
                    <w:rPr>
                      <w:rFonts w:hint="eastAsia" w:ascii="Times New Roman" w:hAnsi="Times New Roman"/>
                      <w:bCs/>
                      <w:sz w:val="21"/>
                      <w:szCs w:val="21"/>
                    </w:rPr>
                    <w:t>供</w:t>
                  </w:r>
                  <w:r>
                    <w:rPr>
                      <w:rFonts w:ascii="Times New Roman" w:hAnsi="Times New Roman"/>
                      <w:bCs/>
                      <w:sz w:val="21"/>
                      <w:szCs w:val="21"/>
                    </w:rPr>
                    <w:t>电站供电</w:t>
                  </w:r>
                </w:p>
              </w:tc>
              <w:tc>
                <w:tcPr>
                  <w:tcW w:w="21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SimSu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90" w:hRule="atLeast"/>
                <w:jc w:val="center"/>
              </w:trPr>
              <w:tc>
                <w:tcPr>
                  <w:tcW w:w="65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SimSun" w:cs="Times New Roman"/>
                      <w:b/>
                      <w:bCs/>
                      <w:snapToGrid w:val="0"/>
                      <w:color w:val="000000"/>
                      <w:sz w:val="21"/>
                      <w:szCs w:val="21"/>
                      <w:highlight w:val="yellow"/>
                      <w:lang w:val="zh-CN"/>
                    </w:rPr>
                  </w:pPr>
                  <w:r>
                    <w:rPr>
                      <w:rFonts w:hint="default" w:ascii="Times New Roman" w:hAnsi="Times New Roman" w:eastAsia="SimSun" w:cs="Times New Roman"/>
                      <w:b/>
                      <w:bCs/>
                      <w:snapToGrid w:val="0"/>
                      <w:color w:val="000000"/>
                      <w:sz w:val="21"/>
                      <w:szCs w:val="21"/>
                      <w:lang w:val="zh-CN"/>
                    </w:rPr>
                    <w:t>环保工程</w:t>
                  </w: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SimSun" w:cs="Times New Roman"/>
                      <w:snapToGrid w:val="0"/>
                      <w:color w:val="000000"/>
                      <w:sz w:val="21"/>
                      <w:szCs w:val="21"/>
                      <w:lang w:val="zh-CN"/>
                    </w:rPr>
                  </w:pPr>
                  <w:r>
                    <w:rPr>
                      <w:rFonts w:hint="default" w:ascii="Times New Roman" w:hAnsi="Times New Roman" w:eastAsia="SimSun" w:cs="Times New Roman"/>
                      <w:snapToGrid w:val="0"/>
                      <w:color w:val="000000"/>
                      <w:sz w:val="21"/>
                      <w:szCs w:val="21"/>
                      <w:lang w:val="zh-CN"/>
                    </w:rPr>
                    <w:t>废气</w:t>
                  </w:r>
                </w:p>
              </w:tc>
              <w:tc>
                <w:tcPr>
                  <w:tcW w:w="5118" w:type="dxa"/>
                  <w:tcBorders>
                    <w:tl2br w:val="nil"/>
                    <w:tr2bl w:val="nil"/>
                  </w:tcBorders>
                  <w:vAlign w:val="center"/>
                </w:tcPr>
                <w:p>
                  <w:pPr>
                    <w:keepNext w:val="0"/>
                    <w:keepLines w:val="0"/>
                    <w:pageBreakBefore w:val="0"/>
                    <w:widowControl w:val="0"/>
                    <w:tabs>
                      <w:tab w:val="left" w:pos="6000"/>
                    </w:tabs>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eastAsia="SimSun" w:cs="Times New Roman"/>
                      <w:bCs/>
                      <w:color w:val="auto"/>
                      <w:sz w:val="21"/>
                      <w:szCs w:val="21"/>
                      <w:lang w:val="zh-CN"/>
                    </w:rPr>
                  </w:pPr>
                  <w:r>
                    <w:rPr>
                      <w:rFonts w:hint="eastAsia" w:ascii="Times New Roman" w:hAnsi="Times New Roman"/>
                      <w:bCs/>
                      <w:sz w:val="21"/>
                      <w:szCs w:val="21"/>
                    </w:rPr>
                    <w:t>扩建项目与现有项目共用环保设施和排气筒。口服液生产中产生的有机废气和粉尘</w:t>
                  </w:r>
                  <w:r>
                    <w:rPr>
                      <w:rFonts w:hint="eastAsia" w:ascii="Times New Roman" w:hAnsi="Times New Roman"/>
                      <w:bCs/>
                      <w:sz w:val="21"/>
                      <w:szCs w:val="21"/>
                      <w:lang w:val="en-US" w:eastAsia="zh-CN"/>
                    </w:rPr>
                    <w:t>+</w:t>
                  </w:r>
                  <w:r>
                    <w:rPr>
                      <w:rFonts w:hint="eastAsia" w:ascii="Times New Roman" w:hAnsi="Times New Roman"/>
                      <w:bCs/>
                      <w:sz w:val="21"/>
                      <w:szCs w:val="21"/>
                    </w:rPr>
                    <w:t>片剂生产中称量、混合、整粒、压片产生的粉尘</w:t>
                  </w:r>
                  <w:r>
                    <w:rPr>
                      <w:rFonts w:hint="eastAsia" w:ascii="Times New Roman" w:hAnsi="Times New Roman"/>
                      <w:bCs/>
                      <w:sz w:val="21"/>
                      <w:szCs w:val="21"/>
                      <w:lang w:val="en-US" w:eastAsia="zh-CN"/>
                    </w:rPr>
                    <w:t>+</w:t>
                  </w:r>
                  <w:r>
                    <w:rPr>
                      <w:rFonts w:hint="eastAsia" w:ascii="Times New Roman" w:hAnsi="Times New Roman"/>
                      <w:bCs/>
                      <w:sz w:val="21"/>
                      <w:szCs w:val="21"/>
                    </w:rPr>
                    <w:t>化验室产生的有机废气收集后经</w:t>
                  </w:r>
                  <w:r>
                    <w:rPr>
                      <w:rFonts w:ascii="Times New Roman" w:hAnsi="Times New Roman"/>
                      <w:bCs/>
                      <w:sz w:val="21"/>
                      <w:szCs w:val="21"/>
                    </w:rPr>
                    <w:t>高效</w:t>
                  </w:r>
                  <w:r>
                    <w:rPr>
                      <w:rFonts w:hint="eastAsia" w:ascii="Times New Roman" w:hAnsi="Times New Roman"/>
                      <w:bCs/>
                      <w:sz w:val="21"/>
                      <w:szCs w:val="21"/>
                    </w:rPr>
                    <w:t>布袋除尘器+光氧催化+活性炭吸附处理后通过1#15m高排气筒排放。</w:t>
                  </w:r>
                </w:p>
              </w:tc>
              <w:tc>
                <w:tcPr>
                  <w:tcW w:w="2149" w:type="dxa"/>
                  <w:tcBorders>
                    <w:tl2br w:val="nil"/>
                    <w:tr2bl w:val="nil"/>
                  </w:tcBorders>
                  <w:vAlign w:val="center"/>
                </w:tcPr>
                <w:p>
                  <w:pPr>
                    <w:keepNext w:val="0"/>
                    <w:keepLines w:val="0"/>
                    <w:pageBreakBefore w:val="0"/>
                    <w:widowControl w:val="0"/>
                    <w:tabs>
                      <w:tab w:val="left" w:pos="60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SimSun" w:cs="Times New Roman"/>
                      <w:color w:val="auto"/>
                      <w:sz w:val="21"/>
                      <w:szCs w:val="21"/>
                      <w:highlight w:val="none"/>
                      <w:lang w:val="fr-FR" w:eastAsia="zh-CN"/>
                    </w:rPr>
                  </w:pPr>
                  <w:r>
                    <w:rPr>
                      <w:rFonts w:hint="eastAsia" w:ascii="Times New Roman" w:hAnsi="Times New Roman"/>
                      <w:bCs/>
                      <w:sz w:val="21"/>
                      <w:szCs w:val="21"/>
                    </w:rPr>
                    <w:t>环保设施已有，新增集气罩</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6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SimSun" w:cs="Times New Roman"/>
                      <w:snapToGrid w:val="0"/>
                      <w:color w:val="000000"/>
                      <w:sz w:val="21"/>
                      <w:szCs w:val="21"/>
                      <w:highlight w:val="yellow"/>
                      <w:lang w:val="zh-CN"/>
                    </w:rPr>
                  </w:pP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SimSun" w:cs="Times New Roman"/>
                      <w:snapToGrid w:val="0"/>
                      <w:color w:val="000000"/>
                      <w:sz w:val="21"/>
                      <w:szCs w:val="21"/>
                      <w:lang w:val="zh-CN"/>
                    </w:rPr>
                  </w:pPr>
                  <w:r>
                    <w:rPr>
                      <w:rFonts w:hint="default" w:ascii="Times New Roman" w:hAnsi="Times New Roman" w:eastAsia="SimSun" w:cs="Times New Roman"/>
                      <w:snapToGrid w:val="0"/>
                      <w:color w:val="000000"/>
                      <w:sz w:val="21"/>
                      <w:szCs w:val="21"/>
                      <w:lang w:val="zh-CN"/>
                    </w:rPr>
                    <w:t>噪声控制措施</w:t>
                  </w:r>
                </w:p>
              </w:tc>
              <w:tc>
                <w:tcPr>
                  <w:tcW w:w="5118"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default" w:ascii="Times New Roman" w:hAnsi="Times New Roman" w:eastAsia="SimSun" w:cs="Times New Roman"/>
                      <w:bCs/>
                      <w:color w:val="auto"/>
                      <w:sz w:val="21"/>
                      <w:szCs w:val="21"/>
                      <w:lang w:val="zh-CN"/>
                    </w:rPr>
                  </w:pPr>
                  <w:r>
                    <w:rPr>
                      <w:rFonts w:hint="default" w:ascii="Times New Roman" w:hAnsi="Times New Roman" w:eastAsia="SimSun" w:cs="Times New Roman"/>
                      <w:snapToGrid w:val="0"/>
                      <w:color w:val="auto"/>
                      <w:sz w:val="21"/>
                      <w:szCs w:val="21"/>
                      <w:lang w:val="zh-CN"/>
                    </w:rPr>
                    <w:t>基础减振、隔声、消声等控噪措施</w:t>
                  </w:r>
                </w:p>
              </w:tc>
              <w:tc>
                <w:tcPr>
                  <w:tcW w:w="2149"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default" w:ascii="Times New Roman" w:hAnsi="Times New Roman" w:eastAsia="SimSun" w:cs="Times New Roman"/>
                      <w:snapToGrid w:val="0"/>
                      <w:color w:val="auto"/>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Ex>
              <w:trPr>
                <w:trHeight w:val="397" w:hRule="atLeast"/>
                <w:jc w:val="center"/>
              </w:trPr>
              <w:tc>
                <w:tcPr>
                  <w:tcW w:w="6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SimSun" w:cs="Times New Roman"/>
                      <w:snapToGrid w:val="0"/>
                      <w:color w:val="000000"/>
                      <w:sz w:val="21"/>
                      <w:szCs w:val="21"/>
                      <w:highlight w:val="yellow"/>
                      <w:lang w:val="zh-CN"/>
                    </w:rPr>
                  </w:pPr>
                </w:p>
              </w:tc>
              <w:tc>
                <w:tcPr>
                  <w:tcW w:w="10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SimSun" w:cs="Times New Roman"/>
                      <w:snapToGrid w:val="0"/>
                      <w:color w:val="000000"/>
                      <w:sz w:val="21"/>
                      <w:szCs w:val="21"/>
                      <w:lang w:val="zh-CN"/>
                    </w:rPr>
                  </w:pPr>
                  <w:r>
                    <w:rPr>
                      <w:rFonts w:hint="default" w:ascii="Times New Roman" w:hAnsi="Times New Roman" w:eastAsia="SimSun" w:cs="Times New Roman"/>
                      <w:color w:val="000000"/>
                      <w:sz w:val="21"/>
                      <w:szCs w:val="21"/>
                    </w:rPr>
                    <w:t>固废处理</w:t>
                  </w:r>
                </w:p>
              </w:tc>
              <w:tc>
                <w:tcPr>
                  <w:tcW w:w="511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right="69" w:rightChars="33"/>
                    <w:jc w:val="left"/>
                    <w:textAlignment w:val="auto"/>
                    <w:rPr>
                      <w:rFonts w:hint="default" w:ascii="Times New Roman" w:hAnsi="Times New Roman" w:eastAsia="SimSun" w:cs="Times New Roman"/>
                      <w:snapToGrid w:val="0"/>
                      <w:color w:val="auto"/>
                      <w:sz w:val="21"/>
                      <w:szCs w:val="21"/>
                      <w:lang w:val="zh-CN"/>
                    </w:rPr>
                  </w:pPr>
                  <w:r>
                    <w:rPr>
                      <w:rFonts w:hint="eastAsia" w:ascii="Times New Roman" w:hAnsi="Times New Roman"/>
                      <w:bCs/>
                      <w:sz w:val="21"/>
                      <w:szCs w:val="21"/>
                    </w:rPr>
                    <w:t>不合格品</w:t>
                  </w:r>
                  <w:r>
                    <w:rPr>
                      <w:rFonts w:hint="eastAsia" w:ascii="Times New Roman" w:hAnsi="Times New Roman"/>
                      <w:bCs/>
                      <w:sz w:val="21"/>
                      <w:szCs w:val="21"/>
                      <w:lang w:eastAsia="zh-CN"/>
                    </w:rPr>
                    <w:t>经化验室化验后返回车间重新调配</w:t>
                  </w:r>
                  <w:r>
                    <w:rPr>
                      <w:rFonts w:hint="eastAsia" w:ascii="Times New Roman" w:hAnsi="Times New Roman"/>
                      <w:bCs/>
                      <w:sz w:val="21"/>
                      <w:szCs w:val="21"/>
                    </w:rPr>
                    <w:t>、布袋除尘器收集的粉尘</w:t>
                  </w:r>
                  <w:r>
                    <w:rPr>
                      <w:rFonts w:hint="eastAsia" w:ascii="Times New Roman" w:hAnsi="Times New Roman"/>
                      <w:bCs/>
                      <w:sz w:val="21"/>
                      <w:szCs w:val="21"/>
                      <w:lang w:eastAsia="zh-CN"/>
                    </w:rPr>
                    <w:t>作为原料循环利用；纯水制备过程产生的废活性炭</w:t>
                  </w:r>
                  <w:r>
                    <w:rPr>
                      <w:rFonts w:hint="eastAsia" w:ascii="Times New Roman" w:hAnsi="Times New Roman"/>
                      <w:bCs/>
                      <w:sz w:val="21"/>
                      <w:szCs w:val="21"/>
                    </w:rPr>
                    <w:t>不属于危险废物，由环卫部门清运处置</w:t>
                  </w:r>
                  <w:r>
                    <w:rPr>
                      <w:rFonts w:hint="eastAsia" w:ascii="Times New Roman" w:hAnsi="Times New Roman"/>
                      <w:bCs/>
                      <w:sz w:val="21"/>
                      <w:szCs w:val="21"/>
                      <w:lang w:eastAsia="zh-CN"/>
                    </w:rPr>
                    <w:t>，废反渗透膜、</w:t>
                  </w:r>
                  <w:r>
                    <w:rPr>
                      <w:rFonts w:hint="eastAsia" w:ascii="Times New Roman" w:hAnsi="Times New Roman"/>
                      <w:bCs/>
                      <w:sz w:val="21"/>
                      <w:szCs w:val="21"/>
                    </w:rPr>
                    <w:t>原辅料废包装物、</w:t>
                  </w:r>
                  <w:r>
                    <w:rPr>
                      <w:rFonts w:hint="eastAsia" w:ascii="Times New Roman" w:hAnsi="Times New Roman"/>
                      <w:bCs/>
                      <w:sz w:val="21"/>
                      <w:szCs w:val="21"/>
                      <w:lang w:eastAsia="zh-CN"/>
                    </w:rPr>
                    <w:t>废气处理产生的</w:t>
                  </w:r>
                  <w:r>
                    <w:rPr>
                      <w:rFonts w:hint="eastAsia" w:ascii="Times New Roman" w:hAnsi="Times New Roman"/>
                      <w:bCs/>
                      <w:sz w:val="21"/>
                      <w:szCs w:val="21"/>
                    </w:rPr>
                    <w:t>废活性炭、废灯管、化验室废液均属于危险废物，依托现有项目危废</w:t>
                  </w:r>
                  <w:r>
                    <w:rPr>
                      <w:rFonts w:ascii="Times New Roman" w:hAnsi="Times New Roman"/>
                      <w:bCs/>
                      <w:sz w:val="21"/>
                      <w:szCs w:val="21"/>
                    </w:rPr>
                    <w:t>暂存间，委托资质单位处理。</w:t>
                  </w:r>
                </w:p>
              </w:tc>
              <w:tc>
                <w:tcPr>
                  <w:tcW w:w="2149"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right="69" w:rightChars="33"/>
                    <w:jc w:val="center"/>
                    <w:textAlignment w:val="auto"/>
                    <w:rPr>
                      <w:rFonts w:hint="eastAsia" w:ascii="Times New Roman" w:hAnsi="Times New Roman" w:eastAsia="SimSun" w:cs="Times New Roman"/>
                      <w:color w:val="auto"/>
                      <w:sz w:val="21"/>
                      <w:szCs w:val="21"/>
                      <w:lang w:eastAsia="zh-CN"/>
                    </w:rPr>
                  </w:pPr>
                  <w:r>
                    <w:rPr>
                      <w:rFonts w:hint="eastAsia" w:ascii="Times New Roman" w:hAnsi="Times New Roman" w:eastAsia="SimSun" w:cs="Times New Roman"/>
                      <w:color w:val="auto"/>
                      <w:sz w:val="21"/>
                      <w:szCs w:val="21"/>
                      <w:lang w:eastAsia="zh-CN"/>
                    </w:rPr>
                    <w:t>纯水制备过程产生废离子交换树脂属于危废，</w:t>
                  </w:r>
                  <w:r>
                    <w:rPr>
                      <w:rFonts w:hint="eastAsia" w:ascii="Times New Roman" w:hAnsi="Times New Roman"/>
                      <w:bCs/>
                      <w:color w:val="auto"/>
                      <w:sz w:val="21"/>
                      <w:szCs w:val="21"/>
                    </w:rPr>
                    <w:t>依托现有项目危废</w:t>
                  </w:r>
                  <w:r>
                    <w:rPr>
                      <w:rFonts w:ascii="Times New Roman" w:hAnsi="Times New Roman"/>
                      <w:bCs/>
                      <w:color w:val="auto"/>
                      <w:sz w:val="21"/>
                      <w:szCs w:val="21"/>
                    </w:rPr>
                    <w:t>暂存间，委托资质单位处理。</w:t>
                  </w:r>
                </w:p>
              </w:tc>
            </w:tr>
          </w:tbl>
          <w:p>
            <w:pPr>
              <w:tabs>
                <w:tab w:val="left" w:pos="3578"/>
                <w:tab w:val="center" w:pos="4860"/>
              </w:tabs>
              <w:spacing w:beforeLines="50" w:line="360" w:lineRule="auto"/>
              <w:jc w:val="center"/>
              <w:rPr>
                <w:rFonts w:hint="eastAsia" w:ascii="Times New Roman" w:hAnsi="Times New Roman" w:cs="Times New Roman"/>
                <w:b/>
                <w:bCs/>
                <w:sz w:val="24"/>
                <w:szCs w:val="24"/>
                <w:lang w:val="en-US" w:eastAsia="zh-CN"/>
              </w:rPr>
            </w:pPr>
          </w:p>
          <w:p>
            <w:pPr>
              <w:tabs>
                <w:tab w:val="left" w:pos="3578"/>
                <w:tab w:val="center" w:pos="4860"/>
              </w:tabs>
              <w:spacing w:beforeLines="50" w:line="360" w:lineRule="auto"/>
              <w:jc w:val="center"/>
              <w:rPr>
                <w:rFonts w:hint="eastAsia" w:eastAsiaTheme="minorEastAsia"/>
                <w:b/>
                <w:bCs/>
                <w:sz w:val="24"/>
                <w:szCs w:val="24"/>
                <w:lang w:eastAsia="zh-CN"/>
              </w:rPr>
            </w:pPr>
            <w:r>
              <w:rPr>
                <w:rFonts w:hint="eastAsia" w:ascii="Times New Roman" w:hAnsi="Times New Roman" w:cs="Times New Roman"/>
                <w:b/>
                <w:bCs/>
                <w:sz w:val="24"/>
                <w:szCs w:val="24"/>
                <w:lang w:val="en-US" w:eastAsia="zh-CN"/>
              </w:rPr>
              <w:t>表</w:t>
            </w:r>
            <w:r>
              <w:rPr>
                <w:rFonts w:hint="default" w:ascii="Times New Roman" w:hAnsi="Times New Roman" w:cs="Times New Roman"/>
                <w:b/>
                <w:bCs/>
                <w:sz w:val="24"/>
                <w:szCs w:val="24"/>
              </w:rPr>
              <w:t xml:space="preserve">2-2 </w:t>
            </w:r>
            <w:r>
              <w:rPr>
                <w:b/>
                <w:bCs/>
                <w:sz w:val="24"/>
                <w:szCs w:val="24"/>
              </w:rPr>
              <w:t>主要生产设备一览表</w:t>
            </w:r>
            <w:r>
              <w:rPr>
                <w:rFonts w:hint="eastAsia"/>
                <w:b/>
                <w:bCs/>
                <w:sz w:val="24"/>
                <w:szCs w:val="24"/>
                <w:lang w:eastAsia="zh-CN"/>
              </w:rPr>
              <w:t>（一期）</w:t>
            </w:r>
          </w:p>
          <w:tbl>
            <w:tblPr>
              <w:tblStyle w:val="28"/>
              <w:tblW w:w="9038" w:type="dxa"/>
              <w:tblInd w:w="190" w:type="dxa"/>
              <w:tblLayout w:type="fixed"/>
              <w:tblCellMar>
                <w:top w:w="0" w:type="dxa"/>
                <w:left w:w="108" w:type="dxa"/>
                <w:bottom w:w="0" w:type="dxa"/>
                <w:right w:w="108" w:type="dxa"/>
              </w:tblCellMar>
            </w:tblPr>
            <w:tblGrid>
              <w:gridCol w:w="780"/>
              <w:gridCol w:w="1193"/>
              <w:gridCol w:w="1695"/>
              <w:gridCol w:w="1350"/>
              <w:gridCol w:w="1905"/>
              <w:gridCol w:w="2115"/>
            </w:tblGrid>
            <w:tr>
              <w:tblPrEx>
                <w:tblLayout w:type="fixed"/>
                <w:tblCellMar>
                  <w:top w:w="0" w:type="dxa"/>
                  <w:left w:w="108" w:type="dxa"/>
                  <w:bottom w:w="0" w:type="dxa"/>
                  <w:right w:w="108" w:type="dxa"/>
                </w:tblCellMar>
              </w:tblPrEx>
              <w:trPr>
                <w:trHeight w:val="285" w:hRule="atLeast"/>
              </w:trPr>
              <w:tc>
                <w:tcPr>
                  <w:tcW w:w="7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序号</w:t>
                  </w:r>
                </w:p>
              </w:tc>
              <w:tc>
                <w:tcPr>
                  <w:tcW w:w="1193" w:type="dxa"/>
                  <w:tcBorders>
                    <w:top w:val="single" w:color="auto" w:sz="4" w:space="0"/>
                    <w:left w:val="nil"/>
                    <w:bottom w:val="single" w:color="auto" w:sz="4" w:space="0"/>
                    <w:right w:val="single" w:color="auto" w:sz="4" w:space="0"/>
                  </w:tcBorders>
                  <w:vAlign w:val="center"/>
                </w:tcPr>
                <w:p>
                  <w:pPr>
                    <w:widowControl/>
                    <w:jc w:val="center"/>
                    <w:rPr>
                      <w:rFonts w:hint="eastAsia" w:ascii="SimSun" w:hAnsi="SimSun" w:cs="SimSun"/>
                      <w:color w:val="auto"/>
                      <w:kern w:val="0"/>
                      <w:szCs w:val="21"/>
                    </w:rPr>
                  </w:pPr>
                  <w:r>
                    <w:rPr>
                      <w:rFonts w:hint="eastAsia" w:ascii="SimSun" w:hAnsi="SimSun" w:cs="SimSun"/>
                      <w:color w:val="auto"/>
                      <w:kern w:val="0"/>
                      <w:szCs w:val="21"/>
                    </w:rPr>
                    <w:t>产品</w:t>
                  </w:r>
                </w:p>
                <w:p>
                  <w:pPr>
                    <w:widowControl/>
                    <w:jc w:val="center"/>
                    <w:rPr>
                      <w:rFonts w:ascii="SimSun" w:hAnsi="SimSun" w:cs="SimSun"/>
                      <w:color w:val="auto"/>
                      <w:kern w:val="0"/>
                      <w:szCs w:val="21"/>
                    </w:rPr>
                  </w:pPr>
                  <w:r>
                    <w:rPr>
                      <w:rFonts w:hint="eastAsia" w:ascii="SimSun" w:hAnsi="SimSun" w:cs="SimSun"/>
                      <w:color w:val="auto"/>
                      <w:kern w:val="0"/>
                      <w:szCs w:val="21"/>
                    </w:rPr>
                    <w:t>名称</w:t>
                  </w:r>
                </w:p>
              </w:tc>
              <w:tc>
                <w:tcPr>
                  <w:tcW w:w="1695" w:type="dxa"/>
                  <w:tcBorders>
                    <w:top w:val="single" w:color="auto" w:sz="4" w:space="0"/>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设备名称</w:t>
                  </w:r>
                </w:p>
              </w:tc>
              <w:tc>
                <w:tcPr>
                  <w:tcW w:w="1350" w:type="dxa"/>
                  <w:tcBorders>
                    <w:top w:val="single" w:color="auto" w:sz="4" w:space="0"/>
                    <w:left w:val="nil"/>
                    <w:bottom w:val="single" w:color="auto" w:sz="4" w:space="0"/>
                    <w:right w:val="single" w:color="auto" w:sz="4" w:space="0"/>
                  </w:tcBorders>
                  <w:vAlign w:val="center"/>
                </w:tcPr>
                <w:p>
                  <w:pPr>
                    <w:widowControl/>
                    <w:jc w:val="left"/>
                    <w:rPr>
                      <w:rFonts w:hint="eastAsia" w:ascii="SimSun" w:hAnsi="SimSun" w:cs="SimSun"/>
                      <w:color w:val="auto"/>
                      <w:kern w:val="0"/>
                      <w:szCs w:val="21"/>
                      <w:lang w:eastAsia="zh-CN"/>
                    </w:rPr>
                  </w:pPr>
                  <w:r>
                    <w:rPr>
                      <w:rFonts w:hint="eastAsia" w:ascii="SimSun" w:hAnsi="SimSun" w:cs="SimSun"/>
                      <w:color w:val="auto"/>
                      <w:kern w:val="0"/>
                      <w:szCs w:val="21"/>
                      <w:lang w:eastAsia="zh-CN"/>
                    </w:rPr>
                    <w:t>环评数量</w:t>
                  </w:r>
                </w:p>
                <w:p>
                  <w:pPr>
                    <w:widowControl/>
                    <w:jc w:val="left"/>
                    <w:rPr>
                      <w:rFonts w:hint="default" w:ascii="SimSun" w:hAnsi="SimSun" w:cs="SimSun" w:eastAsiaTheme="minorEastAsia"/>
                      <w:color w:val="auto"/>
                      <w:kern w:val="0"/>
                      <w:szCs w:val="21"/>
                      <w:lang w:val="en-US" w:eastAsia="zh-CN"/>
                    </w:rPr>
                  </w:pPr>
                  <w:r>
                    <w:rPr>
                      <w:rFonts w:hint="eastAsia" w:ascii="SimSun" w:hAnsi="SimSun" w:cs="SimSun"/>
                      <w:color w:val="auto"/>
                      <w:kern w:val="0"/>
                      <w:szCs w:val="21"/>
                      <w:lang w:eastAsia="zh-CN"/>
                    </w:rPr>
                    <w:t>台</w:t>
                  </w:r>
                  <w:r>
                    <w:rPr>
                      <w:rFonts w:hint="eastAsia" w:ascii="SimSun" w:hAnsi="SimSun" w:cs="SimSun"/>
                      <w:color w:val="auto"/>
                      <w:kern w:val="0"/>
                      <w:szCs w:val="21"/>
                      <w:lang w:val="en-US" w:eastAsia="zh-CN"/>
                    </w:rPr>
                    <w:t>/套</w:t>
                  </w:r>
                </w:p>
              </w:tc>
              <w:tc>
                <w:tcPr>
                  <w:tcW w:w="1905" w:type="dxa"/>
                  <w:tcBorders>
                    <w:top w:val="single" w:color="auto" w:sz="4" w:space="0"/>
                    <w:left w:val="nil"/>
                    <w:bottom w:val="single" w:color="auto" w:sz="4" w:space="0"/>
                    <w:right w:val="single" w:color="auto" w:sz="4" w:space="0"/>
                  </w:tcBorders>
                  <w:vAlign w:val="center"/>
                </w:tcPr>
                <w:p>
                  <w:pPr>
                    <w:widowControl/>
                    <w:jc w:val="center"/>
                    <w:rPr>
                      <w:rFonts w:hint="eastAsia"/>
                      <w:color w:val="auto"/>
                      <w:lang w:eastAsia="zh-CN"/>
                    </w:rPr>
                  </w:pPr>
                  <w:r>
                    <w:rPr>
                      <w:rFonts w:hint="eastAsia"/>
                      <w:color w:val="auto"/>
                      <w:lang w:eastAsia="zh-CN"/>
                    </w:rPr>
                    <w:t>一期建设</w:t>
                  </w:r>
                </w:p>
                <w:p>
                  <w:pPr>
                    <w:widowControl/>
                    <w:jc w:val="center"/>
                    <w:rPr>
                      <w:rFonts w:hint="default"/>
                      <w:color w:val="auto"/>
                      <w:lang w:val="en-US" w:eastAsia="zh-CN"/>
                    </w:rPr>
                  </w:pPr>
                  <w:r>
                    <w:rPr>
                      <w:rFonts w:hint="eastAsia"/>
                      <w:color w:val="auto"/>
                      <w:lang w:eastAsia="zh-CN"/>
                    </w:rPr>
                    <w:t>数量</w:t>
                  </w:r>
                </w:p>
              </w:tc>
              <w:tc>
                <w:tcPr>
                  <w:tcW w:w="2115" w:type="dxa"/>
                  <w:tcBorders>
                    <w:top w:val="single" w:color="auto" w:sz="4" w:space="0"/>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eastAsia="zh-CN"/>
                    </w:rPr>
                  </w:pPr>
                  <w:r>
                    <w:rPr>
                      <w:rFonts w:hint="eastAsia" w:ascii="SimSun" w:hAnsi="SimSun" w:cs="SimSun"/>
                      <w:color w:val="auto"/>
                      <w:kern w:val="0"/>
                      <w:szCs w:val="21"/>
                      <w:lang w:eastAsia="zh-CN"/>
                    </w:rPr>
                    <w:t>变更情况</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1</w:t>
                  </w:r>
                </w:p>
              </w:tc>
              <w:tc>
                <w:tcPr>
                  <w:tcW w:w="1193" w:type="dxa"/>
                  <w:vMerge w:val="restart"/>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片剂</w:t>
                  </w: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混合机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1</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eastAsia="zh-CN"/>
                    </w:rPr>
                  </w:pPr>
                  <w:r>
                    <w:rPr>
                      <w:rFonts w:hint="eastAsia" w:ascii="SimSun" w:hAnsi="SimSun" w:cs="SimSun"/>
                      <w:color w:val="auto"/>
                      <w:kern w:val="0"/>
                      <w:szCs w:val="21"/>
                      <w:lang w:eastAsia="zh-CN"/>
                    </w:rPr>
                    <w:t>少一台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颗粒机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1</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color w:val="auto"/>
                      <w:kern w:val="0"/>
                      <w:szCs w:val="21"/>
                    </w:rPr>
                  </w:pPr>
                  <w:r>
                    <w:rPr>
                      <w:rFonts w:hint="eastAsia" w:ascii="SimSun" w:hAnsi="SimSun" w:cs="SimSun"/>
                      <w:color w:val="auto"/>
                      <w:kern w:val="0"/>
                      <w:szCs w:val="21"/>
                      <w:lang w:eastAsia="zh-CN"/>
                    </w:rPr>
                    <w:t>少一台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3</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压片机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1</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color w:val="auto"/>
                      <w:kern w:val="0"/>
                      <w:szCs w:val="21"/>
                    </w:rPr>
                  </w:pPr>
                  <w:r>
                    <w:rPr>
                      <w:rFonts w:hint="eastAsia" w:ascii="SimSun" w:hAnsi="SimSun" w:cs="SimSun"/>
                      <w:color w:val="auto"/>
                      <w:kern w:val="0"/>
                      <w:szCs w:val="21"/>
                      <w:lang w:eastAsia="zh-CN"/>
                    </w:rPr>
                    <w:t>少一台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4</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包衣机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1</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color w:val="auto"/>
                      <w:kern w:val="0"/>
                      <w:szCs w:val="21"/>
                    </w:rPr>
                  </w:pPr>
                  <w:r>
                    <w:rPr>
                      <w:rFonts w:hint="eastAsia" w:ascii="SimSun" w:hAnsi="SimSun" w:cs="SimSun"/>
                      <w:color w:val="auto"/>
                      <w:kern w:val="0"/>
                      <w:szCs w:val="21"/>
                      <w:lang w:eastAsia="zh-CN"/>
                    </w:rPr>
                    <w:t>少一台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5</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包装机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1</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color w:val="auto"/>
                      <w:kern w:val="0"/>
                      <w:szCs w:val="21"/>
                    </w:rPr>
                  </w:pPr>
                  <w:r>
                    <w:rPr>
                      <w:rFonts w:hint="eastAsia" w:ascii="SimSun" w:hAnsi="SimSun" w:cs="SimSun"/>
                      <w:color w:val="auto"/>
                      <w:kern w:val="0"/>
                      <w:szCs w:val="21"/>
                      <w:lang w:eastAsia="zh-CN"/>
                    </w:rPr>
                    <w:t>少一台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6</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整粒机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1</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color w:val="auto"/>
                      <w:kern w:val="0"/>
                      <w:szCs w:val="21"/>
                    </w:rPr>
                  </w:pPr>
                  <w:r>
                    <w:rPr>
                      <w:rFonts w:hint="eastAsia" w:ascii="SimSun" w:hAnsi="SimSun" w:cs="SimSun"/>
                      <w:color w:val="auto"/>
                      <w:kern w:val="0"/>
                      <w:szCs w:val="21"/>
                      <w:lang w:eastAsia="zh-CN"/>
                    </w:rPr>
                    <w:t>少一台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7</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定量包装机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1</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color w:val="auto"/>
                      <w:kern w:val="0"/>
                      <w:szCs w:val="21"/>
                    </w:rPr>
                  </w:pPr>
                  <w:r>
                    <w:rPr>
                      <w:rFonts w:hint="eastAsia" w:ascii="SimSun" w:hAnsi="SimSun" w:cs="SimSun"/>
                      <w:color w:val="auto"/>
                      <w:kern w:val="0"/>
                      <w:szCs w:val="21"/>
                      <w:lang w:eastAsia="zh-CN"/>
                    </w:rPr>
                    <w:t>少一台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8</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颗粒填充机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0</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eastAsia="zh-CN"/>
                    </w:rPr>
                  </w:pPr>
                  <w:r>
                    <w:rPr>
                      <w:rFonts w:hint="eastAsia" w:ascii="SimSun" w:hAnsi="SimSun" w:cs="SimSun"/>
                      <w:color w:val="auto"/>
                      <w:kern w:val="0"/>
                      <w:szCs w:val="21"/>
                      <w:lang w:eastAsia="zh-CN"/>
                    </w:rPr>
                    <w:t>少二台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9</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制浆锅</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1</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color w:val="auto"/>
                      <w:kern w:val="0"/>
                      <w:szCs w:val="21"/>
                    </w:rPr>
                  </w:pPr>
                  <w:r>
                    <w:rPr>
                      <w:rFonts w:hint="eastAsia" w:ascii="SimSun" w:hAnsi="SimSun" w:cs="SimSun"/>
                      <w:color w:val="auto"/>
                      <w:kern w:val="0"/>
                      <w:szCs w:val="21"/>
                      <w:lang w:eastAsia="zh-CN"/>
                    </w:rPr>
                    <w:t>少一台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10</w:t>
                  </w:r>
                </w:p>
              </w:tc>
              <w:tc>
                <w:tcPr>
                  <w:tcW w:w="1193" w:type="dxa"/>
                  <w:vMerge w:val="restart"/>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口服液</w:t>
                  </w: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搅拌罐</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1</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color w:val="auto"/>
                      <w:kern w:val="0"/>
                      <w:szCs w:val="21"/>
                    </w:rPr>
                  </w:pPr>
                  <w:r>
                    <w:rPr>
                      <w:rFonts w:hint="eastAsia" w:ascii="SimSun" w:hAnsi="SimSun" w:cs="SimSun"/>
                      <w:color w:val="auto"/>
                      <w:kern w:val="0"/>
                      <w:szCs w:val="21"/>
                      <w:lang w:eastAsia="zh-CN"/>
                    </w:rPr>
                    <w:t>少一台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11</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灌装机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1</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color w:val="auto"/>
                      <w:kern w:val="0"/>
                      <w:szCs w:val="21"/>
                    </w:rPr>
                  </w:pPr>
                  <w:r>
                    <w:rPr>
                      <w:rFonts w:hint="eastAsia" w:ascii="SimSun" w:hAnsi="SimSun" w:cs="SimSun"/>
                      <w:color w:val="auto"/>
                      <w:kern w:val="0"/>
                      <w:szCs w:val="21"/>
                      <w:lang w:eastAsia="zh-CN"/>
                    </w:rPr>
                    <w:t>少一台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12</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旋盖机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0</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eastAsia="zh-CN"/>
                    </w:rPr>
                  </w:pPr>
                  <w:r>
                    <w:rPr>
                      <w:rFonts w:hint="eastAsia" w:ascii="SimSun" w:hAnsi="SimSun" w:cs="SimSun"/>
                      <w:color w:val="auto"/>
                      <w:kern w:val="0"/>
                      <w:szCs w:val="21"/>
                      <w:lang w:eastAsia="zh-CN"/>
                    </w:rPr>
                    <w:t>少二台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13</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贴标机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4</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0</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eastAsia="zh-CN"/>
                    </w:rPr>
                  </w:pPr>
                  <w:r>
                    <w:rPr>
                      <w:rFonts w:hint="eastAsia" w:ascii="SimSun" w:hAnsi="SimSun" w:cs="SimSun"/>
                      <w:color w:val="auto"/>
                      <w:kern w:val="0"/>
                      <w:szCs w:val="21"/>
                      <w:lang w:eastAsia="zh-CN"/>
                    </w:rPr>
                    <w:t>少四台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14</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供瓶机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0</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eastAsia="zh-CN"/>
                    </w:rPr>
                  </w:pPr>
                  <w:r>
                    <w:rPr>
                      <w:rFonts w:hint="eastAsia" w:ascii="SimSun" w:hAnsi="SimSun" w:cs="SimSun"/>
                      <w:color w:val="auto"/>
                      <w:kern w:val="0"/>
                      <w:szCs w:val="21"/>
                      <w:lang w:eastAsia="zh-CN"/>
                    </w:rPr>
                    <w:t>少二台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15</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滚筒洗瓶机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0</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eastAsia="zh-CN"/>
                    </w:rPr>
                  </w:pPr>
                  <w:r>
                    <w:rPr>
                      <w:rFonts w:hint="eastAsia" w:ascii="SimSun" w:hAnsi="SimSun" w:cs="SimSun"/>
                      <w:color w:val="auto"/>
                      <w:kern w:val="0"/>
                      <w:szCs w:val="21"/>
                      <w:lang w:eastAsia="zh-CN"/>
                    </w:rPr>
                    <w:t>少二台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16</w:t>
                  </w:r>
                </w:p>
              </w:tc>
              <w:tc>
                <w:tcPr>
                  <w:tcW w:w="1193" w:type="dxa"/>
                  <w:vMerge w:val="continue"/>
                  <w:tcBorders>
                    <w:top w:val="nil"/>
                    <w:left w:val="single" w:color="auto" w:sz="4" w:space="0"/>
                    <w:bottom w:val="single" w:color="000000" w:sz="4" w:space="0"/>
                    <w:right w:val="single" w:color="auto" w:sz="4" w:space="0"/>
                  </w:tcBorders>
                  <w:vAlign w:val="center"/>
                </w:tcPr>
                <w:p>
                  <w:pPr>
                    <w:widowControl/>
                    <w:jc w:val="center"/>
                    <w:rPr>
                      <w:rFonts w:ascii="SimSun" w:hAnsi="SimSun" w:cs="SimSun"/>
                      <w:color w:val="auto"/>
                      <w:kern w:val="0"/>
                      <w:szCs w:val="21"/>
                    </w:rPr>
                  </w:pP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4泵灌装轧盖机</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2</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0</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eastAsia="zh-CN"/>
                    </w:rPr>
                  </w:pPr>
                  <w:r>
                    <w:rPr>
                      <w:rFonts w:hint="eastAsia" w:ascii="SimSun" w:hAnsi="SimSun" w:cs="SimSun"/>
                      <w:color w:val="auto"/>
                      <w:kern w:val="0"/>
                      <w:szCs w:val="21"/>
                      <w:lang w:eastAsia="zh-CN"/>
                    </w:rPr>
                    <w:t>少二台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17</w:t>
                  </w:r>
                </w:p>
              </w:tc>
              <w:tc>
                <w:tcPr>
                  <w:tcW w:w="1193"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消毒剂</w:t>
                  </w: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搅拌罐</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4</w:t>
                  </w:r>
                </w:p>
              </w:tc>
              <w:tc>
                <w:tcPr>
                  <w:tcW w:w="1905" w:type="dxa"/>
                  <w:tcBorders>
                    <w:top w:val="nil"/>
                    <w:left w:val="nil"/>
                    <w:bottom w:val="single" w:color="auto" w:sz="4" w:space="0"/>
                    <w:right w:val="single" w:color="auto" w:sz="4" w:space="0"/>
                  </w:tcBorders>
                  <w:vAlign w:val="center"/>
                </w:tcPr>
                <w:p>
                  <w:pPr>
                    <w:widowControl/>
                    <w:jc w:val="center"/>
                    <w:rPr>
                      <w:rFonts w:hint="default"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0</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eastAsia="zh-CN"/>
                    </w:rPr>
                  </w:pPr>
                  <w:r>
                    <w:rPr>
                      <w:rFonts w:hint="eastAsia" w:ascii="SimSun" w:hAnsi="SimSun" w:cs="SimSun"/>
                      <w:color w:val="auto"/>
                      <w:kern w:val="0"/>
                      <w:szCs w:val="21"/>
                      <w:lang w:eastAsia="zh-CN"/>
                    </w:rPr>
                    <w:t>少四台</w:t>
                  </w:r>
                </w:p>
              </w:tc>
            </w:tr>
            <w:tr>
              <w:tblPrEx>
                <w:tblLayout w:type="fixed"/>
                <w:tblCellMar>
                  <w:top w:w="0" w:type="dxa"/>
                  <w:left w:w="108" w:type="dxa"/>
                  <w:bottom w:w="0" w:type="dxa"/>
                  <w:right w:w="108" w:type="dxa"/>
                </w:tblCellMar>
              </w:tblPrEx>
              <w:trPr>
                <w:trHeight w:val="285" w:hRule="atLeast"/>
              </w:trPr>
              <w:tc>
                <w:tcPr>
                  <w:tcW w:w="780" w:type="dxa"/>
                  <w:tcBorders>
                    <w:top w:val="nil"/>
                    <w:left w:val="single" w:color="auto" w:sz="4" w:space="0"/>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18</w:t>
                  </w:r>
                </w:p>
              </w:tc>
              <w:tc>
                <w:tcPr>
                  <w:tcW w:w="1193"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制水间</w:t>
                  </w:r>
                </w:p>
              </w:tc>
              <w:tc>
                <w:tcPr>
                  <w:tcW w:w="1695"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制水设备</w:t>
                  </w:r>
                </w:p>
              </w:tc>
              <w:tc>
                <w:tcPr>
                  <w:tcW w:w="1350" w:type="dxa"/>
                  <w:tcBorders>
                    <w:top w:val="nil"/>
                    <w:left w:val="nil"/>
                    <w:bottom w:val="single" w:color="auto" w:sz="4" w:space="0"/>
                    <w:right w:val="single" w:color="auto" w:sz="4" w:space="0"/>
                  </w:tcBorders>
                  <w:vAlign w:val="center"/>
                </w:tcPr>
                <w:p>
                  <w:pPr>
                    <w:widowControl/>
                    <w:jc w:val="center"/>
                    <w:rPr>
                      <w:rFonts w:ascii="SimSun" w:hAnsi="SimSun" w:cs="SimSun"/>
                      <w:color w:val="auto"/>
                      <w:kern w:val="0"/>
                      <w:szCs w:val="21"/>
                    </w:rPr>
                  </w:pPr>
                  <w:r>
                    <w:rPr>
                      <w:rFonts w:hint="eastAsia" w:ascii="SimSun" w:hAnsi="SimSun" w:cs="SimSun"/>
                      <w:color w:val="auto"/>
                      <w:kern w:val="0"/>
                      <w:szCs w:val="21"/>
                    </w:rPr>
                    <w:t>1</w:t>
                  </w:r>
                </w:p>
              </w:tc>
              <w:tc>
                <w:tcPr>
                  <w:tcW w:w="190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val="en-US" w:eastAsia="zh-CN"/>
                    </w:rPr>
                  </w:pPr>
                  <w:r>
                    <w:rPr>
                      <w:rFonts w:hint="eastAsia" w:ascii="SimSun" w:hAnsi="SimSun" w:cs="SimSun"/>
                      <w:color w:val="auto"/>
                      <w:kern w:val="0"/>
                      <w:szCs w:val="21"/>
                      <w:lang w:val="en-US" w:eastAsia="zh-CN"/>
                    </w:rPr>
                    <w:t>1</w:t>
                  </w:r>
                </w:p>
              </w:tc>
              <w:tc>
                <w:tcPr>
                  <w:tcW w:w="2115" w:type="dxa"/>
                  <w:tcBorders>
                    <w:top w:val="nil"/>
                    <w:left w:val="nil"/>
                    <w:bottom w:val="single" w:color="auto" w:sz="4" w:space="0"/>
                    <w:right w:val="single" w:color="auto" w:sz="4" w:space="0"/>
                  </w:tcBorders>
                  <w:vAlign w:val="center"/>
                </w:tcPr>
                <w:p>
                  <w:pPr>
                    <w:widowControl/>
                    <w:jc w:val="center"/>
                    <w:rPr>
                      <w:rFonts w:hint="eastAsia" w:ascii="SimSun" w:hAnsi="SimSun" w:cs="SimSun" w:eastAsiaTheme="minorEastAsia"/>
                      <w:color w:val="auto"/>
                      <w:kern w:val="0"/>
                      <w:szCs w:val="21"/>
                      <w:lang w:eastAsia="zh-CN"/>
                    </w:rPr>
                  </w:pPr>
                  <w:r>
                    <w:rPr>
                      <w:rFonts w:hint="eastAsia" w:ascii="SimSun" w:hAnsi="SimSun" w:cs="SimSun"/>
                      <w:color w:val="auto"/>
                      <w:kern w:val="0"/>
                      <w:szCs w:val="21"/>
                      <w:lang w:eastAsia="zh-CN"/>
                    </w:rPr>
                    <w:t>同环评</w:t>
                  </w:r>
                </w:p>
              </w:tc>
            </w:tr>
          </w:tbl>
          <w:p>
            <w:pPr>
              <w:pStyle w:val="16"/>
            </w:pPr>
          </w:p>
          <w:p>
            <w:pPr>
              <w:spacing w:line="360" w:lineRule="auto"/>
              <w:jc w:val="center"/>
              <w:rPr>
                <w:rFonts w:hint="eastAsia" w:eastAsiaTheme="minorEastAsia"/>
                <w:b/>
                <w:bCs/>
                <w:sz w:val="24"/>
                <w:szCs w:val="24"/>
                <w:lang w:eastAsia="zh-CN"/>
              </w:rPr>
            </w:pPr>
            <w:r>
              <w:rPr>
                <w:rFonts w:hint="eastAsia"/>
                <w:b/>
                <w:bCs/>
                <w:sz w:val="24"/>
                <w:szCs w:val="24"/>
              </w:rPr>
              <w:t>表</w:t>
            </w:r>
            <w:r>
              <w:rPr>
                <w:rFonts w:hint="default" w:ascii="Times New Roman" w:hAnsi="Times New Roman" w:cs="Times New Roman"/>
                <w:b/>
                <w:bCs/>
                <w:sz w:val="24"/>
                <w:szCs w:val="24"/>
                <w:lang w:val="en-US" w:eastAsia="zh-CN"/>
              </w:rPr>
              <w:t>2-3</w:t>
            </w:r>
            <w:r>
              <w:rPr>
                <w:rFonts w:hint="eastAsia"/>
                <w:b/>
                <w:bCs/>
                <w:sz w:val="24"/>
                <w:szCs w:val="24"/>
              </w:rPr>
              <w:t>本项目产品方案</w:t>
            </w:r>
            <w:r>
              <w:rPr>
                <w:rFonts w:hint="eastAsia"/>
                <w:b/>
                <w:bCs/>
                <w:sz w:val="24"/>
                <w:szCs w:val="24"/>
                <w:lang w:eastAsia="zh-CN"/>
              </w:rPr>
              <w:t>（一期）</w:t>
            </w:r>
          </w:p>
          <w:tbl>
            <w:tblPr>
              <w:tblStyle w:val="28"/>
              <w:tblW w:w="9745" w:type="dxa"/>
              <w:jc w:val="center"/>
              <w:tblInd w:w="-35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66"/>
              <w:gridCol w:w="2115"/>
              <w:gridCol w:w="2160"/>
              <w:gridCol w:w="1920"/>
              <w:gridCol w:w="19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atLeast"/>
                <w:jc w:val="center"/>
              </w:trPr>
              <w:tc>
                <w:tcPr>
                  <w:tcW w:w="15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heme="minorEastAsia" w:hAnsiTheme="minorEastAsia"/>
                      <w:b/>
                      <w:bCs/>
                      <w:color w:val="auto"/>
                      <w:sz w:val="21"/>
                      <w:szCs w:val="21"/>
                    </w:rPr>
                  </w:pPr>
                  <w:r>
                    <w:rPr>
                      <w:rFonts w:asciiTheme="minorEastAsia" w:hAnsiTheme="minorEastAsia"/>
                      <w:b/>
                      <w:bCs/>
                      <w:color w:val="auto"/>
                      <w:sz w:val="21"/>
                      <w:szCs w:val="21"/>
                    </w:rPr>
                    <w:t>序号</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b/>
                      <w:bCs/>
                      <w:color w:val="auto"/>
                      <w:sz w:val="21"/>
                      <w:szCs w:val="21"/>
                      <w:lang w:val="en-US" w:eastAsia="zh-CN"/>
                    </w:rPr>
                  </w:pPr>
                  <w:r>
                    <w:rPr>
                      <w:rFonts w:asciiTheme="minorEastAsia" w:hAnsiTheme="minorEastAsia"/>
                      <w:b/>
                      <w:bCs/>
                      <w:color w:val="auto"/>
                      <w:sz w:val="21"/>
                      <w:szCs w:val="21"/>
                    </w:rPr>
                    <w:t>产品</w:t>
                  </w:r>
                  <w:r>
                    <w:rPr>
                      <w:rFonts w:hint="eastAsia" w:asciiTheme="minorEastAsia" w:hAnsiTheme="minorEastAsia"/>
                      <w:b/>
                      <w:bCs/>
                      <w:color w:val="auto"/>
                      <w:sz w:val="21"/>
                      <w:szCs w:val="21"/>
                      <w:lang w:val="en-US" w:eastAsia="zh-CN"/>
                    </w:rPr>
                    <w:t>名称</w:t>
                  </w:r>
                </w:p>
              </w:tc>
              <w:tc>
                <w:tcPr>
                  <w:tcW w:w="21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rFonts w:hint="eastAsia" w:asciiTheme="minorEastAsia" w:hAnsiTheme="minorEastAsia"/>
                      <w:b/>
                      <w:bCs/>
                      <w:color w:val="auto"/>
                      <w:sz w:val="21"/>
                      <w:szCs w:val="21"/>
                      <w:lang w:val="en-US" w:eastAsia="zh-CN"/>
                    </w:rPr>
                    <w:t>单位</w:t>
                  </w:r>
                </w:p>
              </w:tc>
              <w:tc>
                <w:tcPr>
                  <w:tcW w:w="1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b/>
                      <w:bCs/>
                      <w:color w:val="auto"/>
                      <w:sz w:val="21"/>
                      <w:szCs w:val="21"/>
                      <w:lang w:val="en-US" w:eastAsia="zh-CN"/>
                    </w:rPr>
                  </w:pPr>
                  <w:r>
                    <w:rPr>
                      <w:rFonts w:hint="eastAsia" w:asciiTheme="minorEastAsia" w:hAnsiTheme="minorEastAsia"/>
                      <w:b/>
                      <w:bCs/>
                      <w:color w:val="auto"/>
                      <w:sz w:val="21"/>
                      <w:szCs w:val="21"/>
                      <w:lang w:val="en-US" w:eastAsia="zh-CN"/>
                    </w:rPr>
                    <w:t>数量/年</w:t>
                  </w:r>
                </w:p>
              </w:tc>
              <w:tc>
                <w:tcPr>
                  <w:tcW w:w="19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heme="minorEastAsia" w:hAnsiTheme="minorEastAsia"/>
                      <w:b/>
                      <w:bCs/>
                      <w:color w:val="auto"/>
                      <w:sz w:val="21"/>
                      <w:szCs w:val="21"/>
                      <w:lang w:val="en-US" w:eastAsia="zh-CN"/>
                    </w:rPr>
                  </w:pPr>
                  <w:r>
                    <w:rPr>
                      <w:rFonts w:hint="eastAsia" w:asciiTheme="minorEastAsia" w:hAnsiTheme="minorEastAsia"/>
                      <w:b/>
                      <w:bCs/>
                      <w:color w:val="auto"/>
                      <w:sz w:val="21"/>
                      <w:szCs w:val="21"/>
                      <w:lang w:val="en-US" w:eastAsia="zh-CN"/>
                    </w:rPr>
                    <w:t>实际数量/年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jc w:val="center"/>
              </w:trPr>
              <w:tc>
                <w:tcPr>
                  <w:tcW w:w="15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heme="minorEastAsia" w:hAnsiTheme="minorEastAsia" w:eastAsiaTheme="minorEastAsia"/>
                      <w:color w:val="auto"/>
                      <w:sz w:val="21"/>
                      <w:szCs w:val="21"/>
                      <w:lang w:val="en-US" w:eastAsia="zh-CN"/>
                    </w:rPr>
                  </w:pPr>
                  <w:r>
                    <w:rPr>
                      <w:rFonts w:hint="eastAsia"/>
                      <w:bCs/>
                      <w:color w:val="auto"/>
                      <w:sz w:val="24"/>
                    </w:rPr>
                    <w:t>片</w:t>
                  </w:r>
                  <w:r>
                    <w:rPr>
                      <w:bCs/>
                      <w:color w:val="auto"/>
                      <w:sz w:val="24"/>
                    </w:rPr>
                    <w:t>剂</w:t>
                  </w:r>
                </w:p>
              </w:tc>
              <w:tc>
                <w:tcPr>
                  <w:tcW w:w="21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Theme="minorEastAsia"/>
                      <w:color w:val="auto"/>
                      <w:sz w:val="21"/>
                      <w:szCs w:val="21"/>
                      <w:lang w:val="en-US" w:eastAsia="zh-CN"/>
                    </w:rPr>
                  </w:pPr>
                  <w:r>
                    <w:rPr>
                      <w:rFonts w:hint="eastAsia"/>
                      <w:color w:val="auto"/>
                      <w:sz w:val="21"/>
                      <w:szCs w:val="21"/>
                      <w:lang w:val="en-US" w:eastAsia="zh-CN"/>
                    </w:rPr>
                    <w:t>吨</w:t>
                  </w:r>
                </w:p>
              </w:tc>
              <w:tc>
                <w:tcPr>
                  <w:tcW w:w="1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10/年</w:t>
                  </w:r>
                </w:p>
              </w:tc>
              <w:tc>
                <w:tcPr>
                  <w:tcW w:w="19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jc w:val="center"/>
              </w:trPr>
              <w:tc>
                <w:tcPr>
                  <w:tcW w:w="15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21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color w:val="auto"/>
                      <w:sz w:val="21"/>
                      <w:szCs w:val="21"/>
                      <w:lang w:val="en-US" w:eastAsia="zh-CN"/>
                    </w:rPr>
                  </w:pPr>
                  <w:r>
                    <w:rPr>
                      <w:rFonts w:hint="eastAsia"/>
                      <w:bCs/>
                      <w:color w:val="auto"/>
                      <w:sz w:val="24"/>
                    </w:rPr>
                    <w:t>口服液</w:t>
                  </w:r>
                </w:p>
              </w:tc>
              <w:tc>
                <w:tcPr>
                  <w:tcW w:w="21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吨</w:t>
                  </w:r>
                </w:p>
              </w:tc>
              <w:tc>
                <w:tcPr>
                  <w:tcW w:w="1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200/年</w:t>
                  </w:r>
                </w:p>
              </w:tc>
              <w:tc>
                <w:tcPr>
                  <w:tcW w:w="19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100/年</w:t>
                  </w:r>
                </w:p>
              </w:tc>
            </w:tr>
          </w:tbl>
          <w:p>
            <w:pPr>
              <w:spacing w:beforeLines="20" w:line="360" w:lineRule="auto"/>
              <w:jc w:val="center"/>
              <w:rPr>
                <w:rFonts w:hint="eastAsia" w:eastAsiaTheme="minorEastAsia"/>
                <w:b/>
                <w:bCs/>
                <w:sz w:val="24"/>
                <w:szCs w:val="24"/>
                <w:lang w:eastAsia="zh-CN"/>
              </w:rPr>
            </w:pPr>
            <w:r>
              <w:rPr>
                <w:rFonts w:hint="eastAsia"/>
                <w:b/>
                <w:bCs/>
                <w:sz w:val="24"/>
                <w:szCs w:val="24"/>
              </w:rPr>
              <w:t>表</w:t>
            </w:r>
            <w:r>
              <w:rPr>
                <w:rFonts w:hint="default" w:ascii="Times New Roman" w:hAnsi="Times New Roman" w:cs="Times New Roman"/>
                <w:b/>
                <w:bCs/>
                <w:sz w:val="24"/>
                <w:szCs w:val="24"/>
              </w:rPr>
              <w:t>2-</w:t>
            </w:r>
            <w:r>
              <w:rPr>
                <w:rFonts w:hint="default" w:ascii="Times New Roman" w:hAnsi="Times New Roman" w:cs="Times New Roman"/>
                <w:b/>
                <w:bCs/>
                <w:sz w:val="24"/>
                <w:szCs w:val="24"/>
                <w:lang w:val="en-US" w:eastAsia="zh-CN"/>
              </w:rPr>
              <w:t>4</w:t>
            </w:r>
            <w:r>
              <w:rPr>
                <w:rFonts w:hint="eastAsia"/>
                <w:b/>
                <w:bCs/>
                <w:sz w:val="24"/>
                <w:szCs w:val="24"/>
              </w:rPr>
              <w:t>本项目环保投资一览表</w:t>
            </w:r>
            <w:r>
              <w:rPr>
                <w:rFonts w:hint="eastAsia"/>
                <w:b/>
                <w:bCs/>
                <w:sz w:val="24"/>
                <w:szCs w:val="24"/>
                <w:lang w:eastAsia="zh-CN"/>
              </w:rPr>
              <w:t>（一期）</w:t>
            </w:r>
          </w:p>
          <w:p>
            <w:pPr>
              <w:pStyle w:val="2"/>
              <w:rPr>
                <w:rFonts w:hint="eastAsia"/>
              </w:rPr>
            </w:pPr>
          </w:p>
          <w:tbl>
            <w:tblPr>
              <w:tblStyle w:val="28"/>
              <w:tblW w:w="9592" w:type="dxa"/>
              <w:jc w:val="center"/>
              <w:tblInd w:w="-1115"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931"/>
              <w:gridCol w:w="2337"/>
              <w:gridCol w:w="3446"/>
              <w:gridCol w:w="1439"/>
              <w:gridCol w:w="143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Ex>
              <w:trPr>
                <w:trHeight w:val="395" w:hRule="atLeast"/>
                <w:tblHeader/>
                <w:jc w:val="center"/>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SimSun" w:cs="Times New Roman"/>
                      <w:snapToGrid w:val="0"/>
                      <w:color w:val="auto"/>
                      <w:kern w:val="18"/>
                      <w:sz w:val="21"/>
                      <w:szCs w:val="21"/>
                      <w:lang w:eastAsia="zh-CN"/>
                    </w:rPr>
                  </w:pPr>
                  <w:r>
                    <w:rPr>
                      <w:rFonts w:hint="eastAsia" w:ascii="Times New Roman" w:hAnsi="Times New Roman" w:eastAsia="SimSun" w:cs="Times New Roman"/>
                      <w:snapToGrid w:val="0"/>
                      <w:color w:val="auto"/>
                      <w:kern w:val="18"/>
                      <w:sz w:val="21"/>
                      <w:szCs w:val="21"/>
                      <w:lang w:eastAsia="zh-CN"/>
                    </w:rPr>
                    <w:t>序号</w:t>
                  </w:r>
                </w:p>
              </w:tc>
              <w:tc>
                <w:tcPr>
                  <w:tcW w:w="2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SimSun" w:cs="Times New Roman"/>
                      <w:snapToGrid w:val="0"/>
                      <w:color w:val="auto"/>
                      <w:kern w:val="18"/>
                      <w:sz w:val="21"/>
                      <w:szCs w:val="21"/>
                    </w:rPr>
                  </w:pPr>
                  <w:r>
                    <w:rPr>
                      <w:rFonts w:hint="default" w:ascii="Times New Roman" w:hAnsi="Times New Roman" w:eastAsia="SimSun" w:cs="Times New Roman"/>
                      <w:snapToGrid w:val="0"/>
                      <w:color w:val="auto"/>
                      <w:kern w:val="18"/>
                      <w:sz w:val="21"/>
                      <w:szCs w:val="21"/>
                    </w:rPr>
                    <w:t>污染源</w:t>
                  </w:r>
                </w:p>
              </w:tc>
              <w:tc>
                <w:tcPr>
                  <w:tcW w:w="34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SimSun" w:cs="Times New Roman"/>
                      <w:snapToGrid w:val="0"/>
                      <w:color w:val="auto"/>
                      <w:kern w:val="18"/>
                      <w:sz w:val="21"/>
                      <w:szCs w:val="21"/>
                      <w:lang w:eastAsia="zh-CN"/>
                    </w:rPr>
                  </w:pPr>
                  <w:r>
                    <w:rPr>
                      <w:rFonts w:hint="default" w:ascii="Times New Roman" w:hAnsi="Times New Roman" w:eastAsia="SimSun" w:cs="Times New Roman"/>
                      <w:snapToGrid w:val="0"/>
                      <w:color w:val="auto"/>
                      <w:kern w:val="18"/>
                      <w:sz w:val="21"/>
                      <w:szCs w:val="21"/>
                    </w:rPr>
                    <w:t>环保</w:t>
                  </w:r>
                  <w:r>
                    <w:rPr>
                      <w:rFonts w:hint="eastAsia" w:ascii="Times New Roman" w:hAnsi="Times New Roman" w:eastAsia="SimSun" w:cs="Times New Roman"/>
                      <w:snapToGrid w:val="0"/>
                      <w:color w:val="auto"/>
                      <w:kern w:val="18"/>
                      <w:sz w:val="21"/>
                      <w:szCs w:val="21"/>
                      <w:lang w:eastAsia="zh-CN"/>
                    </w:rPr>
                    <w:t>设备名称</w:t>
                  </w:r>
                </w:p>
              </w:tc>
              <w:tc>
                <w:tcPr>
                  <w:tcW w:w="1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SimSun" w:cs="Times New Roman"/>
                      <w:snapToGrid w:val="0"/>
                      <w:color w:val="auto"/>
                      <w:kern w:val="18"/>
                      <w:sz w:val="21"/>
                      <w:szCs w:val="21"/>
                    </w:rPr>
                  </w:pPr>
                  <w:r>
                    <w:rPr>
                      <w:b/>
                      <w:szCs w:val="21"/>
                    </w:rPr>
                    <w:t>新增环</w:t>
                  </w:r>
                  <w:r>
                    <w:rPr>
                      <w:rFonts w:hint="eastAsia"/>
                      <w:b/>
                      <w:szCs w:val="21"/>
                    </w:rPr>
                    <w:t>保</w:t>
                  </w:r>
                  <w:r>
                    <w:rPr>
                      <w:b/>
                      <w:szCs w:val="21"/>
                    </w:rPr>
                    <w:t>投资（万元）</w:t>
                  </w:r>
                </w:p>
              </w:tc>
              <w:tc>
                <w:tcPr>
                  <w:tcW w:w="1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SimSun" w:cs="Times New Roman"/>
                      <w:snapToGrid w:val="0"/>
                      <w:color w:val="auto"/>
                      <w:kern w:val="18"/>
                      <w:sz w:val="21"/>
                      <w:szCs w:val="21"/>
                    </w:rPr>
                  </w:pPr>
                  <w:r>
                    <w:rPr>
                      <w:b/>
                      <w:szCs w:val="21"/>
                    </w:rPr>
                    <w:t>建设进度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Ex>
              <w:trPr>
                <w:trHeight w:val="425" w:hRule="atLeast"/>
                <w:jc w:val="center"/>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SimSun" w:cs="Times New Roman"/>
                      <w:snapToGrid w:val="0"/>
                      <w:color w:val="auto"/>
                      <w:kern w:val="18"/>
                      <w:sz w:val="21"/>
                      <w:szCs w:val="21"/>
                      <w:lang w:val="en-US" w:eastAsia="zh-CN"/>
                    </w:rPr>
                  </w:pPr>
                  <w:r>
                    <w:rPr>
                      <w:rFonts w:hint="eastAsia" w:ascii="Times New Roman" w:hAnsi="Times New Roman" w:eastAsia="SimSun" w:cs="Times New Roman"/>
                      <w:snapToGrid w:val="0"/>
                      <w:color w:val="auto"/>
                      <w:kern w:val="18"/>
                      <w:sz w:val="21"/>
                      <w:szCs w:val="21"/>
                      <w:lang w:val="en-US" w:eastAsia="zh-CN"/>
                    </w:rPr>
                    <w:t>1</w:t>
                  </w:r>
                </w:p>
              </w:tc>
              <w:tc>
                <w:tcPr>
                  <w:tcW w:w="2337" w:type="dxa"/>
                  <w:tcBorders>
                    <w:tl2br w:val="nil"/>
                    <w:tr2bl w:val="nil"/>
                  </w:tcBorders>
                  <w:vAlign w:val="center"/>
                </w:tcPr>
                <w:p>
                  <w:pPr>
                    <w:spacing w:line="0" w:lineRule="atLeast"/>
                    <w:jc w:val="center"/>
                    <w:textAlignment w:val="baseline"/>
                    <w:rPr>
                      <w:rFonts w:hint="default" w:ascii="Times New Roman" w:hAnsi="Times New Roman" w:eastAsia="SimSun" w:cs="Times New Roman"/>
                      <w:snapToGrid w:val="0"/>
                      <w:color w:val="auto"/>
                      <w:kern w:val="18"/>
                      <w:sz w:val="21"/>
                      <w:szCs w:val="21"/>
                    </w:rPr>
                  </w:pPr>
                  <w:r>
                    <w:rPr>
                      <w:szCs w:val="21"/>
                    </w:rPr>
                    <w:t>废气</w:t>
                  </w:r>
                </w:p>
              </w:tc>
              <w:tc>
                <w:tcPr>
                  <w:tcW w:w="3446" w:type="dxa"/>
                  <w:tcBorders>
                    <w:tl2br w:val="nil"/>
                    <w:tr2bl w:val="nil"/>
                  </w:tcBorders>
                  <w:vAlign w:val="center"/>
                </w:tcPr>
                <w:p>
                  <w:pPr>
                    <w:spacing w:line="0" w:lineRule="atLeast"/>
                    <w:jc w:val="center"/>
                    <w:textAlignment w:val="baseline"/>
                    <w:rPr>
                      <w:szCs w:val="21"/>
                    </w:rPr>
                  </w:pPr>
                  <w:r>
                    <w:rPr>
                      <w:rFonts w:hint="eastAsia"/>
                      <w:szCs w:val="21"/>
                    </w:rPr>
                    <w:t>一车间</w:t>
                  </w:r>
                  <w:r>
                    <w:rPr>
                      <w:szCs w:val="21"/>
                    </w:rPr>
                    <w:t>：集气罩+布袋除尘器+UV光解+活性炭吸附</w:t>
                  </w:r>
                </w:p>
                <w:p>
                  <w:pPr>
                    <w:spacing w:line="0" w:lineRule="atLeast"/>
                    <w:jc w:val="center"/>
                    <w:textAlignment w:val="baseline"/>
                    <w:rPr>
                      <w:rFonts w:hint="default" w:ascii="Times New Roman" w:hAnsi="Times New Roman" w:eastAsia="SimSun" w:cs="Times New Roman"/>
                      <w:snapToGrid w:val="0"/>
                      <w:color w:val="auto"/>
                      <w:kern w:val="18"/>
                      <w:sz w:val="21"/>
                      <w:szCs w:val="21"/>
                    </w:rPr>
                  </w:pPr>
                  <w:r>
                    <w:rPr>
                      <w:rFonts w:hint="eastAsia"/>
                      <w:szCs w:val="21"/>
                    </w:rPr>
                    <w:t>二车间</w:t>
                  </w:r>
                  <w:r>
                    <w:rPr>
                      <w:szCs w:val="21"/>
                    </w:rPr>
                    <w:t>：布袋除尘器</w:t>
                  </w:r>
                </w:p>
              </w:tc>
              <w:tc>
                <w:tcPr>
                  <w:tcW w:w="1439" w:type="dxa"/>
                  <w:tcBorders>
                    <w:tl2br w:val="nil"/>
                    <w:tr2bl w:val="nil"/>
                  </w:tcBorders>
                  <w:vAlign w:val="center"/>
                </w:tcPr>
                <w:p>
                  <w:pPr>
                    <w:spacing w:line="0" w:lineRule="atLeast"/>
                    <w:jc w:val="center"/>
                    <w:textAlignment w:val="baseline"/>
                    <w:rPr>
                      <w:rFonts w:hint="default" w:ascii="Times New Roman" w:hAnsi="Times New Roman" w:eastAsia="SimSun" w:cs="Times New Roman"/>
                      <w:snapToGrid w:val="0"/>
                      <w:color w:val="auto"/>
                      <w:kern w:val="18"/>
                      <w:sz w:val="21"/>
                      <w:szCs w:val="21"/>
                    </w:rPr>
                  </w:pPr>
                  <w:r>
                    <w:rPr>
                      <w:szCs w:val="21"/>
                    </w:rPr>
                    <w:t>新</w:t>
                  </w:r>
                  <w:r>
                    <w:rPr>
                      <w:rFonts w:hint="eastAsia"/>
                      <w:szCs w:val="21"/>
                    </w:rPr>
                    <w:t>增活性炭吸附装置及</w:t>
                  </w:r>
                  <w:r>
                    <w:rPr>
                      <w:szCs w:val="21"/>
                    </w:rPr>
                    <w:t>集</w:t>
                  </w:r>
                  <w:r>
                    <w:rPr>
                      <w:rFonts w:hint="eastAsia"/>
                      <w:szCs w:val="21"/>
                    </w:rPr>
                    <w:t>气</w:t>
                  </w:r>
                  <w:r>
                    <w:rPr>
                      <w:szCs w:val="21"/>
                    </w:rPr>
                    <w:t>罩投资</w:t>
                  </w:r>
                  <w:r>
                    <w:rPr>
                      <w:rFonts w:hint="eastAsia"/>
                      <w:szCs w:val="21"/>
                      <w:lang w:val="en-US" w:eastAsia="zh-CN"/>
                    </w:rPr>
                    <w:t>2</w:t>
                  </w:r>
                  <w:r>
                    <w:rPr>
                      <w:szCs w:val="21"/>
                    </w:rPr>
                    <w:t>万元</w:t>
                  </w:r>
                </w:p>
              </w:tc>
              <w:tc>
                <w:tcPr>
                  <w:tcW w:w="143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SimSun" w:cs="Times New Roman"/>
                      <w:snapToGrid w:val="0"/>
                      <w:color w:val="auto"/>
                      <w:kern w:val="18"/>
                      <w:sz w:val="21"/>
                      <w:szCs w:val="21"/>
                    </w:rPr>
                  </w:pPr>
                  <w:r>
                    <w:rPr>
                      <w:szCs w:val="21"/>
                    </w:rPr>
                    <w:t>依托现有项目，各环保设备均已投入使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Ex>
              <w:trPr>
                <w:trHeight w:val="340" w:hRule="atLeast"/>
                <w:jc w:val="center"/>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SimSun" w:cs="Times New Roman"/>
                      <w:snapToGrid w:val="0"/>
                      <w:color w:val="auto"/>
                      <w:kern w:val="18"/>
                      <w:sz w:val="21"/>
                      <w:szCs w:val="21"/>
                      <w:lang w:val="en-US" w:eastAsia="zh-CN"/>
                    </w:rPr>
                  </w:pPr>
                  <w:r>
                    <w:rPr>
                      <w:rFonts w:hint="eastAsia" w:ascii="Times New Roman" w:hAnsi="Times New Roman" w:eastAsia="SimSun" w:cs="Times New Roman"/>
                      <w:snapToGrid w:val="0"/>
                      <w:color w:val="auto"/>
                      <w:kern w:val="18"/>
                      <w:sz w:val="21"/>
                      <w:szCs w:val="21"/>
                      <w:lang w:val="en-US" w:eastAsia="zh-CN"/>
                    </w:rPr>
                    <w:t>2</w:t>
                  </w:r>
                </w:p>
              </w:tc>
              <w:tc>
                <w:tcPr>
                  <w:tcW w:w="2337" w:type="dxa"/>
                  <w:tcBorders>
                    <w:tl2br w:val="nil"/>
                    <w:tr2bl w:val="nil"/>
                  </w:tcBorders>
                  <w:vAlign w:val="center"/>
                </w:tcPr>
                <w:p>
                  <w:pPr>
                    <w:spacing w:line="0" w:lineRule="atLeast"/>
                    <w:jc w:val="center"/>
                    <w:textAlignment w:val="baseline"/>
                    <w:rPr>
                      <w:rFonts w:hint="default" w:ascii="Times New Roman" w:hAnsi="Times New Roman" w:eastAsia="SimSun" w:cs="Times New Roman"/>
                      <w:snapToGrid w:val="0"/>
                      <w:color w:val="auto"/>
                      <w:kern w:val="18"/>
                      <w:sz w:val="21"/>
                      <w:szCs w:val="21"/>
                    </w:rPr>
                  </w:pPr>
                  <w:r>
                    <w:rPr>
                      <w:szCs w:val="21"/>
                    </w:rPr>
                    <w:t>废水</w:t>
                  </w:r>
                </w:p>
              </w:tc>
              <w:tc>
                <w:tcPr>
                  <w:tcW w:w="3446" w:type="dxa"/>
                  <w:tcBorders>
                    <w:tl2br w:val="nil"/>
                    <w:tr2bl w:val="nil"/>
                  </w:tcBorders>
                  <w:vAlign w:val="center"/>
                </w:tcPr>
                <w:p>
                  <w:pPr>
                    <w:spacing w:line="0" w:lineRule="atLeast"/>
                    <w:jc w:val="center"/>
                    <w:textAlignment w:val="baseline"/>
                    <w:rPr>
                      <w:rFonts w:hint="default" w:ascii="Times New Roman" w:hAnsi="Times New Roman" w:eastAsia="SimSun" w:cs="Times New Roman"/>
                      <w:snapToGrid w:val="0"/>
                      <w:color w:val="auto"/>
                      <w:kern w:val="18"/>
                      <w:sz w:val="21"/>
                      <w:szCs w:val="21"/>
                    </w:rPr>
                  </w:pPr>
                  <w:r>
                    <w:rPr>
                      <w:szCs w:val="21"/>
                    </w:rPr>
                    <w:t>污水管网</w:t>
                  </w:r>
                </w:p>
              </w:tc>
              <w:tc>
                <w:tcPr>
                  <w:tcW w:w="1439" w:type="dxa"/>
                  <w:tcBorders>
                    <w:tl2br w:val="nil"/>
                    <w:tr2bl w:val="nil"/>
                  </w:tcBorders>
                  <w:vAlign w:val="center"/>
                </w:tcPr>
                <w:p>
                  <w:pPr>
                    <w:spacing w:line="0" w:lineRule="atLeast"/>
                    <w:jc w:val="center"/>
                    <w:textAlignment w:val="baseline"/>
                    <w:rPr>
                      <w:rFonts w:hint="default" w:ascii="Times New Roman" w:hAnsi="Times New Roman" w:eastAsia="SimSun" w:cs="Times New Roman"/>
                      <w:snapToGrid w:val="0"/>
                      <w:color w:val="auto"/>
                      <w:kern w:val="18"/>
                      <w:sz w:val="21"/>
                      <w:szCs w:val="21"/>
                    </w:rPr>
                  </w:pPr>
                  <w:r>
                    <w:rPr>
                      <w:szCs w:val="21"/>
                    </w:rPr>
                    <w:t>/</w:t>
                  </w:r>
                </w:p>
              </w:tc>
              <w:tc>
                <w:tcPr>
                  <w:tcW w:w="143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SimSun" w:cs="Times New Roman"/>
                      <w:snapToGrid w:val="0"/>
                      <w:color w:val="auto"/>
                      <w:kern w:val="18"/>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Ex>
              <w:trPr>
                <w:trHeight w:val="340" w:hRule="atLeast"/>
                <w:jc w:val="center"/>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SimSun" w:cs="Times New Roman"/>
                      <w:color w:val="auto"/>
                      <w:sz w:val="21"/>
                      <w:szCs w:val="21"/>
                      <w:lang w:val="en-US" w:eastAsia="zh-CN"/>
                    </w:rPr>
                  </w:pPr>
                  <w:r>
                    <w:rPr>
                      <w:rFonts w:hint="eastAsia" w:ascii="Times New Roman" w:hAnsi="Times New Roman" w:eastAsia="SimSun" w:cs="Times New Roman"/>
                      <w:color w:val="auto"/>
                      <w:sz w:val="21"/>
                      <w:szCs w:val="21"/>
                      <w:lang w:val="en-US" w:eastAsia="zh-CN"/>
                    </w:rPr>
                    <w:t>3</w:t>
                  </w:r>
                </w:p>
              </w:tc>
              <w:tc>
                <w:tcPr>
                  <w:tcW w:w="2337" w:type="dxa"/>
                  <w:tcBorders>
                    <w:tl2br w:val="nil"/>
                    <w:tr2bl w:val="nil"/>
                  </w:tcBorders>
                  <w:vAlign w:val="center"/>
                </w:tcPr>
                <w:p>
                  <w:pPr>
                    <w:spacing w:line="0" w:lineRule="atLeast"/>
                    <w:jc w:val="center"/>
                    <w:textAlignment w:val="baseline"/>
                    <w:rPr>
                      <w:rFonts w:hint="default" w:ascii="Times New Roman" w:hAnsi="Times New Roman" w:eastAsia="SimSun" w:cs="Times New Roman"/>
                      <w:color w:val="auto"/>
                      <w:sz w:val="21"/>
                      <w:szCs w:val="21"/>
                    </w:rPr>
                  </w:pPr>
                  <w:r>
                    <w:rPr>
                      <w:szCs w:val="21"/>
                    </w:rPr>
                    <w:t>噪声</w:t>
                  </w:r>
                </w:p>
              </w:tc>
              <w:tc>
                <w:tcPr>
                  <w:tcW w:w="3446" w:type="dxa"/>
                  <w:tcBorders>
                    <w:tl2br w:val="nil"/>
                    <w:tr2bl w:val="nil"/>
                  </w:tcBorders>
                  <w:vAlign w:val="center"/>
                </w:tcPr>
                <w:p>
                  <w:pPr>
                    <w:spacing w:line="0" w:lineRule="atLeast"/>
                    <w:jc w:val="center"/>
                    <w:textAlignment w:val="baseline"/>
                    <w:rPr>
                      <w:rFonts w:hint="default" w:ascii="Times New Roman" w:hAnsi="Times New Roman" w:eastAsia="SimSun" w:cs="Times New Roman"/>
                      <w:snapToGrid w:val="0"/>
                      <w:color w:val="auto"/>
                      <w:kern w:val="18"/>
                      <w:sz w:val="21"/>
                      <w:szCs w:val="21"/>
                    </w:rPr>
                  </w:pPr>
                  <w:r>
                    <w:rPr>
                      <w:szCs w:val="21"/>
                    </w:rPr>
                    <w:t>隔</w:t>
                  </w:r>
                  <w:r>
                    <w:rPr>
                      <w:rFonts w:hint="eastAsia"/>
                      <w:szCs w:val="21"/>
                    </w:rPr>
                    <w:t>声</w:t>
                  </w:r>
                  <w:r>
                    <w:rPr>
                      <w:szCs w:val="21"/>
                    </w:rPr>
                    <w:t>、减震等设施</w:t>
                  </w:r>
                </w:p>
              </w:tc>
              <w:tc>
                <w:tcPr>
                  <w:tcW w:w="1439" w:type="dxa"/>
                  <w:tcBorders>
                    <w:tl2br w:val="nil"/>
                    <w:tr2bl w:val="nil"/>
                  </w:tcBorders>
                  <w:vAlign w:val="top"/>
                </w:tcPr>
                <w:p>
                  <w:pPr>
                    <w:spacing w:line="0" w:lineRule="atLeast"/>
                    <w:jc w:val="center"/>
                    <w:textAlignment w:val="baseline"/>
                    <w:rPr>
                      <w:rFonts w:hint="default" w:ascii="Times New Roman" w:hAnsi="Times New Roman" w:eastAsia="SimSun" w:cs="Times New Roman"/>
                      <w:snapToGrid w:val="0"/>
                      <w:color w:val="auto"/>
                      <w:kern w:val="18"/>
                      <w:sz w:val="21"/>
                      <w:szCs w:val="21"/>
                    </w:rPr>
                  </w:pPr>
                  <w:r>
                    <w:rPr>
                      <w:szCs w:val="21"/>
                    </w:rPr>
                    <w:t>/</w:t>
                  </w:r>
                </w:p>
              </w:tc>
              <w:tc>
                <w:tcPr>
                  <w:tcW w:w="143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SimSun" w:cs="Times New Roman"/>
                      <w:snapToGrid w:val="0"/>
                      <w:color w:val="auto"/>
                      <w:kern w:val="18"/>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Ex>
              <w:trPr>
                <w:trHeight w:val="340" w:hRule="atLeast"/>
                <w:jc w:val="center"/>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SimSun" w:cs="Times New Roman"/>
                      <w:color w:val="auto"/>
                      <w:sz w:val="21"/>
                      <w:szCs w:val="21"/>
                      <w:lang w:val="en-US" w:eastAsia="zh-CN"/>
                    </w:rPr>
                  </w:pPr>
                  <w:r>
                    <w:rPr>
                      <w:rFonts w:hint="eastAsia" w:ascii="Times New Roman" w:hAnsi="Times New Roman" w:eastAsia="SimSun" w:cs="Times New Roman"/>
                      <w:color w:val="auto"/>
                      <w:sz w:val="21"/>
                      <w:szCs w:val="21"/>
                      <w:lang w:val="en-US" w:eastAsia="zh-CN"/>
                    </w:rPr>
                    <w:t>4</w:t>
                  </w:r>
                </w:p>
              </w:tc>
              <w:tc>
                <w:tcPr>
                  <w:tcW w:w="2337" w:type="dxa"/>
                  <w:tcBorders>
                    <w:tl2br w:val="nil"/>
                    <w:tr2bl w:val="nil"/>
                  </w:tcBorders>
                  <w:vAlign w:val="center"/>
                </w:tcPr>
                <w:p>
                  <w:pPr>
                    <w:spacing w:line="0" w:lineRule="atLeast"/>
                    <w:jc w:val="center"/>
                    <w:textAlignment w:val="baseline"/>
                    <w:rPr>
                      <w:rFonts w:hint="default" w:ascii="Times New Roman" w:hAnsi="Times New Roman" w:eastAsia="SimSun" w:cs="Times New Roman"/>
                      <w:color w:val="auto"/>
                      <w:sz w:val="21"/>
                      <w:szCs w:val="21"/>
                    </w:rPr>
                  </w:pPr>
                  <w:r>
                    <w:rPr>
                      <w:szCs w:val="21"/>
                    </w:rPr>
                    <w:t>固废</w:t>
                  </w:r>
                </w:p>
              </w:tc>
              <w:tc>
                <w:tcPr>
                  <w:tcW w:w="3446" w:type="dxa"/>
                  <w:tcBorders>
                    <w:tl2br w:val="nil"/>
                    <w:tr2bl w:val="nil"/>
                  </w:tcBorders>
                  <w:vAlign w:val="center"/>
                </w:tcPr>
                <w:p>
                  <w:pPr>
                    <w:spacing w:line="0" w:lineRule="atLeast"/>
                    <w:jc w:val="center"/>
                    <w:textAlignment w:val="baseline"/>
                    <w:rPr>
                      <w:rFonts w:hint="default" w:ascii="Times New Roman" w:hAnsi="Times New Roman" w:eastAsia="SimSun" w:cs="Times New Roman"/>
                      <w:snapToGrid w:val="0"/>
                      <w:color w:val="auto"/>
                      <w:kern w:val="18"/>
                      <w:sz w:val="21"/>
                      <w:szCs w:val="21"/>
                    </w:rPr>
                  </w:pPr>
                  <w:r>
                    <w:rPr>
                      <w:rFonts w:hint="eastAsia"/>
                      <w:bCs/>
                      <w:szCs w:val="21"/>
                    </w:rPr>
                    <w:t>新增危废处置</w:t>
                  </w:r>
                </w:p>
              </w:tc>
              <w:tc>
                <w:tcPr>
                  <w:tcW w:w="1439" w:type="dxa"/>
                  <w:tcBorders>
                    <w:tl2br w:val="nil"/>
                    <w:tr2bl w:val="nil"/>
                  </w:tcBorders>
                  <w:vAlign w:val="center"/>
                </w:tcPr>
                <w:p>
                  <w:pPr>
                    <w:spacing w:line="0" w:lineRule="atLeast"/>
                    <w:jc w:val="center"/>
                    <w:textAlignment w:val="baseline"/>
                    <w:rPr>
                      <w:rFonts w:hint="default" w:ascii="Times New Roman" w:hAnsi="Times New Roman" w:eastAsia="SimSun" w:cs="Times New Roman"/>
                      <w:snapToGrid w:val="0"/>
                      <w:color w:val="auto"/>
                      <w:kern w:val="18"/>
                      <w:sz w:val="21"/>
                      <w:szCs w:val="21"/>
                    </w:rPr>
                  </w:pPr>
                  <w:r>
                    <w:rPr>
                      <w:rFonts w:hint="eastAsia"/>
                      <w:szCs w:val="21"/>
                    </w:rPr>
                    <w:t>1</w:t>
                  </w:r>
                </w:p>
              </w:tc>
              <w:tc>
                <w:tcPr>
                  <w:tcW w:w="143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SimSun" w:cs="Times New Roman"/>
                      <w:snapToGrid w:val="0"/>
                      <w:color w:val="auto"/>
                      <w:kern w:val="18"/>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Ex>
              <w:trPr>
                <w:trHeight w:val="340" w:hRule="atLeast"/>
                <w:jc w:val="center"/>
              </w:trPr>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SimSun" w:cs="Times New Roman"/>
                      <w:snapToGrid w:val="0"/>
                      <w:color w:val="auto"/>
                      <w:kern w:val="18"/>
                      <w:sz w:val="21"/>
                      <w:szCs w:val="21"/>
                      <w:lang w:val="en-US" w:eastAsia="zh-CN"/>
                    </w:rPr>
                  </w:pPr>
                </w:p>
              </w:tc>
              <w:tc>
                <w:tcPr>
                  <w:tcW w:w="23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SimSun" w:cs="Times New Roman"/>
                      <w:snapToGrid w:val="0"/>
                      <w:color w:val="auto"/>
                      <w:kern w:val="18"/>
                      <w:sz w:val="21"/>
                      <w:szCs w:val="21"/>
                      <w:lang w:val="en-US" w:eastAsia="zh-CN"/>
                    </w:rPr>
                  </w:pPr>
                  <w:r>
                    <w:rPr>
                      <w:rFonts w:hint="eastAsia" w:ascii="Times New Roman" w:hAnsi="Times New Roman" w:eastAsia="SimSun" w:cs="Times New Roman"/>
                      <w:snapToGrid w:val="0"/>
                      <w:color w:val="auto"/>
                      <w:kern w:val="18"/>
                      <w:sz w:val="21"/>
                      <w:szCs w:val="21"/>
                      <w:lang w:val="en-US" w:eastAsia="zh-CN"/>
                    </w:rPr>
                    <w:t>合计</w:t>
                  </w:r>
                </w:p>
              </w:tc>
              <w:tc>
                <w:tcPr>
                  <w:tcW w:w="34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SimSun" w:cs="Times New Roman"/>
                      <w:snapToGrid w:val="0"/>
                      <w:color w:val="auto"/>
                      <w:kern w:val="18"/>
                      <w:sz w:val="21"/>
                      <w:szCs w:val="21"/>
                      <w:lang w:val="en-US" w:eastAsia="zh-CN"/>
                    </w:rPr>
                  </w:pPr>
                  <w:r>
                    <w:rPr>
                      <w:rFonts w:hint="eastAsia" w:ascii="Times New Roman" w:hAnsi="Times New Roman" w:eastAsia="SimSun" w:cs="Times New Roman"/>
                      <w:snapToGrid w:val="0"/>
                      <w:color w:val="auto"/>
                      <w:kern w:val="18"/>
                      <w:sz w:val="21"/>
                      <w:szCs w:val="21"/>
                      <w:lang w:val="en-US" w:eastAsia="zh-CN"/>
                    </w:rPr>
                    <w:t>--</w:t>
                  </w:r>
                </w:p>
              </w:tc>
              <w:tc>
                <w:tcPr>
                  <w:tcW w:w="1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SimSun" w:cs="Times New Roman"/>
                      <w:snapToGrid w:val="0"/>
                      <w:color w:val="auto"/>
                      <w:kern w:val="18"/>
                      <w:sz w:val="21"/>
                      <w:szCs w:val="21"/>
                      <w:lang w:val="en-US" w:eastAsia="zh-CN"/>
                    </w:rPr>
                  </w:pPr>
                  <w:r>
                    <w:rPr>
                      <w:rFonts w:hint="eastAsia" w:ascii="Times New Roman" w:hAnsi="Times New Roman" w:eastAsia="SimSun" w:cs="Times New Roman"/>
                      <w:snapToGrid w:val="0"/>
                      <w:color w:val="auto"/>
                      <w:kern w:val="18"/>
                      <w:sz w:val="21"/>
                      <w:szCs w:val="21"/>
                      <w:lang w:val="en-US" w:eastAsia="zh-CN"/>
                    </w:rPr>
                    <w:t>3</w:t>
                  </w:r>
                </w:p>
              </w:tc>
              <w:tc>
                <w:tcPr>
                  <w:tcW w:w="143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SimSun" w:cs="Times New Roman"/>
                      <w:snapToGrid w:val="0"/>
                      <w:color w:val="auto"/>
                      <w:kern w:val="18"/>
                      <w:sz w:val="21"/>
                      <w:szCs w:val="21"/>
                    </w:rPr>
                  </w:pPr>
                </w:p>
              </w:tc>
            </w:tr>
          </w:tbl>
          <w:p>
            <w:pPr>
              <w:spacing w:beforeLines="20" w:line="360" w:lineRule="auto"/>
              <w:rPr>
                <w:b/>
                <w:bCs/>
                <w:sz w:val="24"/>
                <w:szCs w:val="24"/>
              </w:rPr>
            </w:pPr>
            <w:r>
              <w:rPr>
                <w:rFonts w:hint="default" w:ascii="Times New Roman" w:hAnsi="Times New Roman" w:cs="Times New Roman"/>
                <w:b/>
                <w:bCs/>
                <w:sz w:val="24"/>
                <w:szCs w:val="24"/>
                <w:lang w:val="en-US" w:eastAsia="zh-CN"/>
              </w:rPr>
              <w:t>4、</w:t>
            </w:r>
            <w:r>
              <w:rPr>
                <w:b/>
                <w:bCs/>
                <w:sz w:val="24"/>
                <w:szCs w:val="24"/>
              </w:rPr>
              <w:t>原辅材料消耗及水平衡：</w:t>
            </w:r>
          </w:p>
          <w:p>
            <w:pPr>
              <w:bidi w:val="0"/>
              <w:spacing w:line="360" w:lineRule="auto"/>
              <w:rPr>
                <w:sz w:val="24"/>
                <w:szCs w:val="24"/>
              </w:rPr>
            </w:pPr>
            <w:r>
              <w:rPr>
                <w:rFonts w:hint="default" w:ascii="Times New Roman" w:hAnsi="Times New Roman" w:cs="Times New Roman"/>
                <w:sz w:val="24"/>
                <w:szCs w:val="24"/>
              </w:rPr>
              <w:t>1、</w:t>
            </w:r>
            <w:r>
              <w:rPr>
                <w:sz w:val="24"/>
                <w:szCs w:val="24"/>
              </w:rPr>
              <w:t>原辅材料消耗：</w:t>
            </w:r>
          </w:p>
          <w:p>
            <w:pPr>
              <w:bidi w:val="0"/>
              <w:spacing w:line="360" w:lineRule="auto"/>
              <w:rPr>
                <w:sz w:val="24"/>
                <w:szCs w:val="24"/>
              </w:rPr>
            </w:pPr>
            <w:r>
              <w:rPr>
                <w:color w:val="auto"/>
                <w:sz w:val="24"/>
                <w:szCs w:val="24"/>
              </w:rPr>
              <w:t>本项目主要</w:t>
            </w:r>
            <w:r>
              <w:rPr>
                <w:rFonts w:hint="eastAsia"/>
                <w:color w:val="auto"/>
                <w:sz w:val="24"/>
                <w:szCs w:val="24"/>
              </w:rPr>
              <w:t>原材料用量</w:t>
            </w:r>
            <w:r>
              <w:rPr>
                <w:color w:val="auto"/>
                <w:sz w:val="24"/>
                <w:szCs w:val="24"/>
              </w:rPr>
              <w:t>见表</w:t>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5</w:t>
            </w:r>
            <w:r>
              <w:rPr>
                <w:sz w:val="24"/>
                <w:szCs w:val="24"/>
              </w:rPr>
              <w:t>。</w:t>
            </w:r>
          </w:p>
          <w:p>
            <w:pPr>
              <w:bidi w:val="0"/>
              <w:spacing w:line="360" w:lineRule="auto"/>
              <w:jc w:val="center"/>
              <w:rPr>
                <w:rFonts w:hint="eastAsia" w:eastAsiaTheme="minorEastAsia"/>
                <w:b/>
                <w:bCs/>
                <w:sz w:val="24"/>
                <w:szCs w:val="24"/>
                <w:lang w:eastAsia="zh-CN"/>
              </w:rPr>
            </w:pPr>
            <w:r>
              <w:rPr>
                <w:b/>
                <w:bCs/>
                <w:sz w:val="24"/>
                <w:szCs w:val="24"/>
              </w:rPr>
              <w:t>表</w:t>
            </w:r>
            <w:r>
              <w:rPr>
                <w:rFonts w:hint="default" w:ascii="Times New Roman" w:hAnsi="Times New Roman" w:cs="Times New Roman"/>
                <w:b/>
                <w:bCs/>
                <w:sz w:val="24"/>
                <w:szCs w:val="24"/>
              </w:rPr>
              <w:t>2-</w:t>
            </w:r>
            <w:r>
              <w:rPr>
                <w:rFonts w:hint="default" w:ascii="Times New Roman" w:hAnsi="Times New Roman" w:cs="Times New Roman"/>
                <w:b/>
                <w:bCs/>
                <w:sz w:val="24"/>
                <w:szCs w:val="24"/>
                <w:lang w:val="en-US" w:eastAsia="zh-CN"/>
              </w:rPr>
              <w:t>5</w:t>
            </w:r>
            <w:r>
              <w:rPr>
                <w:b/>
                <w:bCs/>
                <w:sz w:val="24"/>
                <w:szCs w:val="24"/>
              </w:rPr>
              <w:t>项目原辅材料</w:t>
            </w:r>
            <w:r>
              <w:rPr>
                <w:rFonts w:hint="eastAsia"/>
                <w:b/>
                <w:bCs/>
                <w:sz w:val="24"/>
                <w:szCs w:val="24"/>
              </w:rPr>
              <w:t>消耗</w:t>
            </w:r>
            <w:r>
              <w:rPr>
                <w:b/>
                <w:bCs/>
                <w:sz w:val="24"/>
                <w:szCs w:val="24"/>
              </w:rPr>
              <w:t>表</w:t>
            </w:r>
            <w:r>
              <w:rPr>
                <w:rFonts w:hint="eastAsia"/>
                <w:b/>
                <w:bCs/>
                <w:sz w:val="24"/>
                <w:szCs w:val="24"/>
                <w:lang w:eastAsia="zh-CN"/>
              </w:rPr>
              <w:t>（一期）</w:t>
            </w:r>
          </w:p>
          <w:tbl>
            <w:tblPr>
              <w:tblStyle w:val="28"/>
              <w:tblW w:w="9190" w:type="dxa"/>
              <w:tblInd w:w="0" w:type="dxa"/>
              <w:tblLayout w:type="fixed"/>
              <w:tblCellMar>
                <w:top w:w="0" w:type="dxa"/>
                <w:left w:w="108" w:type="dxa"/>
                <w:bottom w:w="0" w:type="dxa"/>
                <w:right w:w="108" w:type="dxa"/>
              </w:tblCellMar>
            </w:tblPr>
            <w:tblGrid>
              <w:gridCol w:w="636"/>
              <w:gridCol w:w="426"/>
              <w:gridCol w:w="2110"/>
              <w:gridCol w:w="1406"/>
              <w:gridCol w:w="990"/>
              <w:gridCol w:w="1155"/>
              <w:gridCol w:w="1110"/>
              <w:gridCol w:w="1357"/>
            </w:tblGrid>
            <w:tr>
              <w:tblPrEx>
                <w:tblLayout w:type="fixed"/>
                <w:tblCellMar>
                  <w:top w:w="0" w:type="dxa"/>
                  <w:left w:w="108" w:type="dxa"/>
                  <w:bottom w:w="0" w:type="dxa"/>
                  <w:right w:w="108" w:type="dxa"/>
                </w:tblCellMar>
              </w:tblPrEx>
              <w:trPr>
                <w:trHeight w:val="397" w:hRule="atLeast"/>
              </w:trPr>
              <w:tc>
                <w:tcPr>
                  <w:tcW w:w="636" w:type="dxa"/>
                  <w:tcBorders>
                    <w:top w:val="single" w:color="auto" w:sz="4" w:space="0"/>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序号</w:t>
                  </w:r>
                </w:p>
              </w:tc>
              <w:tc>
                <w:tcPr>
                  <w:tcW w:w="2536" w:type="dxa"/>
                  <w:gridSpan w:val="2"/>
                  <w:tcBorders>
                    <w:top w:val="single" w:color="auto" w:sz="4" w:space="0"/>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产品名称</w:t>
                  </w:r>
                </w:p>
              </w:tc>
              <w:tc>
                <w:tcPr>
                  <w:tcW w:w="1406" w:type="dxa"/>
                  <w:tcBorders>
                    <w:top w:val="single" w:color="auto" w:sz="4" w:space="0"/>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原辅料</w:t>
                  </w:r>
                </w:p>
              </w:tc>
              <w:tc>
                <w:tcPr>
                  <w:tcW w:w="990" w:type="dxa"/>
                  <w:tcBorders>
                    <w:top w:val="single" w:color="auto" w:sz="4" w:space="0"/>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年用量（t/a)</w:t>
                  </w:r>
                </w:p>
              </w:tc>
              <w:tc>
                <w:tcPr>
                  <w:tcW w:w="1155" w:type="dxa"/>
                  <w:tcBorders>
                    <w:top w:val="single" w:color="auto" w:sz="4" w:space="0"/>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eastAsia="zh-CN"/>
                    </w:rPr>
                    <w:t>实际年用量（</w:t>
                  </w:r>
                  <w:r>
                    <w:rPr>
                      <w:rFonts w:hint="eastAsia" w:ascii="Times New Roman" w:hAnsi="Times New Roman"/>
                      <w:bCs/>
                      <w:color w:val="auto"/>
                      <w:sz w:val="21"/>
                      <w:szCs w:val="21"/>
                      <w:lang w:val="en-US" w:eastAsia="zh-CN"/>
                    </w:rPr>
                    <w:t>t/a)</w:t>
                  </w:r>
                </w:p>
              </w:tc>
              <w:tc>
                <w:tcPr>
                  <w:tcW w:w="1110" w:type="dxa"/>
                  <w:tcBorders>
                    <w:top w:val="single" w:color="auto" w:sz="4" w:space="0"/>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物料性状</w:t>
                  </w:r>
                </w:p>
              </w:tc>
              <w:tc>
                <w:tcPr>
                  <w:tcW w:w="1357" w:type="dxa"/>
                  <w:tcBorders>
                    <w:top w:val="single" w:color="auto" w:sz="4" w:space="0"/>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包装方式</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1</w:t>
                  </w:r>
                </w:p>
              </w:tc>
              <w:tc>
                <w:tcPr>
                  <w:tcW w:w="426" w:type="dxa"/>
                  <w:vMerge w:val="restart"/>
                  <w:tcBorders>
                    <w:top w:val="nil"/>
                    <w:left w:val="nil"/>
                    <w:right w:val="single" w:color="auto" w:sz="4" w:space="0"/>
                  </w:tcBorders>
                  <w:vAlign w:val="center"/>
                </w:tcPr>
                <w:p>
                  <w:pPr>
                    <w:pStyle w:val="14"/>
                    <w:spacing w:line="0" w:lineRule="atLeast"/>
                    <w:jc w:val="center"/>
                    <w:rPr>
                      <w:rFonts w:hint="eastAsia" w:ascii="Times New Roman" w:hAnsi="Times New Roman"/>
                      <w:bCs/>
                      <w:color w:val="auto"/>
                      <w:sz w:val="21"/>
                      <w:szCs w:val="21"/>
                    </w:rPr>
                  </w:pPr>
                  <w:r>
                    <w:rPr>
                      <w:rFonts w:hint="eastAsia" w:ascii="Times New Roman" w:hAnsi="Times New Roman"/>
                      <w:bCs/>
                      <w:color w:val="auto"/>
                      <w:sz w:val="21"/>
                      <w:szCs w:val="21"/>
                    </w:rPr>
                    <w:t>口服液产品</w:t>
                  </w:r>
                </w:p>
              </w:tc>
              <w:tc>
                <w:tcPr>
                  <w:tcW w:w="2110"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吸入用七氟烷</w:t>
                  </w: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七氟烷</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15</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液体</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vMerge w:val="restart"/>
                  <w:tcBorders>
                    <w:top w:val="nil"/>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w:t>
                  </w:r>
                </w:p>
              </w:tc>
              <w:tc>
                <w:tcPr>
                  <w:tcW w:w="426" w:type="dxa"/>
                  <w:vMerge w:val="continue"/>
                  <w:tcBorders>
                    <w:left w:val="nil"/>
                    <w:right w:val="single" w:color="auto" w:sz="4" w:space="0"/>
                  </w:tcBorders>
                  <w:vAlign w:val="center"/>
                </w:tcPr>
                <w:p>
                  <w:pPr>
                    <w:pStyle w:val="14"/>
                    <w:spacing w:line="0" w:lineRule="atLeast"/>
                    <w:jc w:val="center"/>
                    <w:rPr>
                      <w:rFonts w:hint="eastAsia" w:ascii="Times New Roman" w:hAnsi="Times New Roman"/>
                      <w:bCs/>
                      <w:color w:val="auto"/>
                      <w:sz w:val="21"/>
                      <w:szCs w:val="21"/>
                    </w:rPr>
                  </w:pPr>
                </w:p>
              </w:tc>
              <w:tc>
                <w:tcPr>
                  <w:tcW w:w="2110" w:type="dxa"/>
                  <w:vMerge w:val="restart"/>
                  <w:tcBorders>
                    <w:top w:val="nil"/>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氟苯尼考溶液</w:t>
                  </w: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氟苯尼考</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23</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12</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vMerge w:val="continue"/>
                  <w:tcBorders>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426" w:type="dxa"/>
                  <w:vMerge w:val="continue"/>
                  <w:tcBorders>
                    <w:left w:val="nil"/>
                    <w:right w:val="single" w:color="auto" w:sz="4" w:space="0"/>
                  </w:tcBorders>
                  <w:vAlign w:val="center"/>
                </w:tcPr>
                <w:p>
                  <w:pPr>
                    <w:pStyle w:val="14"/>
                    <w:spacing w:line="0" w:lineRule="atLeast"/>
                    <w:jc w:val="center"/>
                    <w:rPr>
                      <w:rFonts w:hint="eastAsia" w:ascii="Times New Roman" w:hAnsi="Times New Roman"/>
                      <w:bCs/>
                      <w:color w:val="auto"/>
                      <w:sz w:val="21"/>
                      <w:szCs w:val="21"/>
                    </w:rPr>
                  </w:pPr>
                </w:p>
              </w:tc>
              <w:tc>
                <w:tcPr>
                  <w:tcW w:w="2110" w:type="dxa"/>
                  <w:vMerge w:val="continue"/>
                  <w:tcBorders>
                    <w:left w:val="single" w:color="auto" w:sz="4" w:space="0"/>
                    <w:bottom w:val="nil"/>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丙二醇</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eastAsia"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1</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液体</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3</w:t>
                  </w:r>
                </w:p>
              </w:tc>
              <w:tc>
                <w:tcPr>
                  <w:tcW w:w="426" w:type="dxa"/>
                  <w:vMerge w:val="continue"/>
                  <w:tcBorders>
                    <w:left w:val="single" w:color="auto" w:sz="4" w:space="0"/>
                    <w:right w:val="single" w:color="auto" w:sz="4" w:space="0"/>
                  </w:tcBorders>
                  <w:vAlign w:val="center"/>
                </w:tcPr>
                <w:p>
                  <w:pPr>
                    <w:pStyle w:val="14"/>
                    <w:spacing w:line="0" w:lineRule="atLeast"/>
                    <w:jc w:val="center"/>
                    <w:rPr>
                      <w:rFonts w:hint="eastAsia" w:ascii="Times New Roman" w:hAnsi="Times New Roman"/>
                      <w:bCs/>
                      <w:color w:val="auto"/>
                      <w:sz w:val="21"/>
                      <w:szCs w:val="21"/>
                    </w:rPr>
                  </w:pPr>
                </w:p>
              </w:tc>
              <w:tc>
                <w:tcPr>
                  <w:tcW w:w="2110" w:type="dxa"/>
                  <w:vMerge w:val="restart"/>
                  <w:tcBorders>
                    <w:top w:val="single" w:color="auto" w:sz="4" w:space="0"/>
                    <w:left w:val="single" w:color="auto" w:sz="4" w:space="0"/>
                    <w:bottom w:val="single" w:color="000000"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地克珠利</w:t>
                  </w: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地克珠利</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23</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10</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4</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single" w:color="auto" w:sz="4" w:space="0"/>
                    <w:left w:val="single" w:color="auto" w:sz="4" w:space="0"/>
                    <w:bottom w:val="single" w:color="000000"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丙二醇</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eastAsia"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1</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液体</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自制</w:t>
                  </w:r>
                </w:p>
              </w:tc>
            </w:tr>
            <w:tr>
              <w:tblPrEx>
                <w:tblLayout w:type="fixed"/>
                <w:tblCellMar>
                  <w:top w:w="0" w:type="dxa"/>
                  <w:left w:w="108" w:type="dxa"/>
                  <w:bottom w:w="0" w:type="dxa"/>
                  <w:right w:w="108" w:type="dxa"/>
                </w:tblCellMar>
              </w:tblPrEx>
              <w:trPr>
                <w:trHeight w:val="285" w:hRule="atLeast"/>
              </w:trPr>
              <w:tc>
                <w:tcPr>
                  <w:tcW w:w="636" w:type="dxa"/>
                  <w:vMerge w:val="restart"/>
                  <w:tcBorders>
                    <w:top w:val="nil"/>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5</w:t>
                  </w:r>
                </w:p>
              </w:tc>
              <w:tc>
                <w:tcPr>
                  <w:tcW w:w="426" w:type="dxa"/>
                  <w:vMerge w:val="continue"/>
                  <w:tcBorders>
                    <w:left w:val="nil"/>
                    <w:right w:val="single" w:color="auto" w:sz="4" w:space="0"/>
                  </w:tcBorders>
                  <w:vAlign w:val="center"/>
                </w:tcPr>
                <w:p>
                  <w:pPr>
                    <w:pStyle w:val="14"/>
                    <w:spacing w:line="0" w:lineRule="atLeast"/>
                    <w:jc w:val="center"/>
                    <w:rPr>
                      <w:rFonts w:hint="eastAsia" w:ascii="Times New Roman" w:hAnsi="Times New Roman"/>
                      <w:bCs/>
                      <w:color w:val="auto"/>
                      <w:sz w:val="21"/>
                      <w:szCs w:val="21"/>
                    </w:rPr>
                  </w:pPr>
                </w:p>
              </w:tc>
              <w:tc>
                <w:tcPr>
                  <w:tcW w:w="2110" w:type="dxa"/>
                  <w:vMerge w:val="restart"/>
                  <w:tcBorders>
                    <w:top w:val="nil"/>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替米考星溶液</w:t>
                  </w: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替米考星</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23</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11</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液体</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vMerge w:val="continue"/>
                  <w:tcBorders>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426" w:type="dxa"/>
                  <w:vMerge w:val="continue"/>
                  <w:tcBorders>
                    <w:left w:val="nil"/>
                    <w:right w:val="single" w:color="auto" w:sz="4" w:space="0"/>
                  </w:tcBorders>
                  <w:vAlign w:val="center"/>
                </w:tcPr>
                <w:p>
                  <w:pPr>
                    <w:pStyle w:val="14"/>
                    <w:spacing w:line="0" w:lineRule="atLeast"/>
                    <w:jc w:val="center"/>
                    <w:rPr>
                      <w:rFonts w:hint="eastAsia" w:ascii="Times New Roman" w:hAnsi="Times New Roman"/>
                      <w:bCs/>
                      <w:color w:val="auto"/>
                      <w:sz w:val="21"/>
                      <w:szCs w:val="21"/>
                    </w:rPr>
                  </w:pPr>
                </w:p>
              </w:tc>
              <w:tc>
                <w:tcPr>
                  <w:tcW w:w="2110" w:type="dxa"/>
                  <w:vMerge w:val="continue"/>
                  <w:tcBorders>
                    <w:left w:val="single" w:color="auto" w:sz="4" w:space="0"/>
                    <w:bottom w:val="nil"/>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丙二醇</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eastAsia"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1</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液体</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6</w:t>
                  </w:r>
                </w:p>
              </w:tc>
              <w:tc>
                <w:tcPr>
                  <w:tcW w:w="426" w:type="dxa"/>
                  <w:vMerge w:val="continue"/>
                  <w:tcBorders>
                    <w:left w:val="single" w:color="auto" w:sz="4" w:space="0"/>
                    <w:right w:val="single" w:color="auto" w:sz="4" w:space="0"/>
                  </w:tcBorders>
                  <w:vAlign w:val="center"/>
                </w:tcPr>
                <w:p>
                  <w:pPr>
                    <w:pStyle w:val="14"/>
                    <w:spacing w:line="0" w:lineRule="atLeast"/>
                    <w:jc w:val="center"/>
                    <w:rPr>
                      <w:rFonts w:hint="eastAsia" w:ascii="Times New Roman" w:hAnsi="Times New Roman"/>
                      <w:bCs/>
                      <w:color w:val="auto"/>
                      <w:sz w:val="21"/>
                      <w:szCs w:val="21"/>
                    </w:rPr>
                  </w:pPr>
                </w:p>
              </w:tc>
              <w:tc>
                <w:tcPr>
                  <w:tcW w:w="2110" w:type="dxa"/>
                  <w:vMerge w:val="restart"/>
                  <w:tcBorders>
                    <w:top w:val="single" w:color="auto" w:sz="4" w:space="0"/>
                    <w:left w:val="single" w:color="auto" w:sz="4" w:space="0"/>
                    <w:bottom w:val="single" w:color="000000"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硫酸新霉素溶液</w:t>
                  </w: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硫酸新霉素</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23</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12</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7</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single" w:color="auto" w:sz="4" w:space="0"/>
                    <w:left w:val="single" w:color="auto" w:sz="4" w:space="0"/>
                    <w:bottom w:val="single" w:color="000000"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纯化水</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eastAsia"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1</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自制</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8</w:t>
                  </w:r>
                </w:p>
              </w:tc>
              <w:tc>
                <w:tcPr>
                  <w:tcW w:w="426" w:type="dxa"/>
                  <w:vMerge w:val="continue"/>
                  <w:tcBorders>
                    <w:left w:val="single" w:color="auto" w:sz="4" w:space="0"/>
                    <w:right w:val="single" w:color="auto" w:sz="4" w:space="0"/>
                  </w:tcBorders>
                  <w:vAlign w:val="center"/>
                </w:tcPr>
                <w:p>
                  <w:pPr>
                    <w:pStyle w:val="14"/>
                    <w:spacing w:line="0" w:lineRule="atLeast"/>
                    <w:jc w:val="center"/>
                    <w:rPr>
                      <w:rFonts w:hint="eastAsia" w:ascii="Times New Roman" w:hAnsi="Times New Roman"/>
                      <w:bCs/>
                      <w:color w:val="auto"/>
                      <w:sz w:val="21"/>
                      <w:szCs w:val="21"/>
                    </w:rPr>
                  </w:pPr>
                </w:p>
              </w:tc>
              <w:tc>
                <w:tcPr>
                  <w:tcW w:w="2110" w:type="dxa"/>
                  <w:vMerge w:val="restart"/>
                  <w:tcBorders>
                    <w:top w:val="nil"/>
                    <w:left w:val="single" w:color="auto" w:sz="4" w:space="0"/>
                    <w:bottom w:val="single" w:color="000000"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复合维生素B溶液</w:t>
                  </w: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B1</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8</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eastAsia"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4</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9</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000000"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B2</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8</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eastAsia"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4</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10</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000000"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B6</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8</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eastAsia"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4</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11</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000000"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纯化水</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1</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0.5</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自制</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12</w:t>
                  </w:r>
                </w:p>
              </w:tc>
              <w:tc>
                <w:tcPr>
                  <w:tcW w:w="426" w:type="dxa"/>
                  <w:vMerge w:val="continue"/>
                  <w:tcBorders>
                    <w:left w:val="single" w:color="auto" w:sz="4" w:space="0"/>
                    <w:right w:val="single" w:color="auto" w:sz="4" w:space="0"/>
                  </w:tcBorders>
                  <w:vAlign w:val="center"/>
                </w:tcPr>
                <w:p>
                  <w:pPr>
                    <w:pStyle w:val="14"/>
                    <w:spacing w:line="0" w:lineRule="atLeast"/>
                    <w:jc w:val="center"/>
                    <w:rPr>
                      <w:rFonts w:hint="eastAsia" w:ascii="Times New Roman" w:hAnsi="Times New Roman"/>
                      <w:bCs/>
                      <w:color w:val="auto"/>
                      <w:sz w:val="21"/>
                      <w:szCs w:val="21"/>
                    </w:rPr>
                  </w:pPr>
                </w:p>
              </w:tc>
              <w:tc>
                <w:tcPr>
                  <w:tcW w:w="2110" w:type="dxa"/>
                  <w:vMerge w:val="restart"/>
                  <w:tcBorders>
                    <w:top w:val="nil"/>
                    <w:left w:val="single" w:color="auto" w:sz="4" w:space="0"/>
                    <w:bottom w:val="single" w:color="000000"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伊维菌素溶液</w:t>
                  </w: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伊维菌素</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8.5</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eastAsia"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4</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13</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000000"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甘油缩甲醛</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8.5</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eastAsia"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4</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液体</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14</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000000"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丙二醇</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8</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eastAsia"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4</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液体</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15</w:t>
                  </w:r>
                </w:p>
              </w:tc>
              <w:tc>
                <w:tcPr>
                  <w:tcW w:w="426" w:type="dxa"/>
                  <w:vMerge w:val="continue"/>
                  <w:tcBorders>
                    <w:left w:val="single" w:color="auto" w:sz="4" w:space="0"/>
                    <w:right w:val="single" w:color="auto" w:sz="4" w:space="0"/>
                  </w:tcBorders>
                  <w:vAlign w:val="center"/>
                </w:tcPr>
                <w:p>
                  <w:pPr>
                    <w:pStyle w:val="14"/>
                    <w:spacing w:line="0" w:lineRule="atLeast"/>
                    <w:jc w:val="center"/>
                    <w:rPr>
                      <w:rFonts w:hint="eastAsia" w:ascii="Times New Roman" w:hAnsi="Times New Roman"/>
                      <w:bCs/>
                      <w:color w:val="auto"/>
                      <w:sz w:val="21"/>
                      <w:szCs w:val="21"/>
                    </w:rPr>
                  </w:pPr>
                </w:p>
              </w:tc>
              <w:tc>
                <w:tcPr>
                  <w:tcW w:w="2110" w:type="dxa"/>
                  <w:vMerge w:val="restart"/>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恩诺沙星</w:t>
                  </w: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恩诺沙星</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23</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12</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16</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纯化水</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eastAsia"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1</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自制</w:t>
                  </w:r>
                </w:p>
              </w:tc>
            </w:tr>
            <w:tr>
              <w:tblPrEx>
                <w:tblLayout w:type="fixed"/>
                <w:tblCellMar>
                  <w:top w:w="0" w:type="dxa"/>
                  <w:left w:w="108" w:type="dxa"/>
                  <w:bottom w:w="0" w:type="dxa"/>
                  <w:right w:w="108" w:type="dxa"/>
                </w:tblCellMar>
              </w:tblPrEx>
              <w:trPr>
                <w:trHeight w:val="558"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17</w:t>
                  </w:r>
                </w:p>
              </w:tc>
              <w:tc>
                <w:tcPr>
                  <w:tcW w:w="426" w:type="dxa"/>
                  <w:vMerge w:val="continue"/>
                  <w:tcBorders>
                    <w:left w:val="nil"/>
                    <w:bottom w:val="single" w:color="auto" w:sz="4" w:space="0"/>
                    <w:right w:val="single" w:color="auto" w:sz="4" w:space="0"/>
                  </w:tcBorders>
                  <w:vAlign w:val="center"/>
                </w:tcPr>
                <w:p>
                  <w:pPr>
                    <w:pStyle w:val="14"/>
                    <w:spacing w:line="0" w:lineRule="atLeast"/>
                    <w:jc w:val="center"/>
                    <w:rPr>
                      <w:rFonts w:hint="eastAsia" w:ascii="Times New Roman" w:hAnsi="Times New Roman"/>
                      <w:bCs/>
                      <w:color w:val="auto"/>
                      <w:sz w:val="21"/>
                      <w:szCs w:val="21"/>
                    </w:rPr>
                  </w:pPr>
                </w:p>
              </w:tc>
              <w:tc>
                <w:tcPr>
                  <w:tcW w:w="2110"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异氟烷</w:t>
                  </w: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2-氨-（二氟甲氧基）-1，1，1-三氟乙烷</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70</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35</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液体</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25kg/桶</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18</w:t>
                  </w:r>
                </w:p>
              </w:tc>
              <w:tc>
                <w:tcPr>
                  <w:tcW w:w="426" w:type="dxa"/>
                  <w:vMerge w:val="restart"/>
                  <w:tcBorders>
                    <w:top w:val="nil"/>
                    <w:left w:val="single" w:color="auto" w:sz="4" w:space="0"/>
                    <w:right w:val="single" w:color="auto" w:sz="4" w:space="0"/>
                  </w:tcBorders>
                  <w:vAlign w:val="center"/>
                </w:tcPr>
                <w:p>
                  <w:pPr>
                    <w:pStyle w:val="14"/>
                    <w:spacing w:line="0" w:lineRule="atLeast"/>
                    <w:jc w:val="center"/>
                    <w:rPr>
                      <w:rFonts w:hint="eastAsia" w:ascii="Times New Roman" w:hAnsi="Times New Roman"/>
                      <w:bCs/>
                      <w:color w:val="auto"/>
                      <w:sz w:val="21"/>
                      <w:szCs w:val="21"/>
                    </w:rPr>
                  </w:pPr>
                  <w:r>
                    <w:rPr>
                      <w:rFonts w:hint="eastAsia" w:ascii="Times New Roman" w:hAnsi="Times New Roman"/>
                      <w:bCs/>
                      <w:color w:val="auto"/>
                      <w:sz w:val="21"/>
                      <w:szCs w:val="21"/>
                    </w:rPr>
                    <w:t>片剂</w:t>
                  </w:r>
                </w:p>
              </w:tc>
              <w:tc>
                <w:tcPr>
                  <w:tcW w:w="2110" w:type="dxa"/>
                  <w:vMerge w:val="restart"/>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清瘟败毒片</w:t>
                  </w: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石膏细粉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0.54</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0.3</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19</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地黄细粉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0.135</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0.1</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20</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水牛角细粉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0.27</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0.1</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21</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黄连细粉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0.09</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0.04</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22</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栀子细粉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0.135</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0.06</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23</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牡丹皮细粉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0.09</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0.05</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24</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黄芩细粉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0.1128</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0.5</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赤芍细粉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0.1122</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0.5</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26</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玄参细粉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0.1122</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0.5</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27</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知母细粉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0.135</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0.6</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28</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连翘细粉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0.135</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0.6</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29</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桔梗细粉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0.1128</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0.6</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30</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甘草细粉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0.0678</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0.04</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31</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淡竹叶细粉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0.1122</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0.6</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32</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微晶纤维素</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0.096</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0.05</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33</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淀粉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0.12</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0.06</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34</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硬脂酸镁</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0.024</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0.01</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35</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自来水</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0.32</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0.2</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36</w:t>
                  </w:r>
                </w:p>
              </w:tc>
              <w:tc>
                <w:tcPr>
                  <w:tcW w:w="426" w:type="dxa"/>
                  <w:vMerge w:val="continue"/>
                  <w:tcBorders>
                    <w:left w:val="single" w:color="auto" w:sz="4" w:space="0"/>
                    <w:right w:val="single" w:color="auto" w:sz="4" w:space="0"/>
                  </w:tcBorders>
                  <w:vAlign w:val="center"/>
                </w:tcPr>
                <w:p>
                  <w:pPr>
                    <w:pStyle w:val="14"/>
                    <w:spacing w:line="0" w:lineRule="atLeast"/>
                    <w:jc w:val="center"/>
                    <w:rPr>
                      <w:rFonts w:hint="eastAsia" w:ascii="Times New Roman" w:hAnsi="Times New Roman"/>
                      <w:bCs/>
                      <w:color w:val="auto"/>
                      <w:sz w:val="21"/>
                      <w:szCs w:val="21"/>
                    </w:rPr>
                  </w:pPr>
                </w:p>
              </w:tc>
              <w:tc>
                <w:tcPr>
                  <w:tcW w:w="2110" w:type="dxa"/>
                  <w:vMerge w:val="restart"/>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头孢羟氨苄片</w:t>
                  </w: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头孢羟氨苄</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3.6</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1.8</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37</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淀粉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0.5</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0.3</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38</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硬脂酸镁</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0.024</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0.01</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39</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自来水</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0.4</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0.2</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40</w:t>
                  </w:r>
                </w:p>
              </w:tc>
              <w:tc>
                <w:tcPr>
                  <w:tcW w:w="426" w:type="dxa"/>
                  <w:vMerge w:val="continue"/>
                  <w:tcBorders>
                    <w:left w:val="single" w:color="auto" w:sz="4" w:space="0"/>
                    <w:right w:val="single" w:color="auto" w:sz="4" w:space="0"/>
                  </w:tcBorders>
                  <w:vAlign w:val="center"/>
                </w:tcPr>
                <w:p>
                  <w:pPr>
                    <w:pStyle w:val="14"/>
                    <w:spacing w:line="0" w:lineRule="atLeast"/>
                    <w:jc w:val="center"/>
                    <w:rPr>
                      <w:rFonts w:hint="eastAsia" w:ascii="Times New Roman" w:hAnsi="Times New Roman"/>
                      <w:bCs/>
                      <w:color w:val="auto"/>
                      <w:sz w:val="21"/>
                      <w:szCs w:val="21"/>
                    </w:rPr>
                  </w:pPr>
                </w:p>
              </w:tc>
              <w:tc>
                <w:tcPr>
                  <w:tcW w:w="2110" w:type="dxa"/>
                  <w:vMerge w:val="restart"/>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西咪替丁片</w:t>
                  </w: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西咪替丁</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0.744</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0.4</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41</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淀粉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0.15</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0.07</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42</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硬脂酸镁</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0.024</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0.01</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43</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自来水</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0.056</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0.02</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44</w:t>
                  </w:r>
                </w:p>
              </w:tc>
              <w:tc>
                <w:tcPr>
                  <w:tcW w:w="426" w:type="dxa"/>
                  <w:vMerge w:val="continue"/>
                  <w:tcBorders>
                    <w:left w:val="single" w:color="auto" w:sz="4" w:space="0"/>
                    <w:right w:val="single" w:color="auto" w:sz="4" w:space="0"/>
                  </w:tcBorders>
                  <w:vAlign w:val="center"/>
                </w:tcPr>
                <w:p>
                  <w:pPr>
                    <w:pStyle w:val="14"/>
                    <w:spacing w:line="0" w:lineRule="atLeast"/>
                    <w:jc w:val="center"/>
                    <w:rPr>
                      <w:rFonts w:hint="eastAsia" w:ascii="Times New Roman" w:hAnsi="Times New Roman"/>
                      <w:bCs/>
                      <w:color w:val="auto"/>
                      <w:sz w:val="21"/>
                      <w:szCs w:val="21"/>
                    </w:rPr>
                  </w:pPr>
                </w:p>
              </w:tc>
              <w:tc>
                <w:tcPr>
                  <w:tcW w:w="2110" w:type="dxa"/>
                  <w:vMerge w:val="restart"/>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马来酸依那普利片</w:t>
                  </w: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马来酸依那普利</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0.036</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0.02</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45</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淀粉</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0.009</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0.004</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25kg/袋</w:t>
                  </w: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46</w:t>
                  </w:r>
                </w:p>
              </w:tc>
              <w:tc>
                <w:tcPr>
                  <w:tcW w:w="426" w:type="dxa"/>
                  <w:vMerge w:val="continue"/>
                  <w:tcBorders>
                    <w:left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硬脂酸镁</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0.009</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0.004</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粉状</w:t>
                  </w: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r>
            <w:tr>
              <w:tblPrEx>
                <w:tblLayout w:type="fixed"/>
                <w:tblCellMar>
                  <w:top w:w="0" w:type="dxa"/>
                  <w:left w:w="108" w:type="dxa"/>
                  <w:bottom w:w="0" w:type="dxa"/>
                  <w:right w:w="108" w:type="dxa"/>
                </w:tblCellMar>
              </w:tblPrEx>
              <w:trPr>
                <w:trHeight w:val="285" w:hRule="atLeast"/>
              </w:trPr>
              <w:tc>
                <w:tcPr>
                  <w:tcW w:w="636" w:type="dxa"/>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47</w:t>
                  </w:r>
                </w:p>
              </w:tc>
              <w:tc>
                <w:tcPr>
                  <w:tcW w:w="426" w:type="dxa"/>
                  <w:vMerge w:val="continue"/>
                  <w:tcBorders>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2110" w:type="dxa"/>
                  <w:vMerge w:val="continue"/>
                  <w:tcBorders>
                    <w:top w:val="nil"/>
                    <w:left w:val="single" w:color="auto" w:sz="4" w:space="0"/>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406"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自来水</w:t>
                  </w:r>
                </w:p>
              </w:tc>
              <w:tc>
                <w:tcPr>
                  <w:tcW w:w="99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r>
                    <w:rPr>
                      <w:rFonts w:hint="eastAsia" w:ascii="Times New Roman" w:hAnsi="Times New Roman"/>
                      <w:bCs/>
                      <w:color w:val="auto"/>
                      <w:sz w:val="21"/>
                      <w:szCs w:val="21"/>
                    </w:rPr>
                    <w:t>0.004</w:t>
                  </w:r>
                </w:p>
              </w:tc>
              <w:tc>
                <w:tcPr>
                  <w:tcW w:w="1155" w:type="dxa"/>
                  <w:tcBorders>
                    <w:top w:val="nil"/>
                    <w:left w:val="nil"/>
                    <w:bottom w:val="single" w:color="auto" w:sz="4" w:space="0"/>
                    <w:right w:val="single" w:color="auto" w:sz="4" w:space="0"/>
                  </w:tcBorders>
                  <w:vAlign w:val="center"/>
                </w:tcPr>
                <w:p>
                  <w:pPr>
                    <w:pStyle w:val="14"/>
                    <w:spacing w:line="0" w:lineRule="atLeast"/>
                    <w:jc w:val="center"/>
                    <w:rPr>
                      <w:rFonts w:hint="default" w:ascii="Times New Roman" w:hAnsi="Times New Roman" w:eastAsia="SimSun"/>
                      <w:bCs/>
                      <w:color w:val="auto"/>
                      <w:sz w:val="21"/>
                      <w:szCs w:val="21"/>
                      <w:lang w:val="en-US" w:eastAsia="zh-CN"/>
                    </w:rPr>
                  </w:pPr>
                  <w:r>
                    <w:rPr>
                      <w:rFonts w:hint="eastAsia" w:ascii="Times New Roman" w:hAnsi="Times New Roman"/>
                      <w:bCs/>
                      <w:color w:val="auto"/>
                      <w:sz w:val="21"/>
                      <w:szCs w:val="21"/>
                      <w:lang w:val="en-US" w:eastAsia="zh-CN"/>
                    </w:rPr>
                    <w:t>0.002</w:t>
                  </w:r>
                </w:p>
              </w:tc>
              <w:tc>
                <w:tcPr>
                  <w:tcW w:w="1110"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c>
                <w:tcPr>
                  <w:tcW w:w="1357" w:type="dxa"/>
                  <w:tcBorders>
                    <w:top w:val="nil"/>
                    <w:left w:val="nil"/>
                    <w:bottom w:val="single" w:color="auto" w:sz="4" w:space="0"/>
                    <w:right w:val="single" w:color="auto" w:sz="4" w:space="0"/>
                  </w:tcBorders>
                  <w:vAlign w:val="center"/>
                </w:tcPr>
                <w:p>
                  <w:pPr>
                    <w:pStyle w:val="14"/>
                    <w:spacing w:line="0" w:lineRule="atLeast"/>
                    <w:jc w:val="center"/>
                    <w:rPr>
                      <w:rFonts w:ascii="Times New Roman" w:hAnsi="Times New Roman"/>
                      <w:bCs/>
                      <w:color w:val="auto"/>
                      <w:sz w:val="21"/>
                      <w:szCs w:val="21"/>
                    </w:rPr>
                  </w:pPr>
                </w:p>
              </w:tc>
            </w:tr>
          </w:tbl>
          <w:p>
            <w:pPr>
              <w:numPr>
                <w:ilvl w:val="0"/>
                <w:numId w:val="1"/>
              </w:numPr>
              <w:spacing w:beforeLines="50" w:line="360" w:lineRule="auto"/>
              <w:rPr>
                <w:rFonts w:hint="eastAsia"/>
                <w:sz w:val="24"/>
                <w:szCs w:val="24"/>
                <w:lang w:val="en-US" w:eastAsia="zh-CN"/>
              </w:rPr>
            </w:pPr>
            <w:r>
              <w:rPr>
                <w:sz w:val="24"/>
                <w:szCs w:val="24"/>
              </w:rPr>
              <w:t>水平衡</w:t>
            </w:r>
          </w:p>
          <w:p>
            <w:pPr>
              <w:numPr>
                <w:ilvl w:val="0"/>
                <w:numId w:val="0"/>
              </w:numPr>
              <w:spacing w:beforeLines="50" w:line="360" w:lineRule="auto"/>
              <w:ind w:firstLine="480" w:firstLineChars="200"/>
              <w:rPr>
                <w:rFonts w:hint="eastAsia"/>
                <w:sz w:val="24"/>
                <w:szCs w:val="24"/>
                <w:lang w:val="en-US" w:eastAsia="zh-CN"/>
              </w:rPr>
            </w:pPr>
            <w:r>
              <w:rPr>
                <w:rFonts w:hint="default" w:ascii="Times New Roman" w:hAnsi="Times New Roman" w:cs="Times New Roman"/>
                <w:sz w:val="24"/>
                <w:szCs w:val="24"/>
              </w:rPr>
              <w:t>（1）</w:t>
            </w:r>
            <w:r>
              <w:rPr>
                <w:sz w:val="24"/>
                <w:szCs w:val="24"/>
              </w:rPr>
              <w:t>给水</w:t>
            </w:r>
            <w:r>
              <w:rPr>
                <w:rFonts w:hint="eastAsia"/>
                <w:sz w:val="24"/>
                <w:szCs w:val="24"/>
                <w:lang w:eastAsia="zh-CN"/>
              </w:rPr>
              <w:t>：</w:t>
            </w:r>
            <w:r>
              <w:rPr>
                <w:sz w:val="24"/>
                <w:szCs w:val="24"/>
              </w:rPr>
              <w:t>扩建项目供水依托现有项目，由商河经济开发区供水管网提供，扩建项目用水主要为生产用水及职工生活用水。其中生产用水为工艺用水、设备清洁水、</w:t>
            </w:r>
            <w:r>
              <w:rPr>
                <w:rFonts w:hint="eastAsia"/>
                <w:sz w:val="24"/>
                <w:szCs w:val="24"/>
              </w:rPr>
              <w:t>地面清洁水</w:t>
            </w:r>
            <w:r>
              <w:rPr>
                <w:sz w:val="24"/>
                <w:szCs w:val="24"/>
              </w:rPr>
              <w:t>。项目不新增劳动定员，不再计算生活用水。</w:t>
            </w:r>
          </w:p>
          <w:p>
            <w:pPr>
              <w:widowControl/>
              <w:spacing w:line="360" w:lineRule="auto"/>
              <w:ind w:firstLine="480" w:firstLineChars="200"/>
              <w:rPr>
                <w:kern w:val="0"/>
                <w:sz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sz w:val="24"/>
                <w:szCs w:val="24"/>
              </w:rPr>
              <w:t>排水：</w:t>
            </w:r>
            <w:r>
              <w:rPr>
                <w:kern w:val="0"/>
                <w:sz w:val="24"/>
              </w:rPr>
              <w:t>厂区排水采用雨污分流制，在厂区干道、支路两侧设置相应雨水管道，雨水经收集排放至市政雨水管网。污水接管商河经济开发区污水处理厂。</w:t>
            </w:r>
          </w:p>
          <w:p>
            <w:pPr>
              <w:pStyle w:val="36"/>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color w:val="auto"/>
                <w:lang w:eastAsia="zh-CN"/>
              </w:rPr>
            </w:pPr>
            <w:r>
              <w:rPr>
                <w:rFonts w:hint="eastAsia"/>
                <w:b/>
                <w:bCs/>
                <w:color w:val="auto"/>
                <w:lang w:val="en-US" w:eastAsia="zh-CN"/>
              </w:rPr>
              <w:t>图</w:t>
            </w:r>
            <w:r>
              <w:rPr>
                <w:rFonts w:hint="default"/>
                <w:b/>
                <w:bCs/>
                <w:color w:val="auto"/>
                <w:lang w:val="en-US" w:eastAsia="zh-CN"/>
              </w:rPr>
              <w:t>2-</w:t>
            </w:r>
            <w:r>
              <w:rPr>
                <w:rFonts w:hint="eastAsia"/>
                <w:b/>
                <w:bCs/>
                <w:color w:val="auto"/>
                <w:lang w:val="en-US" w:eastAsia="zh-CN"/>
              </w:rPr>
              <w:t>6项目水平衡图</w:t>
            </w:r>
          </w:p>
          <w:p>
            <w:pPr>
              <w:numPr>
                <w:ilvl w:val="0"/>
                <w:numId w:val="0"/>
              </w:numPr>
              <w:spacing w:line="360" w:lineRule="auto"/>
              <w:jc w:val="center"/>
              <w:rPr>
                <w:rFonts w:hint="default" w:ascii="Times New Roman" w:hAnsi="Times New Roman" w:cs="Times New Roman"/>
                <w:sz w:val="24"/>
                <w:szCs w:val="24"/>
                <w:lang w:val="en-US" w:eastAsia="zh-CN"/>
              </w:rPr>
            </w:pPr>
          </w:p>
          <w:p>
            <w:pPr>
              <w:numPr>
                <w:ilvl w:val="0"/>
                <w:numId w:val="0"/>
              </w:numPr>
              <w:spacing w:line="360" w:lineRule="auto"/>
              <w:jc w:val="center"/>
              <w:rPr>
                <w:rFonts w:hint="default" w:ascii="Times New Roman" w:hAnsi="Times New Roman" w:cs="Times New Roman"/>
                <w:sz w:val="24"/>
                <w:szCs w:val="24"/>
                <w:lang w:val="en-US" w:eastAsia="zh-CN"/>
              </w:rPr>
            </w:pPr>
          </w:p>
          <w:p>
            <w:pPr>
              <w:numPr>
                <w:ilvl w:val="0"/>
                <w:numId w:val="0"/>
              </w:num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95900" cy="3886200"/>
                  <wp:effectExtent l="0" t="0" r="0" b="0"/>
                  <wp:docPr id="61" name="图片 61" descr="1575971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575971387(1)"/>
                          <pic:cNvPicPr>
                            <a:picLocks noChangeAspect="1"/>
                          </pic:cNvPicPr>
                        </pic:nvPicPr>
                        <pic:blipFill>
                          <a:blip r:embed="rId12"/>
                          <a:srcRect r="1243"/>
                          <a:stretch>
                            <a:fillRect/>
                          </a:stretch>
                        </pic:blipFill>
                        <pic:spPr>
                          <a:xfrm>
                            <a:off x="0" y="0"/>
                            <a:ext cx="5295900" cy="3886200"/>
                          </a:xfrm>
                          <a:prstGeom prst="rect">
                            <a:avLst/>
                          </a:prstGeom>
                        </pic:spPr>
                      </pic:pic>
                    </a:graphicData>
                  </a:graphic>
                </wp:inline>
              </w:drawing>
            </w:r>
          </w:p>
          <w:p>
            <w:pPr>
              <w:numPr>
                <w:ilvl w:val="0"/>
                <w:numId w:val="0"/>
              </w:numPr>
              <w:spacing w:line="360" w:lineRule="auto"/>
              <w:jc w:val="left"/>
              <w:rPr>
                <w:rFonts w:hint="eastAsia"/>
                <w:sz w:val="24"/>
                <w:szCs w:val="24"/>
              </w:rPr>
            </w:pPr>
            <w:r>
              <w:rPr>
                <w:rFonts w:hint="default" w:ascii="Times New Roman" w:hAnsi="Times New Roman" w:cs="Times New Roman"/>
                <w:sz w:val="24"/>
                <w:szCs w:val="24"/>
                <w:lang w:val="en-US" w:eastAsia="zh-CN"/>
              </w:rPr>
              <w:t>3</w:t>
            </w:r>
            <w:r>
              <w:rPr>
                <w:rFonts w:hint="default" w:ascii="Times New Roman" w:hAnsi="Times New Roman" w:cs="Times New Roman"/>
                <w:color w:val="auto"/>
                <w:sz w:val="24"/>
                <w:szCs w:val="24"/>
                <w:lang w:val="en-US" w:eastAsia="zh-CN"/>
              </w:rPr>
              <w:t>、</w:t>
            </w:r>
            <w:r>
              <w:rPr>
                <w:rFonts w:hint="eastAsia"/>
                <w:color w:val="auto"/>
                <w:sz w:val="24"/>
                <w:szCs w:val="24"/>
              </w:rPr>
              <w:t>主要工艺</w:t>
            </w:r>
            <w:r>
              <w:rPr>
                <w:rFonts w:hint="eastAsia"/>
                <w:sz w:val="24"/>
                <w:szCs w:val="24"/>
              </w:rPr>
              <w:t>流程及产污环节：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工艺流程</w:t>
            </w:r>
            <w:r>
              <w:rPr>
                <w:rFonts w:hint="eastAsia"/>
                <w:sz w:val="24"/>
                <w:szCs w:val="24"/>
                <w:lang w:val="en-US" w:eastAsia="zh-CN"/>
              </w:rPr>
              <w:t>及产污环节</w:t>
            </w:r>
            <w:r>
              <w:rPr>
                <w:rFonts w:hint="eastAsia"/>
                <w:sz w:val="24"/>
                <w:szCs w:val="24"/>
              </w:rPr>
              <w:t>如下图</w:t>
            </w:r>
            <w:r>
              <w:rPr>
                <w:sz w:val="24"/>
                <w:szCs w:val="24"/>
              </w:rPr>
              <w:t>：</w:t>
            </w:r>
          </w:p>
          <w:p>
            <w:pPr>
              <w:pStyle w:val="36"/>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b/>
                <w:bCs/>
                <w:color w:val="auto"/>
              </w:rPr>
            </w:pPr>
          </w:p>
          <w:p>
            <w:pPr>
              <w:pStyle w:val="36"/>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b/>
                <w:bCs/>
                <w:color w:val="auto"/>
              </w:rPr>
            </w:pPr>
          </w:p>
          <w:p>
            <w:pPr>
              <w:pStyle w:val="36"/>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eastAsia="SimHei"/>
                <w:color w:val="auto"/>
                <w:sz w:val="24"/>
                <w:szCs w:val="24"/>
                <w:lang w:eastAsia="zh-CN"/>
              </w:rPr>
            </w:pPr>
            <w:r>
              <w:rPr>
                <w:b/>
                <w:bCs/>
                <w:color w:val="auto"/>
              </w:rPr>
              <mc:AlternateContent>
                <mc:Choice Requires="wps">
                  <w:drawing>
                    <wp:anchor distT="0" distB="0" distL="114300" distR="114300" simplePos="0" relativeHeight="918702080" behindDoc="0" locked="0" layoutInCell="1" allowOverlap="1">
                      <wp:simplePos x="0" y="0"/>
                      <wp:positionH relativeFrom="column">
                        <wp:posOffset>5268595</wp:posOffset>
                      </wp:positionH>
                      <wp:positionV relativeFrom="paragraph">
                        <wp:posOffset>8890</wp:posOffset>
                      </wp:positionV>
                      <wp:extent cx="0" cy="0"/>
                      <wp:effectExtent l="0" t="0" r="0" b="0"/>
                      <wp:wrapNone/>
                      <wp:docPr id="52" name="自选图形 43"/>
                      <wp:cNvGraphicFramePr/>
                      <a:graphic xmlns:a="http://schemas.openxmlformats.org/drawingml/2006/main">
                        <a:graphicData uri="http://schemas.microsoft.com/office/word/2010/wordprocessingShape">
                          <wps:wsp>
                            <wps:cNvCnPr/>
                            <wps:spPr>
                              <a:xfrm>
                                <a:off x="0" y="0"/>
                                <a:ext cx="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43" o:spid="_x0000_s1026" o:spt="32" type="#_x0000_t32" style="position:absolute;left:0pt;margin-left:414.85pt;margin-top:0.7pt;height:0pt;width:0pt;z-index:918702080;mso-width-relative:page;mso-height-relative:page;" filled="f" stroked="t" coordsize="21600,21600" o:gfxdata="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GlKhtIAAAAHAQAADwAAAAAAAAABACAA&#10;AAAiAAAAZHJzL2Rvd25yZXYueG1sUEsBAhQAFAAAAAgAh07iQBG+47zaAQAAnwMAAA4AAAAAAAAA&#10;AQAgAAAAIQEAAGRycy9lMm9Eb2MueG1sUEsFBgAAAAAGAAYAWQEAAG0FAAAAAA==&#10;">
                      <v:fill on="f" focussize="0,0"/>
                      <v:stroke color="#000000" joinstyle="round"/>
                      <v:imagedata o:title=""/>
                      <o:lock v:ext="edit" aspectratio="f"/>
                    </v:shape>
                  </w:pict>
                </mc:Fallback>
              </mc:AlternateContent>
            </w:r>
            <w:r>
              <w:rPr>
                <w:b/>
                <w:bCs/>
                <w:color w:val="auto"/>
              </w:rPr>
              <w:t>图2-</w:t>
            </w:r>
            <w:r>
              <w:rPr>
                <w:rFonts w:hint="eastAsia"/>
                <w:b/>
                <w:bCs/>
                <w:color w:val="auto"/>
                <w:lang w:val="en-US" w:eastAsia="zh-CN"/>
              </w:rPr>
              <w:t>7</w:t>
            </w:r>
            <w:r>
              <w:rPr>
                <w:b/>
                <w:bCs/>
                <w:color w:val="auto"/>
              </w:rPr>
              <w:t>生产工艺流程</w:t>
            </w:r>
            <w:r>
              <w:rPr>
                <w:rFonts w:hint="eastAsia"/>
                <w:b/>
                <w:bCs/>
                <w:color w:val="auto"/>
              </w:rPr>
              <w:t>及产污环节图</w:t>
            </w:r>
          </w:p>
          <w:p>
            <w:pPr>
              <w:pStyle w:val="36"/>
              <w:spacing w:line="360" w:lineRule="auto"/>
              <w:jc w:val="center"/>
            </w:pPr>
            <w:r>
              <w:object>
                <v:shape id="_x0000_i1025" o:spt="75" type="#_x0000_t75" style="height:582.55pt;width:209.2pt;" o:ole="t" filled="f" o:preferrelative="t" stroked="f" coordsize="21600,21600">
                  <v:path/>
                  <v:fill on="f" alignshape="1"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p>
          <w:p>
            <w:pPr>
              <w:pStyle w:val="36"/>
              <w:spacing w:line="360" w:lineRule="auto"/>
              <w:jc w:val="center"/>
              <w:rPr>
                <w:rFonts w:hint="eastAsia"/>
                <w:lang w:val="en-US" w:eastAsia="zh-CN"/>
              </w:rPr>
            </w:pPr>
            <w:r>
              <w:rPr>
                <w:b/>
                <w:sz w:val="24"/>
              </w:rPr>
              <w:t xml:space="preserve"> 片剂生产工艺流程及产污环节</w:t>
            </w:r>
          </w:p>
          <w:p>
            <w:pPr>
              <w:pStyle w:val="36"/>
              <w:spacing w:line="360" w:lineRule="auto"/>
              <w:jc w:val="both"/>
              <w:rPr>
                <w:rFonts w:hint="eastAsia"/>
                <w:b w:val="0"/>
                <w:bCs w:val="0"/>
                <w:lang w:val="en-US" w:eastAsia="zh-CN"/>
              </w:rPr>
            </w:pPr>
            <w:r>
              <w:rPr>
                <w:rFonts w:hint="eastAsia"/>
                <w:b w:val="0"/>
                <w:bCs w:val="0"/>
                <w:lang w:val="en-US" w:eastAsia="zh-CN"/>
              </w:rPr>
              <w:t>生产工艺流程简述：</w:t>
            </w:r>
          </w:p>
          <w:p>
            <w:pPr>
              <w:numPr>
                <w:ilvl w:val="0"/>
                <w:numId w:val="2"/>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（1）称量、备料：按照配方比例和生产计划准确称取所需原辅料。此过程产生粉尘G2-1.</w:t>
            </w:r>
          </w:p>
          <w:p>
            <w:pPr>
              <w:spacing w:line="360" w:lineRule="auto"/>
              <w:ind w:firstLine="504" w:firstLineChars="200"/>
              <w:rPr>
                <w:rFonts w:hint="default" w:ascii="Times New Roman" w:hAnsi="Times New Roman" w:cs="Times New Roman"/>
                <w:bCs/>
                <w:spacing w:val="6"/>
                <w:sz w:val="24"/>
                <w:szCs w:val="24"/>
              </w:rPr>
            </w:pPr>
            <w:r>
              <w:rPr>
                <w:rFonts w:hint="default" w:ascii="Times New Roman" w:hAnsi="Times New Roman" w:cs="Times New Roman"/>
                <w:bCs/>
                <w:spacing w:val="6"/>
                <w:sz w:val="24"/>
                <w:szCs w:val="24"/>
              </w:rPr>
              <w:t>（2）制浆：配制所需浓度的浆液或者润湿剂，备用。</w:t>
            </w:r>
          </w:p>
          <w:p>
            <w:pPr>
              <w:spacing w:line="360" w:lineRule="auto"/>
              <w:ind w:firstLine="504" w:firstLineChars="200"/>
              <w:rPr>
                <w:rFonts w:hint="default" w:ascii="Times New Roman" w:hAnsi="Times New Roman" w:cs="Times New Roman"/>
                <w:bCs/>
                <w:spacing w:val="6"/>
                <w:sz w:val="24"/>
                <w:szCs w:val="24"/>
              </w:rPr>
            </w:pPr>
            <w:r>
              <w:rPr>
                <w:rFonts w:hint="default" w:ascii="Times New Roman" w:hAnsi="Times New Roman" w:cs="Times New Roman"/>
                <w:bCs/>
                <w:spacing w:val="6"/>
                <w:sz w:val="24"/>
                <w:szCs w:val="24"/>
              </w:rPr>
              <w:t>（3）混合：需要混合的原辅料加入三维运动混合机中混合均匀。</w:t>
            </w:r>
            <w:r>
              <w:rPr>
                <w:rFonts w:hint="default" w:ascii="Times New Roman" w:hAnsi="Times New Roman" w:cs="Times New Roman"/>
                <w:sz w:val="24"/>
                <w:szCs w:val="24"/>
              </w:rPr>
              <w:t>此过程产生粉尘G2-2.</w:t>
            </w:r>
          </w:p>
          <w:p>
            <w:pPr>
              <w:spacing w:line="360" w:lineRule="auto"/>
              <w:ind w:firstLine="504" w:firstLineChars="200"/>
              <w:rPr>
                <w:rFonts w:hint="default" w:ascii="Times New Roman" w:hAnsi="Times New Roman" w:cs="Times New Roman"/>
                <w:bCs/>
                <w:spacing w:val="6"/>
                <w:sz w:val="24"/>
                <w:szCs w:val="24"/>
              </w:rPr>
            </w:pPr>
            <w:r>
              <w:rPr>
                <w:rFonts w:hint="default" w:ascii="Times New Roman" w:hAnsi="Times New Roman" w:cs="Times New Roman"/>
                <w:bCs/>
                <w:spacing w:val="6"/>
                <w:sz w:val="24"/>
                <w:szCs w:val="24"/>
              </w:rPr>
              <w:t>（4）制软材：将混合粉置于制浆锅中，边搅拌边加入浆制成软材。</w:t>
            </w:r>
          </w:p>
          <w:p>
            <w:pPr>
              <w:spacing w:line="360" w:lineRule="auto"/>
              <w:ind w:firstLine="504" w:firstLineChars="200"/>
              <w:rPr>
                <w:rFonts w:hint="default" w:ascii="Times New Roman" w:hAnsi="Times New Roman" w:cs="Times New Roman"/>
                <w:bCs/>
                <w:spacing w:val="6"/>
                <w:sz w:val="24"/>
                <w:szCs w:val="24"/>
              </w:rPr>
            </w:pPr>
            <w:r>
              <w:rPr>
                <w:rFonts w:hint="default" w:ascii="Times New Roman" w:hAnsi="Times New Roman" w:cs="Times New Roman"/>
                <w:bCs/>
                <w:spacing w:val="6"/>
                <w:sz w:val="24"/>
                <w:szCs w:val="24"/>
              </w:rPr>
              <w:t>（5）制粒：用摇摆式颗粒机装筛网制粒。</w:t>
            </w:r>
          </w:p>
          <w:p>
            <w:pPr>
              <w:spacing w:line="360" w:lineRule="auto"/>
              <w:ind w:firstLine="504" w:firstLineChars="200"/>
              <w:rPr>
                <w:rFonts w:hint="default" w:ascii="Times New Roman" w:hAnsi="Times New Roman" w:cs="Times New Roman"/>
                <w:bCs/>
                <w:spacing w:val="6"/>
                <w:sz w:val="24"/>
                <w:szCs w:val="24"/>
              </w:rPr>
            </w:pPr>
            <w:r>
              <w:rPr>
                <w:rFonts w:hint="default" w:ascii="Times New Roman" w:hAnsi="Times New Roman" w:cs="Times New Roman"/>
                <w:bCs/>
                <w:spacing w:val="6"/>
                <w:sz w:val="24"/>
                <w:szCs w:val="24"/>
              </w:rPr>
              <w:t>（6）干燥：用热风循环烘箱干燥，采用电加热，温度60℃左右，干燥至水分在1%~3%之间。</w:t>
            </w:r>
          </w:p>
          <w:p>
            <w:pPr>
              <w:spacing w:line="360" w:lineRule="auto"/>
              <w:ind w:firstLine="504" w:firstLineChars="200"/>
              <w:rPr>
                <w:rFonts w:hint="default" w:ascii="Times New Roman" w:hAnsi="Times New Roman" w:cs="Times New Roman"/>
                <w:bCs/>
                <w:spacing w:val="6"/>
                <w:sz w:val="24"/>
                <w:szCs w:val="24"/>
              </w:rPr>
            </w:pPr>
            <w:r>
              <w:rPr>
                <w:rFonts w:hint="default" w:ascii="Times New Roman" w:hAnsi="Times New Roman" w:cs="Times New Roman"/>
                <w:bCs/>
                <w:spacing w:val="6"/>
                <w:sz w:val="24"/>
                <w:szCs w:val="24"/>
              </w:rPr>
              <w:t>（7）整粒：用整粒机进行整粒。</w:t>
            </w:r>
            <w:r>
              <w:rPr>
                <w:rFonts w:hint="default" w:ascii="Times New Roman" w:hAnsi="Times New Roman" w:cs="Times New Roman"/>
                <w:sz w:val="24"/>
                <w:szCs w:val="24"/>
              </w:rPr>
              <w:t>此过程产生粉尘G2-3.</w:t>
            </w:r>
          </w:p>
          <w:p>
            <w:pPr>
              <w:spacing w:line="360" w:lineRule="auto"/>
              <w:ind w:firstLine="504" w:firstLineChars="200"/>
              <w:rPr>
                <w:rFonts w:hint="default" w:ascii="Times New Roman" w:hAnsi="Times New Roman" w:cs="Times New Roman"/>
                <w:bCs/>
                <w:spacing w:val="6"/>
                <w:sz w:val="24"/>
                <w:szCs w:val="24"/>
              </w:rPr>
            </w:pPr>
            <w:r>
              <w:rPr>
                <w:rFonts w:hint="default" w:ascii="Times New Roman" w:hAnsi="Times New Roman" w:cs="Times New Roman"/>
                <w:bCs/>
                <w:spacing w:val="6"/>
                <w:sz w:val="24"/>
                <w:szCs w:val="24"/>
              </w:rPr>
              <w:t>（8）总混：将整粒后的颗粒置于三维运动混合机中，加入润滑剂，混合20min。</w:t>
            </w:r>
          </w:p>
          <w:p>
            <w:pPr>
              <w:spacing w:line="360" w:lineRule="auto"/>
              <w:ind w:firstLine="504" w:firstLineChars="200"/>
              <w:rPr>
                <w:rFonts w:hint="default" w:ascii="Times New Roman" w:hAnsi="Times New Roman" w:cs="Times New Roman"/>
                <w:bCs/>
                <w:spacing w:val="6"/>
                <w:sz w:val="24"/>
                <w:szCs w:val="24"/>
              </w:rPr>
            </w:pPr>
            <w:r>
              <w:rPr>
                <w:rFonts w:hint="default" w:ascii="Times New Roman" w:hAnsi="Times New Roman" w:cs="Times New Roman"/>
                <w:bCs/>
                <w:spacing w:val="6"/>
                <w:sz w:val="24"/>
                <w:szCs w:val="24"/>
              </w:rPr>
              <w:t>（9）压片：将混合后的颗粒装入旋转式压片机料斗中，启动压片机压片，压片过程中应按中间品标准进行抽检，检验项目包括感官、崩解时限、片重差异。</w:t>
            </w:r>
            <w:r>
              <w:rPr>
                <w:rFonts w:hint="default" w:ascii="Times New Roman" w:hAnsi="Times New Roman" w:cs="Times New Roman"/>
                <w:sz w:val="24"/>
                <w:szCs w:val="24"/>
              </w:rPr>
              <w:t>此过程产生粉尘G2-4.</w:t>
            </w:r>
          </w:p>
          <w:p>
            <w:pPr>
              <w:spacing w:line="360" w:lineRule="auto"/>
              <w:ind w:firstLine="504" w:firstLineChars="200"/>
              <w:rPr>
                <w:rFonts w:hint="default" w:ascii="Times New Roman" w:hAnsi="Times New Roman" w:cs="Times New Roman"/>
                <w:spacing w:val="6"/>
                <w:sz w:val="24"/>
                <w:szCs w:val="24"/>
              </w:rPr>
            </w:pPr>
            <w:r>
              <w:rPr>
                <w:rFonts w:hint="default" w:ascii="Times New Roman" w:hAnsi="Times New Roman" w:cs="Times New Roman"/>
                <w:bCs/>
                <w:spacing w:val="6"/>
                <w:sz w:val="24"/>
                <w:szCs w:val="24"/>
              </w:rPr>
              <w:t>（10）包衣：</w:t>
            </w:r>
            <w:r>
              <w:rPr>
                <w:rFonts w:hint="default" w:ascii="Times New Roman" w:hAnsi="Times New Roman" w:cs="Times New Roman"/>
                <w:spacing w:val="6"/>
                <w:sz w:val="24"/>
                <w:szCs w:val="24"/>
              </w:rPr>
              <w:t>将称好的包衣预混剂置配液缸中加纯化水，制成15%的包衣液，搅拌45min以上。将素片置于包衣机的滚筒内，设定包衣机进风温度70℃，出风温度45℃，滚筒转速4～10R/min，预热40min后开始包衣。包衣喷枪压力0.4MPa，持续喷洒包衣液直至将片芯覆盖均匀严密。包衣结束后片子继续在锅内滚动加热30分钟，至片子完全烘干后即可出片。包衣机采用电加热。</w:t>
            </w:r>
          </w:p>
          <w:p>
            <w:pPr>
              <w:pStyle w:val="36"/>
              <w:spacing w:line="360" w:lineRule="auto"/>
              <w:jc w:val="both"/>
              <w:rPr>
                <w:rFonts w:hint="default" w:ascii="Times New Roman" w:hAnsi="Times New Roman" w:cs="Times New Roman"/>
                <w:bCs/>
                <w:spacing w:val="6"/>
                <w:sz w:val="24"/>
                <w:szCs w:val="24"/>
              </w:rPr>
            </w:pPr>
            <w:r>
              <w:rPr>
                <w:rFonts w:hint="default" w:ascii="Times New Roman" w:hAnsi="Times New Roman" w:cs="Times New Roman"/>
                <w:bCs/>
                <w:spacing w:val="6"/>
                <w:sz w:val="24"/>
                <w:szCs w:val="24"/>
              </w:rPr>
              <w:t>（11）包装入库：内包装采用盒装，每盒装6片；外包装采用瓦楞纸箱。检验合格后，凭检验报告单入库。</w:t>
            </w:r>
          </w:p>
          <w:p>
            <w:pPr>
              <w:pStyle w:val="36"/>
              <w:spacing w:line="360" w:lineRule="auto"/>
              <w:jc w:val="both"/>
              <w:rPr>
                <w:rFonts w:hint="eastAsia" w:eastAsiaTheme="minorEastAsia"/>
                <w:bCs/>
                <w:spacing w:val="6"/>
                <w:sz w:val="24"/>
                <w:lang w:val="en-US" w:eastAsia="zh-CN"/>
              </w:rPr>
            </w:pPr>
            <w:r>
              <w:rPr>
                <w:rFonts w:hint="eastAsia"/>
                <w:bCs/>
                <w:spacing w:val="6"/>
                <w:sz w:val="24"/>
                <w:lang w:val="en-US" w:eastAsia="zh-CN"/>
              </w:rPr>
              <w:t>2、</w:t>
            </w:r>
            <w:r>
              <w:rPr>
                <w:b/>
                <w:bCs/>
                <w:sz w:val="24"/>
              </w:rPr>
              <w:t>口服液生产工艺流程</w:t>
            </w:r>
          </w:p>
          <w:p>
            <w:pPr>
              <w:spacing w:line="360" w:lineRule="auto"/>
              <w:ind w:firstLine="482" w:firstLineChars="200"/>
              <w:rPr>
                <w:bCs/>
                <w:color w:val="auto"/>
                <w:sz w:val="24"/>
              </w:rPr>
            </w:pPr>
            <w:r>
              <w:rPr>
                <w:b/>
                <w:bCs/>
                <w:sz w:val="24"/>
              </w:rPr>
              <w:t>工艺流程说明：</w:t>
            </w:r>
            <w:r>
              <w:rPr>
                <w:bCs/>
                <w:sz w:val="24"/>
              </w:rPr>
              <w:t>本项目口服液产品分为两种工艺，一种是购买大桶装成品（25kg/桶）采用灌装机分装为瓶装（100mL/瓶），例如：七氟烷、</w:t>
            </w:r>
            <w:r>
              <w:rPr>
                <w:rFonts w:hint="eastAsia"/>
                <w:bCs/>
                <w:sz w:val="24"/>
              </w:rPr>
              <w:t>替米考星溶液、</w:t>
            </w:r>
            <w:r>
              <w:rPr>
                <w:bCs/>
                <w:sz w:val="24"/>
              </w:rPr>
              <w:t>异氟烷。另一种是采用粉状原料与纯水按照比例在混合机内充分混合后采用灌装机分装制得（100mL/瓶），例如：</w:t>
            </w:r>
            <w:r>
              <w:rPr>
                <w:rFonts w:hint="eastAsia"/>
                <w:bCs/>
                <w:sz w:val="24"/>
              </w:rPr>
              <w:t>氟苯尼考溶液、地克珠利、硫酸新霉素溶液、复合维生素B溶液、伊维菌素溶液、</w:t>
            </w:r>
            <w:r>
              <w:rPr>
                <w:bCs/>
                <w:sz w:val="24"/>
              </w:rPr>
              <w:t>恩诺沙星。</w:t>
            </w:r>
            <w:r>
              <w:rPr>
                <w:bCs/>
                <w:color w:val="auto"/>
                <w:sz w:val="24"/>
              </w:rPr>
              <w:t>口服液生产中七氟烷、异氟烷</w:t>
            </w:r>
            <w:r>
              <w:rPr>
                <w:rFonts w:hint="eastAsia"/>
                <w:bCs/>
                <w:color w:val="auto"/>
                <w:sz w:val="24"/>
              </w:rPr>
              <w:t>、丙二醇</w:t>
            </w:r>
            <w:r>
              <w:rPr>
                <w:bCs/>
                <w:color w:val="auto"/>
                <w:sz w:val="24"/>
              </w:rPr>
              <w:t>等均易挥发产生有机废气G1-1，以VOCs计</w:t>
            </w:r>
            <w:r>
              <w:rPr>
                <w:rFonts w:hint="eastAsia"/>
                <w:bCs/>
                <w:color w:val="auto"/>
                <w:sz w:val="24"/>
              </w:rPr>
              <w:t>；粉状原料采用人工投料会产生粉尘G1-2</w:t>
            </w:r>
            <w:r>
              <w:rPr>
                <w:bCs/>
                <w:color w:val="auto"/>
                <w:sz w:val="24"/>
              </w:rPr>
              <w:t>。</w:t>
            </w:r>
          </w:p>
          <w:p>
            <w:pPr>
              <w:pStyle w:val="16"/>
              <w:adjustRightInd/>
              <w:snapToGrid/>
              <w:spacing w:line="360" w:lineRule="auto"/>
              <w:ind w:left="0" w:leftChars="0" w:firstLine="480"/>
              <w:rPr>
                <w:rFonts w:hint="default" w:ascii="Times New Roman" w:hAnsi="Times New Roman" w:eastAsia="SimSun" w:cs="Times New Roman"/>
                <w:color w:val="000000"/>
                <w:sz w:val="24"/>
                <w:szCs w:val="24"/>
              </w:rPr>
            </w:pPr>
          </w:p>
          <w:p>
            <w:pPr>
              <w:pStyle w:val="16"/>
              <w:adjustRightInd/>
              <w:snapToGrid/>
              <w:spacing w:line="360" w:lineRule="auto"/>
              <w:ind w:left="0" w:leftChars="0" w:firstLine="480"/>
              <w:rPr>
                <w:rFonts w:hint="default" w:ascii="Times New Roman" w:hAnsi="Times New Roman" w:eastAsia="SimSun" w:cs="Times New Roman"/>
                <w:color w:val="000000"/>
                <w:sz w:val="24"/>
                <w:szCs w:val="24"/>
              </w:rPr>
            </w:pPr>
            <w:r>
              <w:rPr>
                <w:rFonts w:hint="default" w:ascii="Times New Roman" w:hAnsi="Times New Roman" w:eastAsia="SimSun" w:cs="Times New Roman"/>
                <w:color w:val="000000"/>
                <w:sz w:val="24"/>
                <w:szCs w:val="24"/>
              </w:rPr>
              <w:t>产污环节：</w:t>
            </w:r>
          </w:p>
          <w:p>
            <w:pPr>
              <w:widowControl/>
              <w:spacing w:line="360" w:lineRule="auto"/>
              <w:ind w:firstLine="480" w:firstLineChars="200"/>
              <w:rPr>
                <w:rFonts w:hint="eastAsia" w:ascii="Times New Roman" w:hAnsi="Times New Roman" w:eastAsia="SimSun" w:cs="Times New Roman"/>
                <w:color w:val="auto"/>
                <w:sz w:val="24"/>
                <w:szCs w:val="24"/>
                <w:lang w:eastAsia="zh-CN"/>
              </w:rPr>
            </w:pPr>
            <w:r>
              <w:rPr>
                <w:color w:val="auto"/>
                <w:kern w:val="0"/>
                <w:sz w:val="24"/>
              </w:rPr>
              <w:t>项目加料及传输过程均在密闭设备中进行，</w:t>
            </w:r>
            <w:r>
              <w:rPr>
                <w:rFonts w:hint="eastAsia"/>
                <w:color w:val="auto"/>
                <w:kern w:val="0"/>
                <w:sz w:val="24"/>
              </w:rPr>
              <w:t>项目产生的废气主要包括口服液生产中产生的有机废气和粉尘、片剂生产中称量、混合、整粒、压片产生的粉尘、以及化验室原料和产品化验产生的有机废气。</w:t>
            </w:r>
          </w:p>
          <w:p>
            <w:pPr>
              <w:pStyle w:val="16"/>
              <w:adjustRightInd/>
              <w:snapToGrid/>
              <w:spacing w:line="360" w:lineRule="auto"/>
              <w:ind w:left="0" w:leftChars="0" w:firstLine="0" w:firstLineChars="0"/>
              <w:jc w:val="both"/>
              <w:rPr>
                <w:b/>
                <w:bCs/>
                <w:sz w:val="24"/>
                <w:szCs w:val="24"/>
              </w:rPr>
            </w:pPr>
            <w:r>
              <w:rPr>
                <w:rFonts w:hint="eastAsia"/>
                <w:b/>
                <w:bCs/>
                <w:sz w:val="24"/>
                <w:szCs w:val="24"/>
              </w:rPr>
              <w:t>项目变动情况</w:t>
            </w:r>
          </w:p>
          <w:p>
            <w:pPr>
              <w:widowControl w:val="0"/>
              <w:spacing w:after="0" w:line="360" w:lineRule="auto"/>
              <w:ind w:firstLine="480" w:firstLineChars="200"/>
              <w:jc w:val="both"/>
              <w:rPr>
                <w:rFonts w:hint="eastAsia" w:ascii="Times New Roman" w:hAnsi="Times New Roman" w:eastAsia="SimSun" w:cs="Times New Roman"/>
                <w:color w:val="auto"/>
                <w:sz w:val="24"/>
                <w:lang w:val="en-US" w:eastAsia="zh-CN"/>
              </w:rPr>
            </w:pPr>
            <w:r>
              <w:rPr>
                <w:rFonts w:hint="eastAsia"/>
                <w:color w:val="auto"/>
                <w:sz w:val="24"/>
                <w:szCs w:val="24"/>
                <w:lang w:val="zh-CN"/>
              </w:rPr>
              <w:t xml:space="preserve"> </w:t>
            </w:r>
            <w:r>
              <w:rPr>
                <w:rFonts w:hint="eastAsia"/>
                <w:szCs w:val="24"/>
                <w:lang w:val="zh-CN"/>
              </w:rPr>
              <w:t xml:space="preserve"> </w:t>
            </w:r>
            <w:r>
              <w:rPr>
                <w:rFonts w:hint="eastAsia" w:ascii="Times New Roman" w:hAnsi="Times New Roman" w:eastAsia="SimSun" w:cs="Times New Roman"/>
                <w:color w:val="auto"/>
                <w:sz w:val="24"/>
                <w:lang w:val="en-US" w:eastAsia="zh-CN"/>
              </w:rPr>
              <w:t>对照一期建设计划，口服液生产过程中产生的废气</w:t>
            </w:r>
            <w:r>
              <w:rPr>
                <w:rFonts w:hint="default" w:ascii="Times New Roman" w:hAnsi="Times New Roman" w:eastAsia="SimSun" w:cs="Times New Roman"/>
                <w:color w:val="auto"/>
                <w:sz w:val="24"/>
                <w:lang w:val="en-US" w:eastAsia="zh-CN"/>
              </w:rPr>
              <w:t>经集气罩收集后</w:t>
            </w:r>
            <w:r>
              <w:rPr>
                <w:rFonts w:hint="eastAsia" w:ascii="Times New Roman" w:hAnsi="Times New Roman" w:eastAsia="SimSun" w:cs="Times New Roman"/>
                <w:color w:val="auto"/>
                <w:sz w:val="24"/>
                <w:lang w:val="en-US" w:eastAsia="zh-CN"/>
              </w:rPr>
              <w:t>+片剂生产过程中产生的粉尘经集气罩收集+化验室化验过程产生的有机废气经收集后引入“布袋除尘器+UV光氧装置+活性炭吸附”装置处理，最后均通过1根15米高排气筒排放。由于资金不足本项目分期建设、分期验收，一期生产设备相对环评比较减少数台（混合机少一台、颗粒机少一台、压片机少一台、包衣机少一台、包装机少一台、整粒机少一台、定量包装机少一台、颗粒填充机少二台、制浆锅少一台、搅拌罐少一台、灌装机少一台、旋盖机少二台、贴标机少四台、供瓶机少二台、滚筒洗瓶机少二台、4泵灌装轧盖机少二台、搅拌罐少四台）。本项目消毒剂生产工艺未建设，原辅材料相对减少，项目建设地点、环保设施、对照环办</w:t>
            </w:r>
            <w:r>
              <w:rPr>
                <w:rFonts w:hint="default" w:ascii="Times New Roman" w:hAnsi="Times New Roman" w:eastAsia="SimSun" w:cs="Times New Roman"/>
                <w:color w:val="auto"/>
                <w:sz w:val="24"/>
                <w:lang w:val="en-US" w:eastAsia="zh-CN"/>
              </w:rPr>
              <w:t>［2015］52</w:t>
            </w:r>
            <w:r>
              <w:rPr>
                <w:rFonts w:hint="eastAsia" w:ascii="Times New Roman" w:hAnsi="Times New Roman" w:eastAsia="SimSun" w:cs="Times New Roman"/>
                <w:color w:val="auto"/>
                <w:sz w:val="24"/>
                <w:lang w:val="en-US" w:eastAsia="zh-CN"/>
              </w:rPr>
              <w:t>号文和环办环评</w:t>
            </w:r>
            <w:r>
              <w:rPr>
                <w:rFonts w:hint="default" w:ascii="Times New Roman" w:hAnsi="Times New Roman" w:eastAsia="SimSun" w:cs="Times New Roman"/>
                <w:color w:val="auto"/>
                <w:sz w:val="24"/>
                <w:lang w:val="en-US" w:eastAsia="zh-CN"/>
              </w:rPr>
              <w:t>〔2018〕6</w:t>
            </w:r>
            <w:r>
              <w:rPr>
                <w:rFonts w:hint="eastAsia" w:ascii="Times New Roman" w:hAnsi="Times New Roman" w:eastAsia="SimSun" w:cs="Times New Roman"/>
                <w:color w:val="auto"/>
                <w:sz w:val="24"/>
                <w:lang w:val="en-US" w:eastAsia="zh-CN"/>
              </w:rPr>
              <w:t>号文，</w:t>
            </w:r>
            <w:r>
              <w:rPr>
                <w:rFonts w:hint="default" w:ascii="Times New Roman" w:hAnsi="Times New Roman" w:eastAsia="SimSun" w:cs="Times New Roman"/>
                <w:color w:val="auto"/>
                <w:sz w:val="24"/>
                <w:lang w:val="en-US" w:eastAsia="zh-CN"/>
              </w:rPr>
              <w:t>本工程变更不属于重大变动</w:t>
            </w:r>
            <w:r>
              <w:rPr>
                <w:rFonts w:hint="eastAsia" w:ascii="Times New Roman" w:hAnsi="Times New Roman" w:eastAsia="SimSun"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p>
          <w:p>
            <w:pPr>
              <w:pStyle w:val="33"/>
              <w:rPr>
                <w:rFonts w:hint="default"/>
                <w:lang w:val="en-US" w:eastAsia="zh-CN"/>
              </w:rPr>
            </w:pPr>
          </w:p>
        </w:tc>
      </w:tr>
    </w:tbl>
    <w:p>
      <w:pPr>
        <w:spacing w:line="360" w:lineRule="auto"/>
        <w:rPr>
          <w:rFonts w:ascii="Times New Roman" w:hAnsi="Times New Roman" w:cs="Times New Roman"/>
          <w:spacing w:val="6"/>
          <w:sz w:val="28"/>
          <w:szCs w:val="28"/>
        </w:rPr>
        <w:sectPr>
          <w:headerReference r:id="rId6" w:type="default"/>
          <w:pgSz w:w="11906" w:h="16838"/>
          <w:pgMar w:top="1440" w:right="1800" w:bottom="1843"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5"/>
        <w:spacing w:before="0" w:after="0" w:line="240" w:lineRule="auto"/>
        <w:rPr>
          <w:rFonts w:ascii="Times New Roman" w:hAnsi="Times New Roman" w:cs="Times New Roman"/>
          <w:spacing w:val="6"/>
          <w:sz w:val="28"/>
          <w:szCs w:val="28"/>
        </w:rPr>
      </w:pPr>
      <w:bookmarkStart w:id="3" w:name="_Toc517710309"/>
      <w:r>
        <w:rPr>
          <w:rFonts w:ascii="Times New Roman" w:hAnsi="Times New Roman" w:cs="Times New Roman"/>
          <w:sz w:val="28"/>
          <w:szCs w:val="28"/>
        </w:rPr>
        <w:t xml:space="preserve">表三  </w:t>
      </w:r>
      <w:bookmarkEnd w:id="3"/>
    </w:p>
    <w:tbl>
      <w:tblPr>
        <w:tblStyle w:val="29"/>
        <w:tblW w:w="9904" w:type="dxa"/>
        <w:jc w:val="center"/>
        <w:tblInd w:w="-22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90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253" w:hRule="atLeast"/>
          <w:jc w:val="center"/>
        </w:trPr>
        <w:tc>
          <w:tcPr>
            <w:tcW w:w="9904" w:type="dxa"/>
          </w:tcPr>
          <w:p>
            <w:pPr>
              <w:keepNext/>
              <w:keepLines/>
              <w:widowControl/>
              <w:spacing w:line="360" w:lineRule="auto"/>
              <w:jc w:val="left"/>
              <w:outlineLvl w:val="2"/>
              <w:rPr>
                <w:rFonts w:ascii="Times New Roman" w:hAnsi="Times New Roman" w:eastAsia="SimSun"/>
                <w:b/>
                <w:bCs/>
                <w:color w:val="000000"/>
                <w:kern w:val="0"/>
                <w:sz w:val="28"/>
                <w:szCs w:val="28"/>
              </w:rPr>
            </w:pPr>
            <w:r>
              <w:rPr>
                <w:rFonts w:hint="eastAsia" w:ascii="Times New Roman" w:hAnsi="Times New Roman" w:eastAsia="SimSun"/>
                <w:b/>
                <w:bCs/>
                <w:color w:val="000000"/>
                <w:kern w:val="0"/>
                <w:sz w:val="28"/>
                <w:szCs w:val="28"/>
              </w:rPr>
              <w:t>主要污染源、污染物处理和排放</w:t>
            </w:r>
          </w:p>
          <w:p>
            <w:pPr>
              <w:keepNext/>
              <w:keepLines/>
              <w:widowControl/>
              <w:spacing w:line="360" w:lineRule="auto"/>
              <w:jc w:val="left"/>
              <w:outlineLvl w:val="2"/>
              <w:rPr>
                <w:rFonts w:hint="eastAsia" w:ascii="Times New Roman" w:hAnsi="Times New Roman" w:eastAsia="SimSun"/>
                <w:b/>
                <w:bCs/>
                <w:color w:val="000000"/>
                <w:kern w:val="0"/>
                <w:sz w:val="24"/>
                <w:lang w:val="en-US" w:eastAsia="zh-CN"/>
              </w:rPr>
            </w:pPr>
            <w:r>
              <w:rPr>
                <w:rFonts w:hint="eastAsia" w:ascii="Times New Roman" w:hAnsi="Times New Roman" w:eastAsia="SimSun"/>
                <w:b/>
                <w:bCs/>
                <w:color w:val="000000"/>
                <w:kern w:val="0"/>
                <w:sz w:val="24"/>
              </w:rPr>
              <w:t>1、废水</w:t>
            </w:r>
          </w:p>
          <w:p>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SimSun" w:cs="Times New Roman"/>
                <w:color w:val="auto"/>
                <w:sz w:val="24"/>
                <w:szCs w:val="24"/>
                <w:lang w:eastAsia="zh-CN"/>
              </w:rPr>
            </w:pPr>
            <w:r>
              <w:rPr>
                <w:rFonts w:hint="default" w:ascii="Times New Roman" w:hAnsi="Times New Roman" w:eastAsia="SimSun" w:cs="Times New Roman"/>
                <w:color w:val="auto"/>
                <w:sz w:val="24"/>
                <w:szCs w:val="24"/>
              </w:rPr>
              <w:t>本项目</w:t>
            </w:r>
            <w:r>
              <w:rPr>
                <w:rFonts w:hint="eastAsia" w:ascii="Times New Roman" w:hAnsi="Times New Roman" w:eastAsia="SimSun" w:cs="Times New Roman"/>
                <w:color w:val="auto"/>
                <w:sz w:val="24"/>
                <w:szCs w:val="24"/>
                <w:lang w:eastAsia="zh-CN"/>
              </w:rPr>
              <w:t>产生的废水主要为</w:t>
            </w:r>
            <w:r>
              <w:rPr>
                <w:rFonts w:hint="eastAsia" w:ascii="Times New Roman" w:hAnsi="Times New Roman" w:eastAsia="SimSun" w:cs="Times New Roman"/>
                <w:color w:val="auto"/>
                <w:sz w:val="24"/>
                <w:szCs w:val="24"/>
                <w:lang w:val="en-US" w:eastAsia="zh-CN"/>
              </w:rPr>
              <w:t>设备清洗废水、车间地面清洁废水、口服液瓶清洗水、纯水制备浓水</w:t>
            </w:r>
            <w:r>
              <w:rPr>
                <w:rFonts w:hint="default" w:ascii="Times New Roman" w:hAnsi="Times New Roman" w:eastAsia="SimSun" w:cs="Times New Roman"/>
                <w:color w:val="auto"/>
                <w:sz w:val="24"/>
                <w:szCs w:val="24"/>
                <w:lang w:val="en-US" w:eastAsia="zh-CN"/>
              </w:rPr>
              <w:t>预处理后须满足《污水排入城镇下水道水质标准》（GB/T31962-2015）B等级标准</w:t>
            </w:r>
            <w:r>
              <w:rPr>
                <w:rFonts w:hint="eastAsia" w:ascii="Times New Roman" w:hAnsi="Times New Roman" w:eastAsia="SimSun" w:cs="Times New Roman"/>
                <w:color w:val="auto"/>
                <w:sz w:val="24"/>
                <w:szCs w:val="24"/>
                <w:lang w:val="en-US" w:eastAsia="zh-CN"/>
              </w:rPr>
              <w:t>后排入商河县经济开发区污水处理厂。</w:t>
            </w:r>
          </w:p>
          <w:p>
            <w:pPr>
              <w:keepNext/>
              <w:keepLines/>
              <w:widowControl/>
              <w:spacing w:line="360" w:lineRule="auto"/>
              <w:jc w:val="left"/>
              <w:outlineLvl w:val="2"/>
              <w:rPr>
                <w:rFonts w:hint="eastAsia" w:ascii="Times New Roman" w:hAnsi="Times New Roman" w:eastAsia="SimSun"/>
                <w:b/>
                <w:bCs/>
                <w:color w:val="000000"/>
                <w:kern w:val="0"/>
                <w:sz w:val="24"/>
                <w:lang w:val="en-US" w:eastAsia="zh-CN"/>
              </w:rPr>
            </w:pPr>
            <w:r>
              <w:rPr>
                <w:rFonts w:hint="eastAsia" w:ascii="Times New Roman" w:hAnsi="Times New Roman" w:eastAsia="SimSun"/>
                <w:b/>
                <w:bCs/>
                <w:color w:val="000000"/>
                <w:kern w:val="0"/>
                <w:sz w:val="24"/>
              </w:rPr>
              <w:t>2、废气</w:t>
            </w:r>
          </w:p>
          <w:p>
            <w:pPr>
              <w:keepNext w:val="0"/>
              <w:keepLines w:val="0"/>
              <w:pageBreakBefore w:val="0"/>
              <w:widowControl/>
              <w:kinsoku/>
              <w:wordWrap/>
              <w:overflowPunct/>
              <w:topLinePunct w:val="0"/>
              <w:bidi w:val="0"/>
              <w:snapToGrid/>
              <w:spacing w:line="360" w:lineRule="auto"/>
              <w:ind w:firstLine="480" w:firstLineChars="200"/>
              <w:jc w:val="left"/>
              <w:textAlignment w:val="auto"/>
              <w:rPr>
                <w:rFonts w:hint="eastAsia" w:ascii="Times New Roman" w:hAnsi="Times New Roman"/>
                <w:bCs/>
                <w:kern w:val="0"/>
                <w:sz w:val="24"/>
                <w:lang w:val="en-US" w:eastAsia="zh-CN"/>
              </w:rPr>
            </w:pPr>
            <w:r>
              <w:rPr>
                <w:rFonts w:hint="eastAsia" w:ascii="Times New Roman" w:hAnsi="Times New Roman"/>
                <w:bCs/>
                <w:kern w:val="0"/>
                <w:sz w:val="24"/>
                <w:lang w:val="en-US" w:eastAsia="zh-CN"/>
              </w:rPr>
              <w:t>本项目口服液、片剂生产过程中产生的废气和粉尘，废气主要为挥发性有机废气以VOCs计和粉尘+化验室产生的有机废气经集气罩收集后进入高效布袋除尘器处理+光氧催化+活性炭吸附处理经1# 15m排气筒排放。未被收集的少量废气和</w:t>
            </w:r>
            <w:r>
              <w:rPr>
                <w:rFonts w:hint="eastAsia"/>
                <w:bCs/>
                <w:color w:val="auto"/>
                <w:sz w:val="24"/>
              </w:rPr>
              <w:t>粉尘</w:t>
            </w:r>
            <w:r>
              <w:rPr>
                <w:rFonts w:hint="eastAsia" w:ascii="Times New Roman" w:hAnsi="Times New Roman"/>
                <w:bCs/>
                <w:kern w:val="0"/>
                <w:sz w:val="24"/>
                <w:lang w:val="en-US" w:eastAsia="zh-CN"/>
              </w:rPr>
              <w:t>，通过加强车间通风，无组织排放。</w:t>
            </w:r>
          </w:p>
          <w:p>
            <w:pPr>
              <w:keepNext w:val="0"/>
              <w:keepLines w:val="0"/>
              <w:pageBreakBefore w:val="0"/>
              <w:widowControl/>
              <w:kinsoku/>
              <w:wordWrap/>
              <w:overflowPunct/>
              <w:topLinePunct w:val="0"/>
              <w:bidi w:val="0"/>
              <w:snapToGrid/>
              <w:spacing w:line="360" w:lineRule="auto"/>
              <w:ind w:firstLine="482" w:firstLineChars="200"/>
              <w:jc w:val="center"/>
              <w:textAlignment w:val="auto"/>
              <w:rPr>
                <w:rFonts w:hint="eastAsia" w:eastAsiaTheme="minorEastAsia"/>
                <w:b/>
                <w:bCs/>
                <w:sz w:val="24"/>
                <w:szCs w:val="24"/>
                <w:lang w:eastAsia="zh-CN"/>
              </w:rPr>
            </w:pPr>
            <w:r>
              <w:rPr>
                <w:rFonts w:hint="eastAsia" w:ascii="Times New Roman" w:hAnsi="Times New Roman" w:cs="Times New Roman"/>
                <w:b/>
                <w:bCs/>
                <w:sz w:val="24"/>
                <w:szCs w:val="24"/>
                <w:lang w:eastAsia="zh-CN"/>
              </w:rPr>
              <w:t>表</w:t>
            </w:r>
            <w:r>
              <w:rPr>
                <w:rFonts w:hint="default" w:ascii="Times New Roman" w:hAnsi="Times New Roman" w:cs="Times New Roman"/>
                <w:b/>
                <w:bCs/>
                <w:sz w:val="24"/>
                <w:szCs w:val="24"/>
              </w:rPr>
              <w:t>3-</w:t>
            </w:r>
            <w:r>
              <w:rPr>
                <w:rFonts w:hint="eastAsia" w:ascii="Times New Roman" w:hAnsi="Times New Roman" w:cs="Times New Roman"/>
                <w:b/>
                <w:bCs/>
                <w:sz w:val="24"/>
                <w:szCs w:val="24"/>
                <w:lang w:val="en-US" w:eastAsia="zh-CN"/>
              </w:rPr>
              <w:t>1</w:t>
            </w:r>
            <w:r>
              <w:rPr>
                <w:rFonts w:hint="eastAsia"/>
                <w:b/>
                <w:bCs/>
                <w:sz w:val="24"/>
                <w:szCs w:val="24"/>
              </w:rPr>
              <w:t xml:space="preserve"> </w:t>
            </w:r>
            <w:r>
              <w:rPr>
                <w:b/>
                <w:bCs/>
                <w:sz w:val="24"/>
                <w:szCs w:val="24"/>
              </w:rPr>
              <w:t>废气来源及处理方式</w:t>
            </w:r>
            <w:r>
              <w:rPr>
                <w:rFonts w:hint="eastAsia"/>
                <w:b/>
                <w:bCs/>
                <w:sz w:val="24"/>
                <w:szCs w:val="24"/>
                <w:lang w:eastAsia="zh-CN"/>
              </w:rPr>
              <w:t>一览表</w:t>
            </w:r>
          </w:p>
          <w:tbl>
            <w:tblPr>
              <w:tblStyle w:val="29"/>
              <w:tblpPr w:leftFromText="180" w:rightFromText="180" w:vertAnchor="text" w:horzAnchor="page" w:tblpX="1" w:tblpY="63"/>
              <w:tblOverlap w:val="never"/>
              <w:tblW w:w="98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0"/>
              <w:gridCol w:w="3090"/>
              <w:gridCol w:w="2190"/>
              <w:gridCol w:w="37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790" w:type="dxa"/>
                  <w:vAlign w:val="center"/>
                </w:tcPr>
                <w:p>
                  <w:pPr>
                    <w:jc w:val="center"/>
                    <w:rPr>
                      <w:b/>
                      <w:bCs/>
                      <w:color w:val="auto"/>
                      <w:sz w:val="21"/>
                      <w:szCs w:val="21"/>
                    </w:rPr>
                  </w:pPr>
                  <w:r>
                    <w:rPr>
                      <w:b/>
                      <w:bCs/>
                      <w:color w:val="auto"/>
                      <w:sz w:val="21"/>
                      <w:szCs w:val="21"/>
                    </w:rPr>
                    <w:t>序号</w:t>
                  </w:r>
                </w:p>
              </w:tc>
              <w:tc>
                <w:tcPr>
                  <w:tcW w:w="3090" w:type="dxa"/>
                  <w:vAlign w:val="center"/>
                </w:tcPr>
                <w:p>
                  <w:pPr>
                    <w:jc w:val="center"/>
                    <w:rPr>
                      <w:rFonts w:hint="eastAsia"/>
                      <w:b/>
                      <w:bCs/>
                      <w:color w:val="auto"/>
                      <w:sz w:val="21"/>
                      <w:szCs w:val="21"/>
                    </w:rPr>
                  </w:pPr>
                  <w:r>
                    <w:rPr>
                      <w:rFonts w:hint="eastAsia"/>
                      <w:b/>
                      <w:bCs/>
                      <w:color w:val="auto"/>
                      <w:sz w:val="21"/>
                      <w:szCs w:val="21"/>
                    </w:rPr>
                    <w:t>产生环节</w:t>
                  </w:r>
                </w:p>
              </w:tc>
              <w:tc>
                <w:tcPr>
                  <w:tcW w:w="2190" w:type="dxa"/>
                  <w:vAlign w:val="center"/>
                </w:tcPr>
                <w:p>
                  <w:pPr>
                    <w:jc w:val="center"/>
                    <w:rPr>
                      <w:b/>
                      <w:bCs/>
                      <w:color w:val="auto"/>
                      <w:sz w:val="21"/>
                      <w:szCs w:val="21"/>
                    </w:rPr>
                  </w:pPr>
                  <w:r>
                    <w:rPr>
                      <w:b/>
                      <w:bCs/>
                      <w:color w:val="auto"/>
                      <w:sz w:val="21"/>
                      <w:szCs w:val="21"/>
                    </w:rPr>
                    <w:t>名称</w:t>
                  </w:r>
                </w:p>
              </w:tc>
              <w:tc>
                <w:tcPr>
                  <w:tcW w:w="3750" w:type="dxa"/>
                  <w:vAlign w:val="center"/>
                </w:tcPr>
                <w:p>
                  <w:pPr>
                    <w:jc w:val="center"/>
                    <w:rPr>
                      <w:rFonts w:hint="eastAsia" w:eastAsiaTheme="minorEastAsia"/>
                      <w:b/>
                      <w:bCs/>
                      <w:color w:val="auto"/>
                      <w:sz w:val="21"/>
                      <w:szCs w:val="21"/>
                      <w:lang w:val="en-US" w:eastAsia="zh-CN"/>
                    </w:rPr>
                  </w:pPr>
                  <w:r>
                    <w:rPr>
                      <w:rFonts w:hint="eastAsia"/>
                      <w:b/>
                      <w:bCs/>
                      <w:color w:val="auto"/>
                      <w:sz w:val="21"/>
                      <w:szCs w:val="21"/>
                      <w:lang w:val="en-US" w:eastAsia="zh-CN"/>
                    </w:rPr>
                    <w:t>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790" w:type="dxa"/>
                  <w:vAlign w:val="center"/>
                </w:tcPr>
                <w:p>
                  <w:pPr>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3090" w:type="dxa"/>
                  <w:vAlign w:val="center"/>
                </w:tcPr>
                <w:p>
                  <w:pPr>
                    <w:spacing w:line="240" w:lineRule="auto"/>
                    <w:jc w:val="center"/>
                    <w:rPr>
                      <w:rFonts w:hint="eastAsia"/>
                      <w:color w:val="auto"/>
                      <w:lang w:val="en-US" w:eastAsia="zh-CN"/>
                    </w:rPr>
                  </w:pPr>
                  <w:r>
                    <w:rPr>
                      <w:rFonts w:hint="default"/>
                      <w:color w:val="auto"/>
                      <w:lang w:val="en-US" w:eastAsia="zh-CN"/>
                    </w:rPr>
                    <w:t>G1</w:t>
                  </w:r>
                  <w:r>
                    <w:rPr>
                      <w:rFonts w:hint="eastAsia"/>
                      <w:color w:val="auto"/>
                      <w:lang w:val="en-US" w:eastAsia="zh-CN"/>
                    </w:rPr>
                    <w:t>片剂</w:t>
                  </w:r>
                  <w:r>
                    <w:rPr>
                      <w:rFonts w:hint="default"/>
                      <w:color w:val="auto"/>
                      <w:lang w:val="en-US" w:eastAsia="zh-CN"/>
                    </w:rPr>
                    <w:t>称量、混合、整粒</w:t>
                  </w:r>
                  <w:r>
                    <w:rPr>
                      <w:rFonts w:hint="eastAsia"/>
                      <w:color w:val="auto"/>
                      <w:lang w:val="en-US" w:eastAsia="zh-CN"/>
                    </w:rPr>
                    <w:t>、</w:t>
                  </w:r>
                  <w:r>
                    <w:rPr>
                      <w:rFonts w:hint="default"/>
                      <w:color w:val="auto"/>
                      <w:lang w:val="en-US" w:eastAsia="zh-CN"/>
                    </w:rPr>
                    <w:t>压片生产工序</w:t>
                  </w:r>
                  <w:r>
                    <w:rPr>
                      <w:rFonts w:hint="eastAsia"/>
                      <w:color w:val="auto"/>
                      <w:lang w:val="en-US" w:eastAsia="zh-CN"/>
                    </w:rPr>
                    <w:t>、口服液</w:t>
                  </w:r>
                </w:p>
                <w:p>
                  <w:pPr>
                    <w:spacing w:line="240" w:lineRule="auto"/>
                    <w:jc w:val="left"/>
                    <w:rPr>
                      <w:rFonts w:hint="default"/>
                      <w:color w:val="auto"/>
                      <w:lang w:val="en-US" w:eastAsia="zh-CN"/>
                    </w:rPr>
                  </w:pPr>
                  <w:r>
                    <w:rPr>
                      <w:rFonts w:hint="eastAsia"/>
                      <w:color w:val="auto"/>
                      <w:lang w:val="en-US" w:eastAsia="zh-CN"/>
                    </w:rPr>
                    <w:t>生产工序</w:t>
                  </w:r>
                  <w:r>
                    <w:rPr>
                      <w:rFonts w:hint="eastAsia" w:asciiTheme="minorHAnsi" w:hAnsiTheme="minorHAnsi" w:eastAsiaTheme="minorEastAsia" w:cstheme="minorBidi"/>
                      <w:color w:val="auto"/>
                      <w:kern w:val="2"/>
                      <w:sz w:val="21"/>
                      <w:szCs w:val="21"/>
                      <w:lang w:val="en-US" w:eastAsia="zh-CN" w:bidi="ar-SA"/>
                    </w:rPr>
                    <w:t>化验室产生的废气</w:t>
                  </w:r>
                </w:p>
              </w:tc>
              <w:tc>
                <w:tcPr>
                  <w:tcW w:w="2190" w:type="dxa"/>
                  <w:vAlign w:val="center"/>
                </w:tcPr>
                <w:p>
                  <w:pPr>
                    <w:jc w:val="center"/>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颗粒物</w:t>
                  </w:r>
                </w:p>
                <w:p>
                  <w:pPr>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VOCs</w:t>
                  </w:r>
                </w:p>
                <w:p>
                  <w:pPr>
                    <w:bidi w:val="0"/>
                    <w:jc w:val="center"/>
                    <w:rPr>
                      <w:rFonts w:hint="default"/>
                      <w:color w:val="auto"/>
                      <w:sz w:val="21"/>
                      <w:szCs w:val="21"/>
                      <w:lang w:val="en-US" w:eastAsia="zh-CN"/>
                    </w:rPr>
                  </w:pPr>
                  <w:r>
                    <w:rPr>
                      <w:rFonts w:hint="default" w:ascii="Times New Roman" w:hAnsi="Times New Roman" w:cs="Times New Roman"/>
                      <w:b w:val="0"/>
                      <w:bCs/>
                      <w:color w:val="auto"/>
                      <w:sz w:val="21"/>
                      <w:szCs w:val="21"/>
                      <w:lang w:val="en-US" w:eastAsia="zh-CN"/>
                    </w:rPr>
                    <w:t>（以NMHC计）</w:t>
                  </w:r>
                </w:p>
              </w:tc>
              <w:tc>
                <w:tcPr>
                  <w:tcW w:w="3750" w:type="dxa"/>
                  <w:vAlign w:val="center"/>
                </w:tcPr>
                <w:p>
                  <w:pPr>
                    <w:spacing w:line="360" w:lineRule="auto"/>
                    <w:jc w:val="center"/>
                    <w:rPr>
                      <w:rFonts w:hint="default"/>
                      <w:color w:val="auto"/>
                      <w:sz w:val="21"/>
                      <w:szCs w:val="21"/>
                      <w:lang w:val="en-US" w:eastAsia="zh-CN"/>
                    </w:rPr>
                  </w:pPr>
                  <w:r>
                    <w:rPr>
                      <w:rFonts w:hint="default" w:ascii="Times New Roman" w:hAnsi="Times New Roman" w:eastAsia="SimSun" w:cs="Times New Roman"/>
                      <w:color w:val="auto"/>
                      <w:kern w:val="2"/>
                      <w:sz w:val="21"/>
                      <w:szCs w:val="21"/>
                      <w:vertAlign w:val="baseline"/>
                      <w:lang w:val="en-US" w:eastAsia="zh-CN" w:bidi="ar-SA"/>
                    </w:rPr>
                    <w:t>布袋除尘</w:t>
                  </w:r>
                  <w:r>
                    <w:rPr>
                      <w:rFonts w:hint="default" w:ascii="Times New Roman" w:hAnsi="Times New Roman" w:cs="Times New Roman"/>
                      <w:color w:val="auto"/>
                      <w:kern w:val="2"/>
                      <w:sz w:val="21"/>
                      <w:szCs w:val="21"/>
                      <w:vertAlign w:val="baseline"/>
                      <w:lang w:val="en-US" w:eastAsia="zh-CN" w:bidi="ar-SA"/>
                    </w:rPr>
                    <w:t>+光氧催化+活性炭</w:t>
                  </w:r>
                  <w:r>
                    <w:rPr>
                      <w:rFonts w:hint="default" w:ascii="Times New Roman" w:hAnsi="Times New Roman" w:eastAsia="SimSun" w:cs="Times New Roman"/>
                      <w:color w:val="auto"/>
                      <w:kern w:val="2"/>
                      <w:sz w:val="21"/>
                      <w:szCs w:val="21"/>
                      <w:vertAlign w:val="baseline"/>
                      <w:lang w:val="en-US" w:eastAsia="zh-CN" w:bidi="ar-SA"/>
                    </w:rPr>
                    <w:t>设备处理</w:t>
                  </w:r>
                </w:p>
              </w:tc>
            </w:tr>
          </w:tbl>
          <w:p>
            <w:pPr>
              <w:keepNext/>
              <w:keepLines/>
              <w:widowControl/>
              <w:numPr>
                <w:ilvl w:val="2"/>
                <w:numId w:val="0"/>
              </w:numPr>
              <w:spacing w:line="360" w:lineRule="auto"/>
              <w:jc w:val="left"/>
              <w:outlineLvl w:val="2"/>
              <w:rPr>
                <w:rFonts w:hint="eastAsia" w:ascii="Times New Roman" w:hAnsi="Times New Roman" w:eastAsia="SimSun"/>
                <w:b/>
                <w:bCs/>
                <w:color w:val="000000"/>
                <w:kern w:val="0"/>
                <w:sz w:val="24"/>
                <w:lang w:val="en-US" w:eastAsia="zh-CN"/>
              </w:rPr>
            </w:pPr>
            <w:r>
              <w:rPr>
                <w:rFonts w:hint="eastAsia" w:ascii="Times New Roman" w:hAnsi="Times New Roman" w:eastAsia="SimSun"/>
                <w:b/>
                <w:bCs/>
                <w:color w:val="000000"/>
                <w:kern w:val="0"/>
                <w:sz w:val="24"/>
              </w:rPr>
              <w:t>3</w:t>
            </w:r>
            <w:r>
              <w:rPr>
                <w:rFonts w:ascii="Times New Roman" w:hAnsi="Times New Roman" w:eastAsia="SimSun"/>
                <w:b/>
                <w:bCs/>
                <w:color w:val="000000"/>
                <w:kern w:val="0"/>
                <w:sz w:val="24"/>
              </w:rPr>
              <w:t>、噪声</w:t>
            </w:r>
          </w:p>
          <w:p>
            <w:pPr>
              <w:spacing w:line="360" w:lineRule="auto"/>
              <w:ind w:firstLine="480" w:firstLineChars="200"/>
              <w:rPr>
                <w:rFonts w:hint="default" w:ascii="Times New Roman" w:eastAsiaTheme="minorEastAsia"/>
                <w:kern w:val="0"/>
                <w:sz w:val="24"/>
                <w:lang w:val="en-US" w:eastAsia="zh-CN"/>
              </w:rPr>
            </w:pPr>
            <w:r>
              <w:rPr>
                <w:rFonts w:hint="eastAsia"/>
                <w:bCs/>
                <w:sz w:val="24"/>
                <w:lang w:eastAsia="zh-CN"/>
              </w:rPr>
              <w:t>该项目噪声源主要为</w:t>
            </w:r>
            <w:r>
              <w:rPr>
                <w:rFonts w:hint="eastAsia"/>
                <w:kern w:val="0"/>
                <w:sz w:val="24"/>
              </w:rPr>
              <w:t>混合机、</w:t>
            </w:r>
            <w:r>
              <w:rPr>
                <w:kern w:val="0"/>
                <w:sz w:val="24"/>
              </w:rPr>
              <w:t>压片机、</w:t>
            </w:r>
            <w:r>
              <w:rPr>
                <w:rFonts w:hint="eastAsia"/>
                <w:kern w:val="0"/>
                <w:sz w:val="24"/>
              </w:rPr>
              <w:t>颗</w:t>
            </w:r>
            <w:r>
              <w:rPr>
                <w:kern w:val="0"/>
                <w:sz w:val="24"/>
              </w:rPr>
              <w:t>粒机</w:t>
            </w:r>
            <w:r>
              <w:rPr>
                <w:rFonts w:hint="eastAsia"/>
                <w:kern w:val="0"/>
                <w:sz w:val="24"/>
              </w:rPr>
              <w:t>、整粒机</w:t>
            </w:r>
            <w:r>
              <w:rPr>
                <w:kern w:val="0"/>
                <w:sz w:val="24"/>
              </w:rPr>
              <w:t>等设备</w:t>
            </w:r>
            <w:r>
              <w:rPr>
                <w:rFonts w:hint="eastAsia"/>
                <w:kern w:val="0"/>
                <w:sz w:val="24"/>
                <w:lang w:eastAsia="zh-CN"/>
              </w:rPr>
              <w:t>运行</w:t>
            </w:r>
            <w:r>
              <w:rPr>
                <w:kern w:val="0"/>
                <w:sz w:val="24"/>
              </w:rPr>
              <w:t>产生的噪声</w:t>
            </w:r>
            <w:r>
              <w:rPr>
                <w:rFonts w:hint="eastAsia"/>
                <w:bCs/>
                <w:sz w:val="24"/>
                <w:lang w:eastAsia="zh-CN"/>
              </w:rPr>
              <w:t>。</w:t>
            </w:r>
            <w:r>
              <w:rPr>
                <w:sz w:val="24"/>
                <w:szCs w:val="32"/>
              </w:rPr>
              <w:t>噪声源强在75～90dB(A)之间。通过采取减震、隔声、</w:t>
            </w:r>
            <w:r>
              <w:rPr>
                <w:rFonts w:hint="default" w:ascii="Times New Roman" w:hAnsi="Times New Roman" w:eastAsia="SimSun" w:cs="Times New Roman"/>
                <w:b w:val="0"/>
                <w:bCs w:val="0"/>
                <w:color w:val="auto"/>
                <w:sz w:val="24"/>
                <w:szCs w:val="24"/>
                <w:lang w:val="en-US" w:eastAsia="zh-CN"/>
              </w:rPr>
              <w:t>距离衰减</w:t>
            </w:r>
            <w:r>
              <w:rPr>
                <w:sz w:val="24"/>
                <w:szCs w:val="32"/>
              </w:rPr>
              <w:t>等措施</w:t>
            </w:r>
            <w:r>
              <w:rPr>
                <w:rFonts w:hint="eastAsia"/>
                <w:sz w:val="24"/>
                <w:szCs w:val="32"/>
                <w:lang w:eastAsia="zh-CN"/>
              </w:rPr>
              <w:t>。</w:t>
            </w:r>
          </w:p>
          <w:p>
            <w:pPr>
              <w:keepNext/>
              <w:keepLines/>
              <w:widowControl/>
              <w:numPr>
                <w:ilvl w:val="2"/>
                <w:numId w:val="0"/>
              </w:numPr>
              <w:spacing w:line="360" w:lineRule="auto"/>
              <w:jc w:val="left"/>
              <w:outlineLvl w:val="2"/>
              <w:rPr>
                <w:rFonts w:hint="eastAsia" w:ascii="Times New Roman" w:hAnsi="Times New Roman" w:eastAsia="SimSun"/>
                <w:b/>
                <w:bCs/>
                <w:color w:val="000000"/>
                <w:kern w:val="0"/>
                <w:sz w:val="24"/>
                <w:lang w:val="en-US" w:eastAsia="zh-CN"/>
              </w:rPr>
            </w:pPr>
            <w:r>
              <w:rPr>
                <w:rFonts w:hint="eastAsia" w:ascii="Times New Roman" w:hAnsi="Times New Roman" w:eastAsia="SimSun"/>
                <w:b/>
                <w:bCs/>
                <w:color w:val="000000"/>
                <w:kern w:val="0"/>
                <w:sz w:val="24"/>
              </w:rPr>
              <w:t>4</w:t>
            </w:r>
            <w:r>
              <w:rPr>
                <w:rFonts w:ascii="Times New Roman" w:hAnsi="Times New Roman" w:eastAsia="SimSun"/>
                <w:b/>
                <w:bCs/>
                <w:color w:val="000000"/>
                <w:kern w:val="0"/>
                <w:sz w:val="24"/>
              </w:rPr>
              <w:t>、固废</w:t>
            </w:r>
            <w:r>
              <w:rPr>
                <w:rFonts w:hint="eastAsia" w:ascii="Times New Roman" w:hAnsi="Times New Roman" w:eastAsia="SimSun"/>
                <w:b/>
                <w:bCs/>
                <w:color w:val="000000"/>
                <w:kern w:val="0"/>
                <w:sz w:val="24"/>
                <w:lang w:eastAsia="zh-CN"/>
              </w:rPr>
              <w:t>及危废</w:t>
            </w:r>
          </w:p>
          <w:p>
            <w:pPr>
              <w:widowControl/>
              <w:spacing w:line="360" w:lineRule="auto"/>
              <w:ind w:firstLine="480" w:firstLineChars="200"/>
              <w:rPr>
                <w:color w:val="auto"/>
                <w:kern w:val="0"/>
                <w:sz w:val="24"/>
              </w:rPr>
            </w:pPr>
            <w:r>
              <w:rPr>
                <w:rFonts w:hint="eastAsia"/>
                <w:bCs/>
                <w:color w:val="auto"/>
                <w:sz w:val="24"/>
                <w:lang w:eastAsia="zh-CN"/>
              </w:rPr>
              <w:t>扩建项目产生的固废：不合格产品、废包装物、布袋除尘器收集的粉尘。产生的危废：废废离子交换树脂、</w:t>
            </w:r>
            <w:r>
              <w:rPr>
                <w:rFonts w:hint="eastAsia"/>
                <w:bCs/>
                <w:color w:val="auto"/>
                <w:sz w:val="24"/>
                <w:lang w:val="en-US" w:eastAsia="zh-CN"/>
              </w:rPr>
              <w:t>废过滤棉、</w:t>
            </w:r>
            <w:r>
              <w:rPr>
                <w:rFonts w:hint="eastAsia"/>
                <w:bCs/>
                <w:color w:val="auto"/>
                <w:sz w:val="24"/>
                <w:lang w:eastAsia="zh-CN"/>
              </w:rPr>
              <w:t>废活性炭、废灯管、化验室废液。</w:t>
            </w:r>
          </w:p>
          <w:p>
            <w:pPr>
              <w:keepNext w:val="0"/>
              <w:keepLines w:val="0"/>
              <w:pageBreakBefore w:val="0"/>
              <w:widowControl/>
              <w:kinsoku/>
              <w:wordWrap/>
              <w:overflowPunct/>
              <w:topLinePunct w:val="0"/>
              <w:bidi w:val="0"/>
              <w:snapToGrid/>
              <w:spacing w:line="360" w:lineRule="auto"/>
              <w:jc w:val="center"/>
              <w:textAlignment w:val="auto"/>
              <w:rPr>
                <w:rFonts w:hint="default"/>
                <w:lang w:val="en-US" w:eastAsia="zh-CN"/>
              </w:rPr>
            </w:pPr>
            <w:r>
              <w:rPr>
                <w:rFonts w:hint="eastAsia" w:ascii="Times New Roman" w:hAnsi="Times New Roman" w:cs="Times New Roman"/>
                <w:b/>
                <w:bCs/>
                <w:sz w:val="24"/>
                <w:szCs w:val="24"/>
                <w:lang w:eastAsia="zh-CN"/>
              </w:rPr>
              <w:t>表</w:t>
            </w:r>
            <w:r>
              <w:rPr>
                <w:rFonts w:hint="default" w:ascii="Times New Roman" w:hAnsi="Times New Roman" w:cs="Times New Roman"/>
                <w:b/>
                <w:bCs/>
                <w:sz w:val="24"/>
                <w:szCs w:val="24"/>
              </w:rPr>
              <w:t>3-</w:t>
            </w:r>
            <w:r>
              <w:rPr>
                <w:rFonts w:hint="eastAsia" w:ascii="Times New Roman" w:hAnsi="Times New Roman" w:cs="Times New Roman"/>
                <w:b/>
                <w:bCs/>
                <w:sz w:val="24"/>
                <w:szCs w:val="24"/>
                <w:lang w:val="en-US" w:eastAsia="zh-CN"/>
              </w:rPr>
              <w:t>1</w:t>
            </w:r>
            <w:r>
              <w:rPr>
                <w:rFonts w:hint="eastAsia"/>
                <w:b/>
                <w:bCs/>
                <w:sz w:val="24"/>
                <w:szCs w:val="24"/>
              </w:rPr>
              <w:t xml:space="preserve"> </w:t>
            </w:r>
            <w:r>
              <w:rPr>
                <w:rFonts w:hint="eastAsia"/>
                <w:b/>
                <w:bCs/>
                <w:sz w:val="24"/>
                <w:szCs w:val="24"/>
                <w:lang w:val="en-US" w:eastAsia="zh-CN"/>
              </w:rPr>
              <w:t>固废</w:t>
            </w:r>
            <w:r>
              <w:rPr>
                <w:b/>
                <w:bCs/>
                <w:sz w:val="24"/>
                <w:szCs w:val="24"/>
              </w:rPr>
              <w:t>来源及处理方式</w:t>
            </w:r>
            <w:r>
              <w:rPr>
                <w:rFonts w:hint="eastAsia"/>
                <w:b/>
                <w:bCs/>
                <w:sz w:val="24"/>
                <w:szCs w:val="24"/>
                <w:lang w:eastAsia="zh-CN"/>
              </w:rPr>
              <w:t>一览表</w:t>
            </w:r>
          </w:p>
          <w:tbl>
            <w:tblPr>
              <w:tblStyle w:val="28"/>
              <w:tblW w:w="9773" w:type="dxa"/>
              <w:jc w:val="center"/>
              <w:tblInd w:w="-21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5"/>
              <w:gridCol w:w="2535"/>
              <w:gridCol w:w="3675"/>
              <w:gridCol w:w="28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jc w:val="center"/>
              </w:trPr>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b/>
                      <w:bCs/>
                      <w:sz w:val="21"/>
                      <w:szCs w:val="21"/>
                      <w:lang w:eastAsia="zh-CN"/>
                    </w:rPr>
                  </w:pPr>
                  <w:r>
                    <w:rPr>
                      <w:rFonts w:hint="eastAsia" w:asciiTheme="minorEastAsia" w:hAnsiTheme="minorEastAsia"/>
                      <w:b/>
                      <w:bCs/>
                      <w:sz w:val="21"/>
                      <w:szCs w:val="21"/>
                      <w:lang w:eastAsia="zh-CN"/>
                    </w:rPr>
                    <w:t>序号</w:t>
                  </w:r>
                </w:p>
              </w:tc>
              <w:tc>
                <w:tcPr>
                  <w:tcW w:w="2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b/>
                      <w:bCs/>
                      <w:sz w:val="21"/>
                      <w:szCs w:val="21"/>
                    </w:rPr>
                  </w:pPr>
                  <w:r>
                    <w:rPr>
                      <w:rFonts w:asciiTheme="minorEastAsia" w:hAnsiTheme="minorEastAsia"/>
                      <w:b/>
                      <w:bCs/>
                      <w:sz w:val="21"/>
                      <w:szCs w:val="21"/>
                    </w:rPr>
                    <w:t>名称</w:t>
                  </w:r>
                </w:p>
              </w:tc>
              <w:tc>
                <w:tcPr>
                  <w:tcW w:w="3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b/>
                      <w:bCs/>
                      <w:sz w:val="21"/>
                      <w:szCs w:val="21"/>
                      <w:lang w:val="en-US" w:eastAsia="zh-CN"/>
                    </w:rPr>
                  </w:pPr>
                  <w:r>
                    <w:rPr>
                      <w:rFonts w:hint="eastAsia" w:asciiTheme="minorEastAsia" w:hAnsiTheme="minorEastAsia"/>
                      <w:b/>
                      <w:bCs/>
                      <w:sz w:val="21"/>
                      <w:szCs w:val="21"/>
                      <w:lang w:val="en-US" w:eastAsia="zh-CN"/>
                    </w:rPr>
                    <w:t>类别</w:t>
                  </w:r>
                </w:p>
              </w:tc>
              <w:tc>
                <w:tcPr>
                  <w:tcW w:w="28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EastAsia" w:hAnsiTheme="minorEastAsia"/>
                      <w:b/>
                      <w:bCs/>
                      <w:sz w:val="21"/>
                      <w:szCs w:val="21"/>
                    </w:rPr>
                  </w:pPr>
                  <w:r>
                    <w:rPr>
                      <w:rFonts w:asciiTheme="minorEastAsia" w:hAnsiTheme="minorEastAsia"/>
                      <w:b/>
                      <w:bCs/>
                      <w:sz w:val="21"/>
                      <w:szCs w:val="21"/>
                    </w:rPr>
                    <w:t>治理措施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2" w:hRule="atLeast"/>
                <w:jc w:val="center"/>
              </w:trPr>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SimSun"/>
                      <w:sz w:val="21"/>
                      <w:szCs w:val="21"/>
                      <w:lang w:val="en-US" w:eastAsia="zh-CN"/>
                    </w:rPr>
                  </w:pPr>
                  <w:r>
                    <w:rPr>
                      <w:rFonts w:hint="eastAsia" w:ascii="Times New Roman" w:hAnsi="Times New Roman" w:eastAsia="SimSun"/>
                      <w:sz w:val="21"/>
                      <w:szCs w:val="21"/>
                      <w:lang w:val="en-US" w:eastAsia="zh-CN"/>
                    </w:rPr>
                    <w:t>1</w:t>
                  </w:r>
                </w:p>
              </w:tc>
              <w:tc>
                <w:tcPr>
                  <w:tcW w:w="2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不合格产品</w:t>
                  </w:r>
                </w:p>
              </w:tc>
              <w:tc>
                <w:tcPr>
                  <w:tcW w:w="36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SimSun"/>
                      <w:sz w:val="21"/>
                      <w:szCs w:val="21"/>
                      <w:lang w:val="en-US" w:eastAsia="zh-CN"/>
                    </w:rPr>
                  </w:pPr>
                  <w:r>
                    <w:rPr>
                      <w:rFonts w:hint="eastAsia" w:ascii="Times New Roman" w:hAnsi="Times New Roman"/>
                      <w:sz w:val="21"/>
                      <w:szCs w:val="21"/>
                      <w:lang w:val="en-US" w:eastAsia="zh-CN"/>
                    </w:rPr>
                    <w:t>一般固废</w:t>
                  </w:r>
                </w:p>
              </w:tc>
              <w:tc>
                <w:tcPr>
                  <w:tcW w:w="28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SimSun" w:hAnsi="SimSun"/>
                      <w:spacing w:val="6"/>
                      <w:sz w:val="21"/>
                      <w:szCs w:val="21"/>
                      <w:lang w:val="en-US" w:eastAsia="zh-CN"/>
                    </w:rPr>
                  </w:pPr>
                  <w:r>
                    <w:rPr>
                      <w:rFonts w:hint="eastAsia" w:ascii="SimSun" w:hAnsi="SimSun"/>
                      <w:spacing w:val="6"/>
                      <w:sz w:val="21"/>
                      <w:szCs w:val="21"/>
                      <w:lang w:val="en-US" w:eastAsia="zh-CN"/>
                    </w:rPr>
                    <w:t>回用于生产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SimSun"/>
                      <w:sz w:val="21"/>
                      <w:szCs w:val="21"/>
                      <w:lang w:val="en-US" w:eastAsia="zh-CN"/>
                    </w:rPr>
                  </w:pPr>
                  <w:r>
                    <w:rPr>
                      <w:rFonts w:hint="eastAsia" w:ascii="Times New Roman" w:hAnsi="Times New Roman" w:eastAsia="SimSun"/>
                      <w:sz w:val="21"/>
                      <w:szCs w:val="21"/>
                      <w:lang w:val="en-US" w:eastAsia="zh-CN"/>
                    </w:rPr>
                    <w:t>2</w:t>
                  </w:r>
                </w:p>
              </w:tc>
              <w:tc>
                <w:tcPr>
                  <w:tcW w:w="2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布袋除尘器收集的粉尘</w:t>
                  </w:r>
                </w:p>
              </w:tc>
              <w:tc>
                <w:tcPr>
                  <w:tcW w:w="3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heme="minorEastAsia"/>
                      <w:sz w:val="21"/>
                      <w:szCs w:val="21"/>
                      <w:lang w:val="en-US" w:eastAsia="zh-CN"/>
                    </w:rPr>
                  </w:pPr>
                </w:p>
              </w:tc>
              <w:tc>
                <w:tcPr>
                  <w:tcW w:w="28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SimSun"/>
                      <w:sz w:val="21"/>
                      <w:szCs w:val="21"/>
                      <w:lang w:val="en-US" w:eastAsia="zh-CN"/>
                    </w:rPr>
                  </w:pPr>
                  <w:r>
                    <w:rPr>
                      <w:rFonts w:hint="eastAsia" w:ascii="SimSun" w:hAnsi="SimSun"/>
                      <w:spacing w:val="6"/>
                      <w:sz w:val="21"/>
                      <w:szCs w:val="21"/>
                      <w:lang w:val="en-US" w:eastAsia="zh-CN"/>
                    </w:rPr>
                    <w:t>回用于生产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 w:hRule="atLeast"/>
                <w:jc w:val="center"/>
              </w:trPr>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SimSun"/>
                      <w:sz w:val="21"/>
                      <w:szCs w:val="21"/>
                      <w:lang w:val="en-US" w:eastAsia="zh-CN"/>
                    </w:rPr>
                  </w:pPr>
                  <w:r>
                    <w:rPr>
                      <w:rFonts w:hint="eastAsia" w:ascii="Times New Roman" w:hAnsi="Times New Roman" w:eastAsia="SimSun"/>
                      <w:sz w:val="21"/>
                      <w:szCs w:val="21"/>
                      <w:lang w:val="en-US" w:eastAsia="zh-CN"/>
                    </w:rPr>
                    <w:t>3</w:t>
                  </w:r>
                </w:p>
              </w:tc>
              <w:tc>
                <w:tcPr>
                  <w:tcW w:w="2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废包装物</w:t>
                  </w:r>
                </w:p>
              </w:tc>
              <w:tc>
                <w:tcPr>
                  <w:tcW w:w="3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heme="minorEastAsia"/>
                      <w:sz w:val="21"/>
                      <w:szCs w:val="21"/>
                      <w:lang w:val="en-US" w:eastAsia="zh-CN"/>
                    </w:rPr>
                  </w:pPr>
                </w:p>
              </w:tc>
              <w:tc>
                <w:tcPr>
                  <w:tcW w:w="28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SimSun" w:hAnsi="SimSun"/>
                      <w:spacing w:val="6"/>
                      <w:sz w:val="21"/>
                      <w:szCs w:val="21"/>
                      <w:lang w:val="en-US" w:eastAsia="zh-CN"/>
                    </w:rPr>
                  </w:pPr>
                  <w:r>
                    <w:rPr>
                      <w:rFonts w:hint="eastAsia" w:ascii="SimSun" w:hAnsi="SimSun"/>
                      <w:spacing w:val="6"/>
                      <w:sz w:val="21"/>
                      <w:szCs w:val="21"/>
                      <w:lang w:val="en-US" w:eastAsia="zh-CN"/>
                    </w:rPr>
                    <w:t>废品收购站统一收购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 w:hRule="atLeast"/>
                <w:jc w:val="center"/>
              </w:trPr>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SimSun"/>
                      <w:sz w:val="21"/>
                      <w:szCs w:val="21"/>
                      <w:lang w:val="en-US" w:eastAsia="zh-CN"/>
                    </w:rPr>
                  </w:pPr>
                  <w:r>
                    <w:rPr>
                      <w:rFonts w:hint="eastAsia" w:ascii="Times New Roman" w:hAnsi="Times New Roman" w:eastAsia="SimSun"/>
                      <w:sz w:val="21"/>
                      <w:szCs w:val="21"/>
                      <w:lang w:val="en-US" w:eastAsia="zh-CN"/>
                    </w:rPr>
                    <w:t>4</w:t>
                  </w:r>
                </w:p>
              </w:tc>
              <w:tc>
                <w:tcPr>
                  <w:tcW w:w="2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废离子交换树脂</w:t>
                  </w:r>
                </w:p>
              </w:tc>
              <w:tc>
                <w:tcPr>
                  <w:tcW w:w="36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危险废物</w:t>
                  </w:r>
                </w:p>
              </w:tc>
              <w:tc>
                <w:tcPr>
                  <w:tcW w:w="286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SimSun" w:hAnsi="SimSun"/>
                      <w:color w:val="000000"/>
                      <w:spacing w:val="6"/>
                      <w:sz w:val="21"/>
                      <w:szCs w:val="21"/>
                    </w:rPr>
                  </w:pPr>
                  <w:r>
                    <w:rPr>
                      <w:rFonts w:hint="eastAsia" w:ascii="Times New Roman" w:hAnsi="Times New Roman" w:cs="Times New Roman"/>
                      <w:sz w:val="21"/>
                      <w:szCs w:val="21"/>
                      <w:lang w:val="en-US" w:eastAsia="zh-CN"/>
                    </w:rPr>
                    <w:t>暂存于危废暂存间后，交由有资质的第三方单位处置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 w:hRule="atLeast"/>
                <w:jc w:val="center"/>
              </w:trPr>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SimSun"/>
                      <w:sz w:val="21"/>
                      <w:szCs w:val="21"/>
                      <w:lang w:val="en-US" w:eastAsia="zh-CN"/>
                    </w:rPr>
                  </w:pPr>
                  <w:r>
                    <w:rPr>
                      <w:rFonts w:hint="eastAsia" w:ascii="Times New Roman" w:hAnsi="Times New Roman" w:eastAsia="SimSun"/>
                      <w:sz w:val="21"/>
                      <w:szCs w:val="21"/>
                      <w:lang w:val="en-US" w:eastAsia="zh-CN"/>
                    </w:rPr>
                    <w:t>5</w:t>
                  </w:r>
                </w:p>
              </w:tc>
              <w:tc>
                <w:tcPr>
                  <w:tcW w:w="2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废包装物</w:t>
                  </w:r>
                </w:p>
              </w:tc>
              <w:tc>
                <w:tcPr>
                  <w:tcW w:w="3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sz w:val="21"/>
                      <w:szCs w:val="21"/>
                      <w:lang w:val="en-US" w:eastAsia="zh-CN"/>
                    </w:rPr>
                  </w:pPr>
                </w:p>
              </w:tc>
              <w:tc>
                <w:tcPr>
                  <w:tcW w:w="28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SimSun" w:hAnsi="SimSun"/>
                      <w:color w:val="000000"/>
                      <w:spacing w:val="6"/>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 w:hRule="atLeast"/>
                <w:jc w:val="center"/>
              </w:trPr>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SimSun"/>
                      <w:sz w:val="21"/>
                      <w:szCs w:val="21"/>
                      <w:lang w:val="en-US" w:eastAsia="zh-CN"/>
                    </w:rPr>
                  </w:pPr>
                  <w:r>
                    <w:rPr>
                      <w:rFonts w:hint="eastAsia" w:ascii="Times New Roman" w:hAnsi="Times New Roman" w:eastAsia="SimSun"/>
                      <w:sz w:val="21"/>
                      <w:szCs w:val="21"/>
                      <w:lang w:val="en-US" w:eastAsia="zh-CN"/>
                    </w:rPr>
                    <w:t>6</w:t>
                  </w:r>
                </w:p>
              </w:tc>
              <w:tc>
                <w:tcPr>
                  <w:tcW w:w="2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化验室废液</w:t>
                  </w:r>
                </w:p>
              </w:tc>
              <w:tc>
                <w:tcPr>
                  <w:tcW w:w="3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sz w:val="21"/>
                      <w:szCs w:val="21"/>
                      <w:lang w:val="en-US" w:eastAsia="zh-CN"/>
                    </w:rPr>
                  </w:pPr>
                </w:p>
              </w:tc>
              <w:tc>
                <w:tcPr>
                  <w:tcW w:w="28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SimSun" w:hAnsi="SimSun"/>
                      <w:color w:val="000000"/>
                      <w:spacing w:val="6"/>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 w:hRule="atLeast"/>
                <w:jc w:val="center"/>
              </w:trPr>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SimSun"/>
                      <w:sz w:val="21"/>
                      <w:szCs w:val="21"/>
                      <w:lang w:val="en-US" w:eastAsia="zh-CN"/>
                    </w:rPr>
                  </w:pPr>
                  <w:r>
                    <w:rPr>
                      <w:rFonts w:hint="eastAsia" w:ascii="Times New Roman" w:hAnsi="Times New Roman" w:eastAsia="SimSun"/>
                      <w:sz w:val="21"/>
                      <w:szCs w:val="21"/>
                      <w:lang w:val="en-US" w:eastAsia="zh-CN"/>
                    </w:rPr>
                    <w:t>7</w:t>
                  </w:r>
                </w:p>
              </w:tc>
              <w:tc>
                <w:tcPr>
                  <w:tcW w:w="2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sz w:val="21"/>
                      <w:szCs w:val="21"/>
                      <w:lang w:val="en-US" w:eastAsia="zh-CN"/>
                    </w:rPr>
                  </w:pPr>
                  <w:r>
                    <w:rPr>
                      <w:rFonts w:hint="eastAsia" w:ascii="Times New Roman" w:hAnsi="Times New Roman"/>
                      <w:sz w:val="21"/>
                      <w:szCs w:val="21"/>
                      <w:lang w:val="en-US" w:eastAsia="zh-CN"/>
                    </w:rPr>
                    <w:t>废活性炭</w:t>
                  </w:r>
                </w:p>
              </w:tc>
              <w:tc>
                <w:tcPr>
                  <w:tcW w:w="3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sz w:val="21"/>
                      <w:szCs w:val="21"/>
                      <w:lang w:val="en-US" w:eastAsia="zh-CN"/>
                    </w:rPr>
                  </w:pPr>
                </w:p>
              </w:tc>
              <w:tc>
                <w:tcPr>
                  <w:tcW w:w="28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SimSun" w:hAnsi="SimSun"/>
                      <w:color w:val="000000"/>
                      <w:spacing w:val="6"/>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 w:hRule="atLeast"/>
                <w:jc w:val="center"/>
              </w:trPr>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SimSun"/>
                      <w:sz w:val="21"/>
                      <w:szCs w:val="21"/>
                      <w:lang w:val="en-US" w:eastAsia="zh-CN"/>
                    </w:rPr>
                  </w:pPr>
                  <w:r>
                    <w:rPr>
                      <w:rFonts w:hint="eastAsia" w:ascii="Times New Roman" w:hAnsi="Times New Roman" w:eastAsia="SimSun"/>
                      <w:sz w:val="21"/>
                      <w:szCs w:val="21"/>
                      <w:lang w:val="en-US" w:eastAsia="zh-CN"/>
                    </w:rPr>
                    <w:t>8</w:t>
                  </w:r>
                </w:p>
              </w:tc>
              <w:tc>
                <w:tcPr>
                  <w:tcW w:w="2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废uv灯管</w:t>
                  </w:r>
                </w:p>
              </w:tc>
              <w:tc>
                <w:tcPr>
                  <w:tcW w:w="3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sz w:val="21"/>
                      <w:szCs w:val="21"/>
                      <w:lang w:val="en-US" w:eastAsia="zh-CN"/>
                    </w:rPr>
                  </w:pPr>
                </w:p>
              </w:tc>
              <w:tc>
                <w:tcPr>
                  <w:tcW w:w="28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SimSun" w:hAnsi="SimSun"/>
                      <w:color w:val="000000"/>
                      <w:spacing w:val="6"/>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 w:hRule="atLeast"/>
                <w:jc w:val="center"/>
              </w:trPr>
              <w:tc>
                <w:tcPr>
                  <w:tcW w:w="6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SimSun"/>
                      <w:sz w:val="21"/>
                      <w:szCs w:val="21"/>
                      <w:lang w:val="en-US" w:eastAsia="zh-CN"/>
                    </w:rPr>
                  </w:pPr>
                  <w:r>
                    <w:rPr>
                      <w:rFonts w:hint="eastAsia" w:ascii="Times New Roman" w:hAnsi="Times New Roman" w:eastAsia="SimSun"/>
                      <w:sz w:val="21"/>
                      <w:szCs w:val="21"/>
                      <w:lang w:val="en-US" w:eastAsia="zh-CN"/>
                    </w:rPr>
                    <w:t>9</w:t>
                  </w:r>
                </w:p>
              </w:tc>
              <w:tc>
                <w:tcPr>
                  <w:tcW w:w="2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废过滤棉</w:t>
                  </w:r>
                </w:p>
              </w:tc>
              <w:tc>
                <w:tcPr>
                  <w:tcW w:w="3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sz w:val="21"/>
                      <w:szCs w:val="21"/>
                      <w:lang w:val="en-US" w:eastAsia="zh-CN"/>
                    </w:rPr>
                  </w:pPr>
                </w:p>
              </w:tc>
              <w:tc>
                <w:tcPr>
                  <w:tcW w:w="28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SimSun" w:hAnsi="SimSun"/>
                      <w:color w:val="000000"/>
                      <w:spacing w:val="6"/>
                      <w:sz w:val="21"/>
                      <w:szCs w:val="21"/>
                    </w:rPr>
                  </w:pPr>
                </w:p>
              </w:tc>
            </w:tr>
          </w:tbl>
          <w:p>
            <w:pPr>
              <w:tabs>
                <w:tab w:val="left" w:pos="6930"/>
              </w:tabs>
            </w:pPr>
          </w:p>
        </w:tc>
      </w:tr>
    </w:tbl>
    <w:p>
      <w:pPr>
        <w:rPr>
          <w:rFonts w:ascii="Times New Roman" w:hAnsi="Times New Roman" w:cs="Times New Roman"/>
          <w:spacing w:val="6"/>
          <w:sz w:val="28"/>
          <w:szCs w:val="28"/>
        </w:rPr>
        <w:sectPr>
          <w:pgSz w:w="11906" w:h="16838"/>
          <w:pgMar w:top="930" w:right="1800" w:bottom="87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0" w:after="0" w:line="360" w:lineRule="auto"/>
        <w:jc w:val="left"/>
        <w:rPr>
          <w:rFonts w:ascii="Times New Roman" w:hAnsi="Times New Roman" w:cs="Times New Roman"/>
          <w:sz w:val="28"/>
          <w:szCs w:val="28"/>
        </w:rPr>
      </w:pPr>
      <w:bookmarkStart w:id="4" w:name="_Toc478045783"/>
      <w:bookmarkStart w:id="5" w:name="_Toc478213186"/>
      <w:bookmarkStart w:id="6" w:name="_Toc517710310"/>
      <w:r>
        <w:rPr>
          <w:rFonts w:ascii="Times New Roman" w:hAnsi="Times New Roman" w:cs="Times New Roman"/>
          <w:sz w:val="28"/>
          <w:szCs w:val="28"/>
        </w:rPr>
        <w:t>表四</w:t>
      </w:r>
      <w:bookmarkEnd w:id="4"/>
      <w:bookmarkEnd w:id="5"/>
      <w:r>
        <w:rPr>
          <w:rFonts w:ascii="Times New Roman" w:hAnsi="Times New Roman" w:cs="Times New Roman"/>
          <w:sz w:val="28"/>
          <w:szCs w:val="28"/>
        </w:rPr>
        <w:t xml:space="preserve"> </w:t>
      </w:r>
      <w:bookmarkEnd w:id="6"/>
    </w:p>
    <w:tbl>
      <w:tblPr>
        <w:tblStyle w:val="29"/>
        <w:tblW w:w="9548" w:type="dxa"/>
        <w:jc w:val="center"/>
        <w:tblInd w:w="-102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4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032" w:hRule="atLeast"/>
          <w:jc w:val="center"/>
        </w:trPr>
        <w:tc>
          <w:tcPr>
            <w:tcW w:w="9548" w:type="dxa"/>
          </w:tcPr>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建设项目环境影响报告表主要结论及审批部门审批决定</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lang w:eastAsia="zh-CN"/>
              </w:rPr>
              <w:t>一、结论</w:t>
            </w:r>
          </w:p>
          <w:p>
            <w:pPr>
              <w:tabs>
                <w:tab w:val="left" w:pos="540"/>
              </w:tabs>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bCs/>
                <w:sz w:val="24"/>
              </w:rPr>
              <w:t>山东安特牧业科技有限公司兽药扩建项目</w:t>
            </w:r>
            <w:r>
              <w:rPr>
                <w:rFonts w:hint="default" w:ascii="Times New Roman" w:hAnsi="Times New Roman" w:cs="Times New Roman"/>
                <w:sz w:val="24"/>
                <w:szCs w:val="24"/>
              </w:rPr>
              <w:t>投资</w:t>
            </w:r>
            <w:r>
              <w:rPr>
                <w:rFonts w:hint="default" w:ascii="Times New Roman" w:hAnsi="Times New Roman" w:cs="Times New Roman"/>
                <w:sz w:val="24"/>
                <w:szCs w:val="24"/>
                <w:lang w:val="en-US" w:eastAsia="zh-CN"/>
              </w:rPr>
              <w:t>30</w:t>
            </w:r>
            <w:r>
              <w:rPr>
                <w:rFonts w:hint="default" w:ascii="Times New Roman" w:hAnsi="Times New Roman" w:cs="Times New Roman"/>
                <w:sz w:val="24"/>
                <w:szCs w:val="24"/>
              </w:rPr>
              <w:t>万元，</w:t>
            </w:r>
            <w:r>
              <w:rPr>
                <w:rFonts w:hint="default" w:ascii="Times New Roman" w:hAnsi="Times New Roman" w:cs="Times New Roman"/>
                <w:sz w:val="24"/>
                <w:szCs w:val="24"/>
                <w:lang w:eastAsia="zh-CN"/>
              </w:rPr>
              <w:t>该项目实际投资</w:t>
            </w:r>
            <w:r>
              <w:rPr>
                <w:rFonts w:hint="default" w:ascii="Times New Roman" w:hAnsi="Times New Roman" w:cs="Times New Roman"/>
                <w:sz w:val="24"/>
                <w:szCs w:val="24"/>
                <w:lang w:val="en-US" w:eastAsia="zh-CN"/>
              </w:rPr>
              <w:t>15万元，本</w:t>
            </w:r>
            <w:r>
              <w:rPr>
                <w:rFonts w:hint="default" w:ascii="Times New Roman" w:hAnsi="Times New Roman" w:cs="Times New Roman"/>
                <w:sz w:val="24"/>
                <w:szCs w:val="24"/>
              </w:rPr>
              <w:t>项目位于</w:t>
            </w:r>
            <w:r>
              <w:rPr>
                <w:rFonts w:hint="default" w:ascii="Times New Roman" w:hAnsi="Times New Roman" w:cs="Times New Roman"/>
                <w:sz w:val="24"/>
              </w:rPr>
              <w:t>山东省济南市商河县经济开发区凯源路29号山东安特牧业科技有限公司现有兽药车间内</w:t>
            </w:r>
            <w:r>
              <w:rPr>
                <w:rFonts w:hint="default" w:ascii="Times New Roman" w:hAnsi="Times New Roman" w:cs="Times New Roman"/>
                <w:sz w:val="24"/>
                <w:szCs w:val="24"/>
                <w:lang w:eastAsia="zh-CN"/>
              </w:rPr>
              <w:t>。</w:t>
            </w:r>
            <w:r>
              <w:rPr>
                <w:rFonts w:hint="default" w:ascii="Times New Roman" w:hAnsi="Times New Roman" w:cs="Times New Roman"/>
                <w:sz w:val="24"/>
                <w:szCs w:val="24"/>
              </w:rPr>
              <w:t>根据《产业结构调整指导目录</w:t>
            </w:r>
            <w:r>
              <w:rPr>
                <w:rFonts w:hint="default" w:ascii="Times New Roman" w:hAnsi="Times New Roman" w:cs="Times New Roman"/>
                <w:sz w:val="24"/>
                <w:szCs w:val="24"/>
                <w:lang w:eastAsia="zh-CN"/>
              </w:rPr>
              <w:t>（</w:t>
            </w:r>
            <w:r>
              <w:rPr>
                <w:rFonts w:hint="default" w:ascii="Times New Roman" w:hAnsi="Times New Roman" w:cs="Times New Roman"/>
                <w:sz w:val="24"/>
                <w:szCs w:val="24"/>
              </w:rPr>
              <w:t>2011</w:t>
            </w:r>
            <w:r>
              <w:rPr>
                <w:rFonts w:hint="default" w:ascii="Times New Roman" w:hAnsi="Times New Roman" w:cs="Times New Roman"/>
                <w:sz w:val="24"/>
                <w:szCs w:val="24"/>
                <w:lang w:eastAsia="zh-CN"/>
              </w:rPr>
              <w:t>）</w:t>
            </w:r>
            <w:r>
              <w:rPr>
                <w:rFonts w:hint="default" w:ascii="Times New Roman" w:hAnsi="Times New Roman" w:cs="Times New Roman"/>
                <w:sz w:val="24"/>
                <w:szCs w:val="24"/>
              </w:rPr>
              <w:t>年本》（修正版），本项目不属于鼓励类、限制类和淘汰类项目，为允许类建设项目</w:t>
            </w:r>
            <w:r>
              <w:rPr>
                <w:rFonts w:hint="default" w:ascii="Times New Roman" w:hAnsi="Times New Roman" w:cs="Times New Roman"/>
                <w:sz w:val="24"/>
                <w:szCs w:val="24"/>
                <w:lang w:val="en-US" w:eastAsia="zh-CN"/>
              </w:rPr>
              <w:t>，符合产业政策。</w:t>
            </w:r>
          </w:p>
          <w:p>
            <w:pPr>
              <w:pStyle w:val="36"/>
              <w:numPr>
                <w:ilvl w:val="0"/>
                <w:numId w:val="0"/>
              </w:numPr>
              <w:spacing w:line="360" w:lineRule="auto"/>
              <w:ind w:firstLine="482" w:firstLineChars="20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1、环境质量现状</w:t>
            </w:r>
          </w:p>
          <w:p>
            <w:pPr>
              <w:spacing w:line="360" w:lineRule="auto"/>
              <w:ind w:firstLine="48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（1）环境空气：</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根据2018年济南市环境质量简报，商河县空气质量数据见表3-1。</w:t>
            </w:r>
          </w:p>
          <w:p>
            <w:pPr>
              <w:pStyle w:val="48"/>
              <w:tabs>
                <w:tab w:val="left" w:pos="605"/>
              </w:tabs>
              <w:adjustRightInd/>
              <w:snapToGrid/>
              <w:spacing w:before="156" w:after="156"/>
              <w:rPr>
                <w:rFonts w:hint="default" w:ascii="Times New Roman" w:hAnsi="Times New Roman" w:cs="Times New Roman"/>
                <w:sz w:val="24"/>
                <w:szCs w:val="24"/>
                <w:lang w:eastAsia="zh-CN"/>
              </w:rPr>
            </w:pPr>
            <w:r>
              <w:rPr>
                <w:rFonts w:hint="default" w:ascii="Times New Roman" w:hAnsi="Times New Roman" w:cs="Times New Roman"/>
                <w:sz w:val="24"/>
                <w:szCs w:val="24"/>
              </w:rPr>
              <w:t>表</w:t>
            </w:r>
            <w:r>
              <w:rPr>
                <w:rFonts w:hint="default" w:ascii="Times New Roman" w:hAnsi="Times New Roman" w:cs="Times New Roman"/>
                <w:sz w:val="24"/>
                <w:szCs w:val="24"/>
                <w:lang w:eastAsia="zh-CN"/>
              </w:rPr>
              <w:t>3-1</w:t>
            </w:r>
            <w:r>
              <w:rPr>
                <w:rFonts w:hint="default" w:ascii="Times New Roman" w:hAnsi="Times New Roman" w:cs="Times New Roman"/>
                <w:sz w:val="24"/>
                <w:szCs w:val="24"/>
              </w:rPr>
              <w:t xml:space="preserve">  2018年商河县主要污染物浓度汇总</w:t>
            </w:r>
            <w:r>
              <w:rPr>
                <w:rFonts w:hint="default" w:ascii="Times New Roman" w:hAnsi="Times New Roman" w:cs="Times New Roman"/>
                <w:sz w:val="24"/>
                <w:szCs w:val="24"/>
                <w:lang w:eastAsia="zh-CN"/>
              </w:rPr>
              <w:t xml:space="preserve">  单位：u</w:t>
            </w:r>
            <w:r>
              <w:rPr>
                <w:rFonts w:hint="default" w:ascii="Times New Roman" w:hAnsi="Times New Roman" w:cs="Times New Roman"/>
                <w:sz w:val="24"/>
                <w:szCs w:val="24"/>
              </w:rPr>
              <w:t>g/m</w:t>
            </w:r>
            <w:r>
              <w:rPr>
                <w:rFonts w:hint="default" w:ascii="Times New Roman" w:hAnsi="Times New Roman" w:cs="Times New Roman"/>
                <w:sz w:val="24"/>
                <w:szCs w:val="24"/>
                <w:vertAlign w:val="superscript"/>
              </w:rPr>
              <w:t>3</w:t>
            </w:r>
          </w:p>
          <w:tbl>
            <w:tblPr>
              <w:tblStyle w:val="28"/>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05"/>
              <w:gridCol w:w="1838"/>
              <w:gridCol w:w="809"/>
              <w:gridCol w:w="1009"/>
              <w:gridCol w:w="1009"/>
              <w:gridCol w:w="895"/>
              <w:gridCol w:w="1557"/>
              <w:gridCol w:w="11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jc w:val="center"/>
              </w:trPr>
              <w:tc>
                <w:tcPr>
                  <w:tcW w:w="805" w:type="dxa"/>
                  <w:vAlign w:val="center"/>
                </w:tcPr>
                <w:p>
                  <w:pPr>
                    <w:spacing w:line="276" w:lineRule="auto"/>
                    <w:jc w:val="center"/>
                    <w:rPr>
                      <w:rFonts w:hint="default" w:ascii="Times New Roman" w:hAnsi="Times New Roman" w:eastAsia="SimSun" w:cs="Times New Roman"/>
                      <w:szCs w:val="21"/>
                      <w:lang w:eastAsia="zh-CN"/>
                    </w:rPr>
                  </w:pPr>
                  <w:r>
                    <w:rPr>
                      <w:rFonts w:hint="default" w:ascii="Times New Roman" w:hAnsi="Times New Roman" w:cs="Times New Roman"/>
                      <w:szCs w:val="21"/>
                      <w:lang w:eastAsia="zh-CN"/>
                    </w:rPr>
                    <w:t>区域</w:t>
                  </w:r>
                </w:p>
              </w:tc>
              <w:tc>
                <w:tcPr>
                  <w:tcW w:w="1838" w:type="dxa"/>
                  <w:vAlign w:val="center"/>
                </w:tcPr>
                <w:p>
                  <w:pPr>
                    <w:spacing w:line="276" w:lineRule="auto"/>
                    <w:jc w:val="center"/>
                    <w:rPr>
                      <w:rFonts w:hint="default" w:ascii="Times New Roman" w:hAnsi="Times New Roman" w:eastAsia="SimSun" w:cs="Times New Roman"/>
                      <w:szCs w:val="21"/>
                      <w:lang w:eastAsia="zh-CN"/>
                    </w:rPr>
                  </w:pPr>
                  <w:r>
                    <w:rPr>
                      <w:rFonts w:hint="default" w:ascii="Times New Roman" w:hAnsi="Times New Roman" w:cs="Times New Roman"/>
                      <w:szCs w:val="21"/>
                    </w:rPr>
                    <w:t>空气质量综合指</w:t>
                  </w:r>
                  <w:r>
                    <w:rPr>
                      <w:rFonts w:hint="default" w:ascii="Times New Roman" w:hAnsi="Times New Roman" w:cs="Times New Roman"/>
                      <w:szCs w:val="21"/>
                      <w:lang w:eastAsia="zh-CN"/>
                    </w:rPr>
                    <w:t>数</w:t>
                  </w:r>
                </w:p>
              </w:tc>
              <w:tc>
                <w:tcPr>
                  <w:tcW w:w="809"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10</w:t>
                  </w:r>
                </w:p>
              </w:tc>
              <w:tc>
                <w:tcPr>
                  <w:tcW w:w="1009"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2.5</w:t>
                  </w:r>
                </w:p>
              </w:tc>
              <w:tc>
                <w:tcPr>
                  <w:tcW w:w="1009"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SO</w:t>
                  </w:r>
                  <w:r>
                    <w:rPr>
                      <w:rFonts w:hint="default" w:ascii="Times New Roman" w:hAnsi="Times New Roman" w:cs="Times New Roman"/>
                      <w:szCs w:val="21"/>
                      <w:vertAlign w:val="subscript"/>
                    </w:rPr>
                    <w:t>2</w:t>
                  </w:r>
                </w:p>
              </w:tc>
              <w:tc>
                <w:tcPr>
                  <w:tcW w:w="895"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NO</w:t>
                  </w:r>
                  <w:r>
                    <w:rPr>
                      <w:rFonts w:hint="default" w:ascii="Times New Roman" w:hAnsi="Times New Roman" w:cs="Times New Roman"/>
                      <w:szCs w:val="21"/>
                      <w:vertAlign w:val="subscript"/>
                    </w:rPr>
                    <w:t>2</w:t>
                  </w:r>
                </w:p>
              </w:tc>
              <w:tc>
                <w:tcPr>
                  <w:tcW w:w="1557"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CO-95per(mg/m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1118"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O</w:t>
                  </w:r>
                  <w:r>
                    <w:rPr>
                      <w:rFonts w:hint="default" w:ascii="Times New Roman" w:hAnsi="Times New Roman" w:cs="Times New Roman"/>
                      <w:szCs w:val="21"/>
                      <w:vertAlign w:val="subscript"/>
                    </w:rPr>
                    <w:t>3-8H</w:t>
                  </w:r>
                  <w:r>
                    <w:rPr>
                      <w:rFonts w:hint="default" w:ascii="Times New Roman" w:hAnsi="Times New Roman" w:cs="Times New Roman"/>
                      <w:szCs w:val="21"/>
                    </w:rPr>
                    <w:t>-90per</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jc w:val="center"/>
              </w:trPr>
              <w:tc>
                <w:tcPr>
                  <w:tcW w:w="805"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商河县</w:t>
                  </w:r>
                </w:p>
              </w:tc>
              <w:tc>
                <w:tcPr>
                  <w:tcW w:w="1838"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6.05</w:t>
                  </w:r>
                </w:p>
              </w:tc>
              <w:tc>
                <w:tcPr>
                  <w:tcW w:w="809"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114</w:t>
                  </w:r>
                </w:p>
              </w:tc>
              <w:tc>
                <w:tcPr>
                  <w:tcW w:w="1009"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54</w:t>
                  </w:r>
                </w:p>
              </w:tc>
              <w:tc>
                <w:tcPr>
                  <w:tcW w:w="1009"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22</w:t>
                  </w:r>
                </w:p>
              </w:tc>
              <w:tc>
                <w:tcPr>
                  <w:tcW w:w="895"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37</w:t>
                  </w:r>
                </w:p>
              </w:tc>
              <w:tc>
                <w:tcPr>
                  <w:tcW w:w="1557"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18</w:t>
                  </w:r>
                </w:p>
              </w:tc>
              <w:tc>
                <w:tcPr>
                  <w:tcW w:w="1118"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180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jc w:val="center"/>
              </w:trPr>
              <w:tc>
                <w:tcPr>
                  <w:tcW w:w="2643" w:type="dxa"/>
                  <w:gridSpan w:val="2"/>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二级标准</w:t>
                  </w:r>
                </w:p>
              </w:tc>
              <w:tc>
                <w:tcPr>
                  <w:tcW w:w="809"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70</w:t>
                  </w:r>
                </w:p>
              </w:tc>
              <w:tc>
                <w:tcPr>
                  <w:tcW w:w="1009"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35</w:t>
                  </w:r>
                </w:p>
              </w:tc>
              <w:tc>
                <w:tcPr>
                  <w:tcW w:w="1009"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60</w:t>
                  </w:r>
                </w:p>
              </w:tc>
              <w:tc>
                <w:tcPr>
                  <w:tcW w:w="895"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40</w:t>
                  </w:r>
                </w:p>
              </w:tc>
              <w:tc>
                <w:tcPr>
                  <w:tcW w:w="1557"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4</w:t>
                  </w:r>
                </w:p>
              </w:tc>
              <w:tc>
                <w:tcPr>
                  <w:tcW w:w="1118" w:type="dxa"/>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cr/>
                  </w:r>
                  <w:r>
                    <w:rPr>
                      <w:rFonts w:hint="default" w:ascii="Times New Roman" w:hAnsi="Times New Roman" w:cs="Times New Roman"/>
                      <w:szCs w:val="21"/>
                    </w:rPr>
                    <w:t>60</w:t>
                  </w:r>
                </w:p>
              </w:tc>
            </w:tr>
          </w:tbl>
          <w:p>
            <w:pPr>
              <w:spacing w:line="360" w:lineRule="auto"/>
              <w:ind w:firstLine="480"/>
              <w:rPr>
                <w:rFonts w:hint="default" w:ascii="Times New Roman" w:hAnsi="Times New Roman" w:eastAsia="SimSun" w:cs="Times New Roman"/>
                <w:color w:val="auto"/>
                <w:sz w:val="24"/>
                <w:szCs w:val="24"/>
                <w:lang w:eastAsia="zh-CN"/>
              </w:rPr>
            </w:pPr>
            <w:r>
              <w:rPr>
                <w:rFonts w:hint="default" w:ascii="Times New Roman" w:hAnsi="Times New Roman" w:cs="Times New Roman"/>
                <w:sz w:val="24"/>
              </w:rPr>
              <w:t>商河县SO</w:t>
            </w:r>
            <w:r>
              <w:rPr>
                <w:rFonts w:hint="default" w:ascii="Times New Roman" w:hAnsi="Times New Roman" w:cs="Times New Roman"/>
                <w:sz w:val="24"/>
                <w:vertAlign w:val="subscript"/>
              </w:rPr>
              <w:t>2</w:t>
            </w:r>
            <w:r>
              <w:rPr>
                <w:rFonts w:hint="default" w:ascii="Times New Roman" w:hAnsi="Times New Roman" w:cs="Times New Roman"/>
                <w:sz w:val="24"/>
              </w:rPr>
              <w:t>、NO</w:t>
            </w:r>
            <w:r>
              <w:rPr>
                <w:rFonts w:hint="default" w:ascii="Times New Roman" w:hAnsi="Times New Roman" w:cs="Times New Roman"/>
                <w:sz w:val="24"/>
                <w:vertAlign w:val="subscript"/>
              </w:rPr>
              <w:t>2</w:t>
            </w:r>
            <w:r>
              <w:rPr>
                <w:rFonts w:hint="default" w:ascii="Times New Roman" w:hAnsi="Times New Roman" w:cs="Times New Roman"/>
                <w:sz w:val="24"/>
              </w:rPr>
              <w:t>、CO浓度均达标，PM</w:t>
            </w:r>
            <w:r>
              <w:rPr>
                <w:rFonts w:hint="default" w:ascii="Times New Roman" w:hAnsi="Times New Roman" w:cs="Times New Roman"/>
                <w:sz w:val="24"/>
                <w:vertAlign w:val="subscript"/>
              </w:rPr>
              <w:t>10</w:t>
            </w:r>
            <w:r>
              <w:rPr>
                <w:rFonts w:hint="default" w:ascii="Times New Roman" w:hAnsi="Times New Roman" w:cs="Times New Roman"/>
                <w:sz w:val="24"/>
              </w:rPr>
              <w:t>、PM</w:t>
            </w:r>
            <w:r>
              <w:rPr>
                <w:rFonts w:hint="default" w:ascii="Times New Roman" w:hAnsi="Times New Roman" w:cs="Times New Roman"/>
                <w:sz w:val="24"/>
                <w:vertAlign w:val="subscript"/>
              </w:rPr>
              <w:t>2.5</w:t>
            </w:r>
            <w:r>
              <w:rPr>
                <w:rFonts w:hint="default" w:ascii="Times New Roman" w:hAnsi="Times New Roman" w:cs="Times New Roman"/>
                <w:sz w:val="24"/>
              </w:rPr>
              <w:t>、臭氧浓度浓度超标。因此，商河县属于不达标区。</w:t>
            </w:r>
          </w:p>
          <w:p>
            <w:pPr>
              <w:pStyle w:val="36"/>
              <w:numPr>
                <w:ilvl w:val="0"/>
                <w:numId w:val="0"/>
              </w:numPr>
              <w:spacing w:line="360" w:lineRule="auto"/>
              <w:ind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（2）地表水：所有监测指标，除氨氮外，均达到国家地表水环境质量IV类标准。 </w:t>
            </w:r>
          </w:p>
          <w:p>
            <w:pPr>
              <w:pStyle w:val="36"/>
              <w:numPr>
                <w:ilvl w:val="0"/>
                <w:numId w:val="0"/>
              </w:numPr>
              <w:spacing w:line="360" w:lineRule="auto"/>
              <w:ind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（3）地下水：监测点位所有指标，均能达到《地下水质量标准》（GB/T14848-2017）中Ⅲ类标准。</w:t>
            </w:r>
          </w:p>
          <w:p>
            <w:pPr>
              <w:pStyle w:val="36"/>
              <w:numPr>
                <w:ilvl w:val="0"/>
                <w:numId w:val="0"/>
              </w:numPr>
              <w:spacing w:line="360" w:lineRule="auto"/>
              <w:ind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（4）声环境：该项目所在地声环境现状总体较好，项目所在区域声环境质量能够满足《声环境质量标准》（GB3096-2008）2类区标准的要求。</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2、环境影响分析</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（1）环境空气影响分析结论</w:t>
            </w:r>
          </w:p>
          <w:p>
            <w:pPr>
              <w:widowControl/>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项目加料及传输过程均在密闭设备中进行，项目产生的废气主要包括口服液生产中产生的有机废气和粉尘、片剂生产中称量、混合、整粒、压片产生的粉尘、以及化验室原料和产品化验产生的有机废气。</w:t>
            </w:r>
          </w:p>
          <w:p>
            <w:pPr>
              <w:widowControl/>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kern w:val="0"/>
                <w:sz w:val="24"/>
              </w:rPr>
              <w:t>扩建项目与现有项目共用环保设施和排气筒新增活性炭吸附装置及集气罩。口服液生产中产生的有机废气和粉尘经集气罩收集后经高效布袋除尘器+光氧催化+活性炭吸附处理后通过1#15m高排气筒排放。片剂生产中称量、混合、整粒、压片产生的粉尘经集气罩收集后进入高效布袋除尘器处理后经1#车间15m排气筒排放。扩建项目建成后化验室任务量增加，化验室产生的有机废气通过同一套光氧催化+活性炭吸附处理后通过1#15m高排气筒排放。</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（2）水环境影响分析结论</w:t>
            </w:r>
          </w:p>
          <w:p>
            <w:pPr>
              <w:pStyle w:val="36"/>
              <w:numPr>
                <w:ilvl w:val="0"/>
                <w:numId w:val="0"/>
              </w:num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扩建项目主要废水包括设备清洁废水、车间地面清洁废水、口服液瓶清洗废水、软化水制备浓水，接管排入商河经济技术开发区污水处理厂处理，尾水满足《城镇污水处理厂污染物排放标准》（GB18918-2002）一级A标准后排入商中河。</w:t>
            </w:r>
          </w:p>
          <w:p>
            <w:pPr>
              <w:pStyle w:val="36"/>
              <w:numPr>
                <w:ilvl w:val="0"/>
                <w:numId w:val="0"/>
              </w:numPr>
              <w:spacing w:line="360" w:lineRule="auto"/>
              <w:ind w:firstLine="482" w:firstLineChars="200"/>
              <w:rPr>
                <w:rFonts w:hint="default" w:ascii="Times New Roman" w:hAnsi="Times New Roman" w:cs="Times New Roman"/>
                <w:b/>
                <w:bCs/>
                <w:color w:val="C00000"/>
                <w:sz w:val="24"/>
                <w:szCs w:val="24"/>
                <w:lang w:val="en-US" w:eastAsia="zh-CN"/>
              </w:rPr>
            </w:pPr>
            <w:r>
              <w:rPr>
                <w:rFonts w:hint="default" w:ascii="Times New Roman" w:hAnsi="Times New Roman" w:cs="Times New Roman"/>
                <w:b/>
                <w:bCs/>
                <w:color w:val="auto"/>
                <w:sz w:val="24"/>
                <w:szCs w:val="24"/>
                <w:lang w:val="en-US" w:eastAsia="zh-CN"/>
              </w:rPr>
              <w:t>（3）噪声环境影响分析结论</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项目主要噪声源为混合机、压片机、颗粒机、整粒机等设备运行时产生的噪声，通过采取减震、隔声等降噪措施，再距离衰减、增设隔声围墙、加大绿化面积等措施进一步降噪。对周围声环境影响较小。</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（4）固体废物</w:t>
            </w:r>
            <w:r>
              <w:rPr>
                <w:rFonts w:hint="eastAsia" w:cs="Times New Roman"/>
                <w:sz w:val="24"/>
                <w:szCs w:val="24"/>
                <w:lang w:val="en-US" w:eastAsia="zh-CN"/>
              </w:rPr>
              <w:t>及危废</w:t>
            </w:r>
            <w:r>
              <w:rPr>
                <w:rFonts w:hint="default" w:ascii="Times New Roman" w:hAnsi="Times New Roman" w:cs="Times New Roman"/>
                <w:sz w:val="24"/>
                <w:szCs w:val="24"/>
                <w:lang w:val="en-US" w:eastAsia="zh-CN"/>
              </w:rPr>
              <w:t>影响分析</w:t>
            </w:r>
          </w:p>
          <w:p>
            <w:pPr>
              <w:adjustRightInd w:val="0"/>
              <w:snapToGrid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zh-CN"/>
              </w:rPr>
              <w:t>本项目固废主要为</w:t>
            </w:r>
            <w:r>
              <w:rPr>
                <w:rFonts w:hint="eastAsia"/>
                <w:bCs/>
                <w:color w:val="auto"/>
                <w:sz w:val="24"/>
                <w:lang w:eastAsia="zh-CN"/>
              </w:rPr>
              <w:t>不合格产品、废包装物、布袋除尘器收集的粉尘。产生的危废：废废离子交换树脂、</w:t>
            </w:r>
            <w:r>
              <w:rPr>
                <w:rFonts w:hint="eastAsia"/>
                <w:bCs/>
                <w:color w:val="auto"/>
                <w:sz w:val="24"/>
                <w:lang w:val="en-US" w:eastAsia="zh-CN"/>
              </w:rPr>
              <w:t>废过滤棉、</w:t>
            </w:r>
            <w:r>
              <w:rPr>
                <w:rFonts w:hint="eastAsia"/>
                <w:bCs/>
                <w:color w:val="auto"/>
                <w:sz w:val="24"/>
                <w:lang w:eastAsia="zh-CN"/>
              </w:rPr>
              <w:t>废活性炭、废灯管、化验室废液。</w:t>
            </w:r>
          </w:p>
          <w:p>
            <w:pPr>
              <w:adjustRightInd w:val="0"/>
              <w:snapToGrid w:val="0"/>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bCs/>
                <w:color w:val="auto"/>
                <w:sz w:val="24"/>
                <w:lang w:eastAsia="zh-CN"/>
              </w:rPr>
              <w:t>不合格产品、布袋除尘器收集的粉尘回用于生产</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废包装物由废品收购站统一收购处理，其他危废</w:t>
            </w:r>
            <w:r>
              <w:rPr>
                <w:rFonts w:hint="default" w:ascii="Times New Roman" w:hAnsi="Times New Roman" w:cs="Times New Roman"/>
                <w:color w:val="auto"/>
                <w:sz w:val="24"/>
                <w:szCs w:val="24"/>
                <w:lang w:val="en-US" w:eastAsia="zh-CN"/>
              </w:rPr>
              <w:t>暂存于危废暂存间，定期委托有资质单位处理。因此项目产生的固体废物</w:t>
            </w:r>
            <w:r>
              <w:rPr>
                <w:rFonts w:hint="eastAsia" w:ascii="Times New Roman" w:hAnsi="Times New Roman" w:cs="Times New Roman"/>
                <w:color w:val="auto"/>
                <w:sz w:val="24"/>
                <w:szCs w:val="24"/>
                <w:lang w:val="en-US" w:eastAsia="zh-CN"/>
              </w:rPr>
              <w:t>及危废</w:t>
            </w:r>
            <w:r>
              <w:rPr>
                <w:rFonts w:hint="default" w:ascii="Times New Roman" w:hAnsi="Times New Roman" w:cs="Times New Roman"/>
                <w:color w:val="auto"/>
                <w:sz w:val="24"/>
                <w:szCs w:val="24"/>
                <w:lang w:val="en-US" w:eastAsia="zh-CN"/>
              </w:rPr>
              <w:t>在采取措施妥善处置后，对周边环境造成的影响较小。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w:t>
            </w:r>
            <w:r>
              <w:rPr>
                <w:rFonts w:hint="default" w:ascii="Times New Roman" w:hAnsi="Times New Roman" w:cs="Times New Roman"/>
                <w:color w:val="auto"/>
                <w:sz w:val="24"/>
                <w:szCs w:val="24"/>
                <w:lang w:val="en-US" w:eastAsia="zh-CN"/>
              </w:rPr>
              <w:t>此</w:t>
            </w:r>
            <w:r>
              <w:rPr>
                <w:rFonts w:hint="default" w:ascii="Times New Roman" w:hAnsi="Times New Roman" w:cs="Times New Roman"/>
                <w:color w:val="auto"/>
                <w:sz w:val="24"/>
                <w:szCs w:val="24"/>
              </w:rPr>
              <w:t>项目严格落实</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三同时</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制度，</w:t>
            </w:r>
            <w:r>
              <w:rPr>
                <w:rFonts w:hint="default" w:ascii="Times New Roman" w:hAnsi="Times New Roman" w:cs="Times New Roman"/>
                <w:color w:val="auto"/>
                <w:sz w:val="24"/>
                <w:szCs w:val="24"/>
                <w:lang w:val="en-US" w:eastAsia="zh-CN"/>
              </w:rPr>
              <w:t>采取</w:t>
            </w:r>
            <w:r>
              <w:rPr>
                <w:rFonts w:hint="default" w:ascii="Times New Roman" w:hAnsi="Times New Roman" w:cs="Times New Roman"/>
                <w:color w:val="auto"/>
                <w:sz w:val="24"/>
                <w:szCs w:val="24"/>
              </w:rPr>
              <w:t>各种污染防治措施后，</w:t>
            </w:r>
            <w:r>
              <w:rPr>
                <w:rFonts w:hint="default" w:ascii="Times New Roman" w:hAnsi="Times New Roman" w:cs="Times New Roman"/>
                <w:color w:val="auto"/>
                <w:sz w:val="24"/>
                <w:szCs w:val="24"/>
                <w:lang w:eastAsia="zh-CN"/>
              </w:rPr>
              <w:t>废气、</w:t>
            </w:r>
            <w:r>
              <w:rPr>
                <w:rFonts w:hint="default" w:ascii="Times New Roman" w:hAnsi="Times New Roman" w:cs="Times New Roman"/>
                <w:color w:val="auto"/>
                <w:sz w:val="24"/>
                <w:szCs w:val="24"/>
              </w:rPr>
              <w:t>废水、噪声均可达标排放，固体废物可做到</w:t>
            </w:r>
            <w:r>
              <w:rPr>
                <w:rFonts w:hint="default" w:ascii="Times New Roman" w:hAnsi="Times New Roman" w:cs="Times New Roman"/>
                <w:color w:val="auto"/>
                <w:sz w:val="24"/>
                <w:szCs w:val="24"/>
                <w:lang w:eastAsia="zh-CN"/>
              </w:rPr>
              <w:t>妥善</w:t>
            </w:r>
            <w:r>
              <w:rPr>
                <w:rFonts w:hint="default" w:ascii="Times New Roman" w:hAnsi="Times New Roman" w:cs="Times New Roman"/>
                <w:color w:val="auto"/>
                <w:sz w:val="24"/>
                <w:szCs w:val="24"/>
              </w:rPr>
              <w:t>处置，不会改变环境功能区的质量。通过以上分析，各种污染物采取治理措施后对周围环境影响较小。从环境保护角度来看，本项目的建设是可行的。</w:t>
            </w:r>
          </w:p>
          <w:p>
            <w:pPr>
              <w:pStyle w:val="2"/>
              <w:numPr>
                <w:ilvl w:val="0"/>
                <w:numId w:val="0"/>
              </w:numPr>
              <w:rPr>
                <w:rFonts w:hint="eastAsia" w:asciiTheme="minorEastAsia" w:hAnsiTheme="minorEastAsia" w:eastAsiaTheme="minorEastAsia" w:cstheme="minorEastAsia"/>
                <w:b/>
                <w:bCs/>
                <w:sz w:val="28"/>
                <w:szCs w:val="28"/>
              </w:rPr>
            </w:pPr>
          </w:p>
          <w:p>
            <w:pPr>
              <w:pStyle w:val="2"/>
              <w:numPr>
                <w:ilvl w:val="0"/>
                <w:numId w:val="0"/>
              </w:numPr>
              <w:rPr>
                <w:rFonts w:hint="eastAsia" w:asciiTheme="minorEastAsia" w:hAnsiTheme="minorEastAsia" w:eastAsiaTheme="minorEastAsia" w:cstheme="minorEastAsia"/>
                <w:b/>
                <w:bCs/>
                <w:sz w:val="28"/>
                <w:szCs w:val="28"/>
              </w:rPr>
            </w:pPr>
          </w:p>
          <w:p>
            <w:pPr>
              <w:pStyle w:val="2"/>
              <w:numPr>
                <w:ilvl w:val="0"/>
                <w:numId w:val="0"/>
              </w:numPr>
              <w:ind w:left="400" w:leftChars="0"/>
              <w:rPr>
                <w:rFonts w:hint="eastAsia" w:asciiTheme="minorEastAsia" w:hAnsiTheme="minorEastAsia" w:eastAsiaTheme="minorEastAsia" w:cstheme="minorEastAsia"/>
                <w:b/>
                <w:bCs/>
                <w:sz w:val="28"/>
                <w:szCs w:val="28"/>
              </w:rPr>
            </w:pPr>
          </w:p>
          <w:p>
            <w:pPr>
              <w:pStyle w:val="2"/>
              <w:numPr>
                <w:ilvl w:val="0"/>
                <w:numId w:val="0"/>
              </w:numPr>
              <w:ind w:left="400" w:leftChars="0"/>
              <w:rPr>
                <w:rFonts w:hint="eastAsia" w:asciiTheme="minorEastAsia" w:hAnsiTheme="minorEastAsia" w:eastAsiaTheme="minorEastAsia" w:cstheme="minorEastAsia"/>
                <w:b/>
                <w:bCs/>
                <w:sz w:val="28"/>
                <w:szCs w:val="28"/>
              </w:rPr>
            </w:pPr>
          </w:p>
          <w:p>
            <w:pPr>
              <w:pStyle w:val="2"/>
              <w:numPr>
                <w:ilvl w:val="0"/>
                <w:numId w:val="0"/>
              </w:numPr>
              <w:ind w:left="400" w:leftChars="0"/>
              <w:rPr>
                <w:rFonts w:hint="eastAsia" w:asciiTheme="minorEastAsia" w:hAnsiTheme="minorEastAsia" w:eastAsiaTheme="minorEastAsia" w:cstheme="minorEastAsia"/>
                <w:b/>
                <w:bCs/>
                <w:sz w:val="28"/>
                <w:szCs w:val="28"/>
              </w:rPr>
            </w:pPr>
          </w:p>
          <w:p>
            <w:pPr>
              <w:pStyle w:val="2"/>
              <w:numPr>
                <w:ilvl w:val="0"/>
                <w:numId w:val="3"/>
              </w:numPr>
              <w:ind w:left="400" w:leftChars="0" w:firstLine="0" w:firstLineChars="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审批部门审批决定</w:t>
            </w:r>
          </w:p>
          <w:p>
            <w:pPr>
              <w:numPr>
                <w:ilvl w:val="0"/>
                <w:numId w:val="0"/>
              </w:numPr>
              <w:ind w:left="400" w:leftChars="0"/>
              <w:jc w:val="center"/>
              <w:rPr>
                <w:rFonts w:hint="eastAsia"/>
                <w:color w:val="FF0000"/>
                <w:sz w:val="44"/>
                <w:szCs w:val="44"/>
                <w:u w:val="single"/>
                <w:lang w:val="en-US" w:eastAsia="zh-CN"/>
              </w:rPr>
            </w:pPr>
            <w:r>
              <w:rPr>
                <w:rFonts w:hint="eastAsia"/>
                <w:color w:val="FF0000"/>
                <w:sz w:val="44"/>
                <w:szCs w:val="44"/>
                <w:u w:val="single"/>
                <w:lang w:val="en-US" w:eastAsia="zh-CN"/>
              </w:rPr>
              <w:t>济南市生态环境局商河分局</w:t>
            </w:r>
          </w:p>
          <w:p>
            <w:pPr>
              <w:pStyle w:val="2"/>
              <w:jc w:val="center"/>
              <w:rPr>
                <w:rFonts w:hint="eastAsia"/>
                <w:color w:val="auto"/>
                <w:sz w:val="24"/>
                <w:szCs w:val="24"/>
                <w:u w:val="none"/>
                <w:lang w:val="en-US" w:eastAsia="zh-CN"/>
              </w:rPr>
            </w:pPr>
            <w:r>
              <w:rPr>
                <w:rFonts w:hint="eastAsia"/>
                <w:color w:val="auto"/>
                <w:sz w:val="24"/>
                <w:szCs w:val="24"/>
                <w:u w:val="none"/>
                <w:lang w:val="en-US" w:eastAsia="zh-CN"/>
              </w:rPr>
              <w:t xml:space="preserve">                                    商环报告表（2019）111号</w:t>
            </w:r>
          </w:p>
          <w:p>
            <w:pPr>
              <w:pStyle w:val="36"/>
              <w:widowControl w:val="0"/>
              <w:numPr>
                <w:ilvl w:val="0"/>
                <w:numId w:val="0"/>
              </w:numPr>
              <w:autoSpaceDE w:val="0"/>
              <w:autoSpaceDN w:val="0"/>
              <w:adjustRightInd w:val="0"/>
              <w:spacing w:line="360" w:lineRule="auto"/>
              <w:ind w:leftChars="200"/>
              <w:jc w:val="center"/>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济南市生态环境局商河分局关于山东安特牧业科技有限公司兽药扩建项目环境影响报告表的批复</w:t>
            </w:r>
          </w:p>
          <w:p>
            <w:pPr>
              <w:pStyle w:val="36"/>
              <w:widowControl w:val="0"/>
              <w:numPr>
                <w:ilvl w:val="0"/>
                <w:numId w:val="0"/>
              </w:numPr>
              <w:autoSpaceDE w:val="0"/>
              <w:autoSpaceDN w:val="0"/>
              <w:adjustRightInd w:val="0"/>
              <w:spacing w:line="360" w:lineRule="auto"/>
              <w:ind w:leftChars="20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山东安特牧业科技有限公司</w:t>
            </w:r>
            <w:r>
              <w:rPr>
                <w:rFonts w:hint="eastAsia" w:cs="Times New Roman"/>
                <w:sz w:val="24"/>
                <w:szCs w:val="24"/>
                <w:lang w:val="en-US" w:eastAsia="zh-CN"/>
              </w:rPr>
              <w:t>：</w:t>
            </w:r>
          </w:p>
          <w:p>
            <w:pPr>
              <w:pStyle w:val="36"/>
              <w:widowControl w:val="0"/>
              <w:numPr>
                <w:ilvl w:val="0"/>
                <w:numId w:val="0"/>
              </w:numPr>
              <w:autoSpaceDE w:val="0"/>
              <w:autoSpaceDN w:val="0"/>
              <w:adjustRightInd w:val="0"/>
              <w:spacing w:line="360" w:lineRule="auto"/>
              <w:ind w:leftChars="200" w:firstLine="480" w:firstLineChars="20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你单位《山东安特牧业科技有限公司兽药扩建项目环境影响报告表》收悉,经审查批复如下:</w:t>
            </w:r>
          </w:p>
          <w:p>
            <w:pPr>
              <w:pStyle w:val="36"/>
              <w:widowControl w:val="0"/>
              <w:numPr>
                <w:ilvl w:val="0"/>
                <w:numId w:val="0"/>
              </w:numPr>
              <w:autoSpaceDE w:val="0"/>
              <w:autoSpaceDN w:val="0"/>
              <w:adjustRightInd w:val="0"/>
              <w:spacing w:line="360" w:lineRule="auto"/>
              <w:ind w:leftChars="20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一、山东安特牧业科技有限公司兽药扩建项目位于山东省济南市商河县经济开发区凯源路29号山东安特牧业科技有限公司现有兽药车间内,总投资30万元,环保投资5万元,扩建项目依托现有GMP二车间,新增口服液、片剂及液体消毒剂生产线,其中片剂生产线新增混合机、颗粒机、压片机、包衣机、整粒机、填充机等设备;消毒剂生产线新增</w:t>
            </w:r>
          </w:p>
          <w:p>
            <w:pPr>
              <w:pStyle w:val="36"/>
              <w:widowControl w:val="0"/>
              <w:numPr>
                <w:ilvl w:val="0"/>
                <w:numId w:val="0"/>
              </w:numPr>
              <w:autoSpaceDE w:val="0"/>
              <w:autoSpaceDN w:val="0"/>
              <w:adjustRightInd w:val="0"/>
              <w:spacing w:line="360" w:lineRule="auto"/>
              <w:ind w:leftChars="20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4个搅拌罐;口服液生产线新增搅拌罐、灌装机、旋盖机等设备。项目建成后年产片剂10吨、口服液200吨、液体消毒剂300吨。该项目已取得山东省建设项目备案证明(项目</w:t>
            </w:r>
          </w:p>
          <w:p>
            <w:pPr>
              <w:pStyle w:val="36"/>
              <w:widowControl w:val="0"/>
              <w:numPr>
                <w:ilvl w:val="0"/>
                <w:numId w:val="0"/>
              </w:numPr>
              <w:autoSpaceDE w:val="0"/>
              <w:autoSpaceDN w:val="0"/>
              <w:adjustRightInd w:val="0"/>
              <w:spacing w:line="360" w:lineRule="auto"/>
              <w:ind w:leftChars="20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代码:2019-370126-27-03-055491)。我局于2019年10月28日受理该项目并在商河县政府网站和济南市生态环境局网站进行了公示,公示期间未收到公众反对意见。根据环境影响评价结论,在落实报告表中环境保护措施和我局审批见要求的前提下,污染物能够达标排放,从环保角度分析,同意该项目建设。</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eastAsia" w:cs="Times New Roman"/>
                <w:sz w:val="24"/>
                <w:szCs w:val="24"/>
                <w:lang w:val="en-US" w:eastAsia="zh-CN"/>
              </w:rPr>
              <w:t>二、</w:t>
            </w:r>
            <w:r>
              <w:rPr>
                <w:rFonts w:hint="default" w:ascii="Times New Roman" w:hAnsi="Times New Roman" w:cs="Times New Roman"/>
                <w:sz w:val="24"/>
                <w:szCs w:val="24"/>
                <w:lang w:val="en-US" w:eastAsia="zh-CN"/>
              </w:rPr>
              <w:t>该项目应重点做好以下工作:</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t>
            </w:r>
            <w:r>
              <w:rPr>
                <w:rFonts w:hint="eastAsia" w:cs="Times New Roman"/>
                <w:sz w:val="24"/>
                <w:szCs w:val="24"/>
                <w:lang w:val="en-US" w:eastAsia="zh-CN"/>
              </w:rPr>
              <w:t>一</w:t>
            </w:r>
            <w:r>
              <w:rPr>
                <w:rFonts w:hint="default" w:ascii="Times New Roman" w:hAnsi="Times New Roman" w:cs="Times New Roman"/>
                <w:sz w:val="24"/>
                <w:szCs w:val="24"/>
                <w:lang w:val="en-US" w:eastAsia="zh-CN"/>
              </w:rPr>
              <w:t>)</w:t>
            </w:r>
            <w:r>
              <w:rPr>
                <w:rFonts w:hint="eastAsia" w:cs="Times New Roman"/>
                <w:sz w:val="24"/>
                <w:szCs w:val="24"/>
                <w:lang w:val="en-US" w:eastAsia="zh-CN"/>
              </w:rPr>
              <w:t xml:space="preserve"> </w:t>
            </w:r>
            <w:r>
              <w:rPr>
                <w:rFonts w:hint="default" w:ascii="Times New Roman" w:hAnsi="Times New Roman" w:cs="Times New Roman"/>
                <w:sz w:val="24"/>
                <w:szCs w:val="24"/>
                <w:lang w:val="en-US" w:eastAsia="zh-CN"/>
              </w:rPr>
              <w:t>按照“雨污分流、清污分流”的原则建设排水系统,雨水排入雨水管网。设备清洗废水、车间地面清洁废水、口服液瓶清洗水、纯水制备浓水满足《污水排入城镇下水道</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水质标准》(GB/T31962-2015)B等级标准和商河县经济开发区污水处理厂进水水质要求后,排入市政管网,进入商河县经济开发区污水处理厂进一步处理。污水管道等要采取防渗措施,以防污染地下水。</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(二)做好大气污染物的污染防治工作</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1、口服液、液体消毒剂生产过程中产生的废气经收集后引入布袋除尘器+UV光氧装置+活性炭吸附装置处理,片剂生产过程中产生的粉尘经集气罩收集通过布袋除尘器处理</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化验室化验过程中产生的有机废气经光氧催化+活性炭吸附装置处理,最后均通过1根15米高排气筒(1#)排放;VOCs排放浓度及排放速率须满足《挥发性有机物排放标准第6部分:有机化工行业》(DB37/2801.6-2019)表1I时段限值要求:颗粒物放浓度与排放速率须满足《区域性大气污染物综合排放标准》(DB37/2376-2019)表1重点控制区标准要求</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和《大气污染物综合排放标准》(GB16297-1996)表2标准要求;</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2、做好各环节无组织废气排放的污染控制工作。VOCs厂界排放浓度须满足《挥发性有机物排放标准第6部分:有机化工行业》(DB37/2801.6-2019)表3中厂界监控点浓度限</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值要求;颗粒物厂界排放浓度须满足《大气污染物综合排放标准》(GB16297-1996)表2中厂界外浓度限值要求。</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(三)</w:t>
            </w:r>
            <w:r>
              <w:rPr>
                <w:rFonts w:hint="eastAsia" w:cs="Times New Roman"/>
                <w:sz w:val="24"/>
                <w:szCs w:val="24"/>
                <w:lang w:val="en-US" w:eastAsia="zh-CN"/>
              </w:rPr>
              <w:t>、</w:t>
            </w:r>
            <w:r>
              <w:rPr>
                <w:rFonts w:hint="default" w:ascii="Times New Roman" w:hAnsi="Times New Roman" w:cs="Times New Roman"/>
                <w:sz w:val="24"/>
                <w:szCs w:val="24"/>
                <w:lang w:val="en-US" w:eastAsia="zh-CN"/>
              </w:rPr>
              <w:t>项目营运期噪声主要是设备生产运行时产生的噪声,通过选用低噪声设备、基础减振、建筑隔声、距离衰减等措施后,厂界噪声要达到《工业企业厂界环境噪声排放标</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准》(GB12348-2008)2类标准要求。</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(四)</w:t>
            </w:r>
            <w:r>
              <w:rPr>
                <w:rFonts w:hint="eastAsia" w:cs="Times New Roman"/>
                <w:sz w:val="24"/>
                <w:szCs w:val="24"/>
                <w:lang w:val="en-US" w:eastAsia="zh-CN"/>
              </w:rPr>
              <w:t>、</w:t>
            </w:r>
            <w:r>
              <w:rPr>
                <w:rFonts w:hint="default" w:ascii="Times New Roman" w:hAnsi="Times New Roman" w:cs="Times New Roman"/>
                <w:sz w:val="24"/>
                <w:szCs w:val="24"/>
                <w:lang w:val="en-US" w:eastAsia="zh-CN"/>
              </w:rPr>
              <w:t>不合格产品回用于生产;收集粉尘回用于生产;纯水制备废活性由环卫部门清运处理;废包装物、废UV灯管、废气处理产生的废活性炭、化验室废液、反渗透膜均属</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于危险废物,暂存于危废暂存问,委托有资质单位处理,处理措施和处置方案应达到《危险废物贮存污染物控制标准》(GB18597-2001)及其2013年修改单标准要求。</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三、本项目二车间卫生防护距离为100米,在此范围内不得新建学校、医院、居民住宅等敏感建筑。</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四、该项目废气污染物烟粉尘、VOCs年排放量需分别控制在0.163t、0.112t以内。</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五、要按照环保部《建设项目环境影响评价信息公开机制方案》的有关要求,公开项目建设前、施工过程中和建成后等环评信息。</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六、该项目建设必须严格执行环境保护设施与主体工程同时设计、同时施工、同时投用的规定。项目竣工后须按规定的程序进行建设项目竣工环境环保验收,经验收合格后方可投入使用。违反本规定,你公司应当承担相应的法律责任。</w:t>
            </w:r>
          </w:p>
          <w:p>
            <w:pPr>
              <w:pStyle w:val="36"/>
              <w:widowControl w:val="0"/>
              <w:numPr>
                <w:ilvl w:val="0"/>
                <w:numId w:val="0"/>
              </w:numPr>
              <w:autoSpaceDE w:val="0"/>
              <w:autoSpaceDN w:val="0"/>
              <w:adjustRightInd w:val="0"/>
              <w:spacing w:line="360" w:lineRule="auto"/>
              <w:ind w:left="400" w:leftChars="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七</w:t>
            </w:r>
            <w:r>
              <w:rPr>
                <w:rFonts w:hint="eastAsia" w:cs="Times New Roman"/>
                <w:sz w:val="24"/>
                <w:szCs w:val="24"/>
                <w:lang w:val="en-US" w:eastAsia="zh-CN"/>
              </w:rPr>
              <w:t>、</w:t>
            </w:r>
            <w:r>
              <w:rPr>
                <w:rFonts w:hint="default" w:ascii="Times New Roman" w:hAnsi="Times New Roman" w:cs="Times New Roman"/>
                <w:sz w:val="24"/>
                <w:szCs w:val="24"/>
                <w:lang w:val="en-US" w:eastAsia="zh-CN"/>
              </w:rPr>
              <w:t>请分局环境监察大队加强对该项</w:t>
            </w:r>
            <w:r>
              <w:rPr>
                <w:rFonts w:hint="eastAsia" w:cs="Times New Roman"/>
                <w:sz w:val="24"/>
                <w:szCs w:val="24"/>
                <w:lang w:val="en-US" w:eastAsia="zh-CN"/>
              </w:rPr>
              <w:t>日</w:t>
            </w:r>
            <w:r>
              <w:rPr>
                <w:rFonts w:hint="default" w:ascii="Times New Roman" w:hAnsi="Times New Roman" w:cs="Times New Roman"/>
                <w:sz w:val="24"/>
                <w:szCs w:val="24"/>
                <w:lang w:val="en-US" w:eastAsia="zh-CN"/>
              </w:rPr>
              <w:t>常监</w:t>
            </w:r>
            <w:r>
              <w:rPr>
                <w:rFonts w:hint="eastAsia" w:cs="Times New Roman"/>
                <w:sz w:val="24"/>
                <w:szCs w:val="24"/>
                <w:lang w:val="en-US" w:eastAsia="zh-CN"/>
              </w:rPr>
              <w:t>督检</w:t>
            </w:r>
            <w:r>
              <w:rPr>
                <w:rFonts w:hint="default" w:ascii="Times New Roman" w:hAnsi="Times New Roman" w:cs="Times New Roman"/>
                <w:sz w:val="24"/>
                <w:szCs w:val="24"/>
                <w:lang w:val="en-US" w:eastAsia="zh-CN"/>
              </w:rPr>
              <w:t>查。</w:t>
            </w:r>
          </w:p>
          <w:p>
            <w:pPr>
              <w:pStyle w:val="36"/>
              <w:widowControl w:val="0"/>
              <w:numPr>
                <w:ilvl w:val="0"/>
                <w:numId w:val="0"/>
              </w:numPr>
              <w:autoSpaceDE w:val="0"/>
              <w:autoSpaceDN w:val="0"/>
              <w:adjustRightInd w:val="0"/>
              <w:spacing w:line="360" w:lineRule="auto"/>
              <w:ind w:left="400" w:leftChars="0"/>
              <w:jc w:val="right"/>
              <w:rPr>
                <w:rFonts w:hint="default" w:ascii="Times New Roman" w:hAnsi="Times New Roman" w:cs="Times New Roman"/>
                <w:sz w:val="24"/>
                <w:szCs w:val="24"/>
                <w:lang w:val="en-US" w:eastAsia="zh-CN"/>
              </w:rPr>
            </w:pPr>
          </w:p>
          <w:p>
            <w:pPr>
              <w:pStyle w:val="36"/>
              <w:widowControl w:val="0"/>
              <w:numPr>
                <w:ilvl w:val="0"/>
                <w:numId w:val="0"/>
              </w:numPr>
              <w:autoSpaceDE w:val="0"/>
              <w:autoSpaceDN w:val="0"/>
              <w:adjustRightInd w:val="0"/>
              <w:spacing w:line="360" w:lineRule="auto"/>
              <w:ind w:left="400" w:leftChars="0"/>
              <w:jc w:val="righ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二</w:t>
            </w:r>
            <w:r>
              <w:rPr>
                <w:rFonts w:hint="eastAsia" w:cs="Times New Roman"/>
                <w:sz w:val="24"/>
                <w:szCs w:val="24"/>
                <w:lang w:val="en-US" w:eastAsia="zh-CN"/>
              </w:rPr>
              <w:t>0一</w:t>
            </w:r>
            <w:r>
              <w:rPr>
                <w:rFonts w:hint="default" w:ascii="Times New Roman" w:hAnsi="Times New Roman" w:cs="Times New Roman"/>
                <w:sz w:val="24"/>
                <w:szCs w:val="24"/>
                <w:lang w:val="en-US" w:eastAsia="zh-CN"/>
              </w:rPr>
              <w:t>九年</w:t>
            </w:r>
            <w:r>
              <w:rPr>
                <w:rFonts w:hint="eastAsia" w:cs="Times New Roman"/>
                <w:sz w:val="24"/>
                <w:szCs w:val="24"/>
                <w:lang w:val="en-US" w:eastAsia="zh-CN"/>
              </w:rPr>
              <w:t>十一月二十日</w:t>
            </w:r>
          </w:p>
        </w:tc>
      </w:tr>
    </w:tbl>
    <w:p>
      <w:pPr>
        <w:pStyle w:val="5"/>
        <w:spacing w:before="0" w:after="0" w:line="360" w:lineRule="auto"/>
        <w:jc w:val="left"/>
        <w:rPr>
          <w:rFonts w:ascii="Times New Roman" w:hAnsi="Times New Roman" w:cs="Times New Roman"/>
          <w:sz w:val="28"/>
          <w:szCs w:val="28"/>
        </w:rPr>
      </w:pPr>
      <w:bookmarkStart w:id="7" w:name="_Toc491175620"/>
      <w:bookmarkStart w:id="8" w:name="_Toc517710311"/>
      <w:r>
        <w:rPr>
          <w:rFonts w:ascii="Times New Roman" w:hAnsi="Times New Roman" w:cs="Times New Roman"/>
          <w:sz w:val="28"/>
          <w:szCs w:val="28"/>
        </w:rPr>
        <w:t>表</w:t>
      </w:r>
      <w:bookmarkEnd w:id="7"/>
      <w:r>
        <w:rPr>
          <w:rFonts w:ascii="Times New Roman" w:hAnsi="Times New Roman" w:cs="Times New Roman"/>
          <w:sz w:val="28"/>
          <w:szCs w:val="28"/>
        </w:rPr>
        <w:t xml:space="preserve">五 </w:t>
      </w:r>
      <w:bookmarkEnd w:id="8"/>
    </w:p>
    <w:tbl>
      <w:tblPr>
        <w:tblStyle w:val="29"/>
        <w:tblW w:w="9837" w:type="dxa"/>
        <w:jc w:val="center"/>
        <w:tblInd w:w="-74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83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173" w:hRule="atLeast"/>
          <w:jc w:val="center"/>
        </w:trPr>
        <w:tc>
          <w:tcPr>
            <w:tcW w:w="9837" w:type="dxa"/>
          </w:tcPr>
          <w:p>
            <w:pPr>
              <w:spacing w:beforeLines="20" w:line="360" w:lineRule="auto"/>
              <w:rPr>
                <w:b/>
                <w:bCs/>
                <w:color w:val="auto"/>
                <w:sz w:val="32"/>
                <w:szCs w:val="32"/>
              </w:rPr>
            </w:pPr>
            <w:r>
              <w:rPr>
                <w:b/>
                <w:bCs/>
                <w:color w:val="auto"/>
                <w:sz w:val="32"/>
                <w:szCs w:val="32"/>
              </w:rPr>
              <w:t>验收监测质量保证及质量控制：</w:t>
            </w:r>
          </w:p>
          <w:p>
            <w:pPr>
              <w:spacing w:line="360" w:lineRule="auto"/>
              <w:rPr>
                <w:sz w:val="24"/>
                <w:szCs w:val="24"/>
              </w:rPr>
            </w:pPr>
            <w:r>
              <w:rPr>
                <w:rFonts w:hint="eastAsia"/>
                <w:sz w:val="24"/>
                <w:szCs w:val="24"/>
              </w:rPr>
              <w:t>1</w:t>
            </w:r>
            <w:r>
              <w:rPr>
                <w:sz w:val="24"/>
                <w:szCs w:val="24"/>
              </w:rPr>
              <w:t>、废气监测方法、质量保证和质量控制</w:t>
            </w:r>
          </w:p>
          <w:p>
            <w:pPr>
              <w:spacing w:line="360" w:lineRule="auto"/>
              <w:ind w:firstLine="240" w:firstLineChars="100"/>
              <w:rPr>
                <w:sz w:val="24"/>
                <w:szCs w:val="24"/>
              </w:rPr>
            </w:pPr>
            <w:r>
              <w:rPr>
                <w:sz w:val="24"/>
                <w:szCs w:val="24"/>
              </w:rPr>
              <w:t>（1）废气监测方法</w:t>
            </w:r>
          </w:p>
          <w:p>
            <w:pPr>
              <w:pStyle w:val="22"/>
              <w:ind w:firstLine="480" w:firstLineChars="200"/>
              <w:jc w:val="both"/>
              <w:rPr>
                <w:sz w:val="24"/>
                <w:szCs w:val="24"/>
              </w:rPr>
            </w:pPr>
            <w:r>
              <w:rPr>
                <w:sz w:val="24"/>
                <w:szCs w:val="24"/>
              </w:rPr>
              <w:t>本项目验收监测分析方法及检出限见表</w:t>
            </w:r>
            <w:r>
              <w:rPr>
                <w:rFonts w:hint="default"/>
                <w:sz w:val="24"/>
                <w:szCs w:val="24"/>
              </w:rPr>
              <w:t>5-1</w:t>
            </w:r>
            <w:r>
              <w:rPr>
                <w:sz w:val="24"/>
                <w:szCs w:val="24"/>
              </w:rPr>
              <w:t>。</w:t>
            </w:r>
          </w:p>
          <w:p>
            <w:pPr>
              <w:pStyle w:val="22"/>
              <w:ind w:firstLine="480" w:firstLineChars="200"/>
              <w:rPr>
                <w:sz w:val="24"/>
                <w:szCs w:val="24"/>
              </w:rPr>
            </w:pPr>
            <w:r>
              <w:rPr>
                <w:sz w:val="24"/>
                <w:szCs w:val="24"/>
              </w:rPr>
              <w:t>表5-1废气监测分析方法一览表</w:t>
            </w:r>
          </w:p>
          <w:tbl>
            <w:tblPr>
              <w:tblStyle w:val="29"/>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1710"/>
              <w:gridCol w:w="1935"/>
              <w:gridCol w:w="2175"/>
              <w:gridCol w:w="1230"/>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4"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样品类别</w:t>
                  </w:r>
                </w:p>
              </w:tc>
              <w:tc>
                <w:tcPr>
                  <w:tcW w:w="171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分析项目</w:t>
                  </w:r>
                </w:p>
              </w:tc>
              <w:tc>
                <w:tcPr>
                  <w:tcW w:w="19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分析方法依据</w:t>
                  </w:r>
                </w:p>
              </w:tc>
              <w:tc>
                <w:tcPr>
                  <w:tcW w:w="217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仪器设备</w:t>
                  </w:r>
                  <w:r>
                    <w:rPr>
                      <w:rFonts w:hint="default" w:ascii="Times New Roman" w:hAnsi="Times New Roman" w:cs="Times New Roman"/>
                      <w:kern w:val="2"/>
                      <w:sz w:val="21"/>
                      <w:szCs w:val="21"/>
                      <w:vertAlign w:val="baseline"/>
                      <w:lang w:val="en-US" w:eastAsia="zh-CN" w:bidi="ar-SA"/>
                    </w:rPr>
                    <w:t>及编号</w:t>
                  </w:r>
                </w:p>
              </w:tc>
              <w:tc>
                <w:tcPr>
                  <w:tcW w:w="123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检定日期</w:t>
                  </w:r>
                </w:p>
              </w:tc>
              <w:tc>
                <w:tcPr>
                  <w:tcW w:w="1878"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lang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34" w:type="dxa"/>
                  <w:vMerge w:val="restart"/>
                  <w:vAlign w:val="center"/>
                </w:tcPr>
                <w:p>
                  <w:pPr>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有</w:t>
                  </w:r>
                  <w:r>
                    <w:rPr>
                      <w:rFonts w:hint="default" w:ascii="Times New Roman" w:hAnsi="Times New Roman" w:eastAsia="SimSun" w:cs="Times New Roman"/>
                      <w:kern w:val="2"/>
                      <w:sz w:val="21"/>
                      <w:szCs w:val="21"/>
                      <w:vertAlign w:val="baseline"/>
                      <w:lang w:val="en-US" w:eastAsia="zh-CN" w:bidi="ar-SA"/>
                    </w:rPr>
                    <w:t>组织废气</w:t>
                  </w:r>
                </w:p>
              </w:tc>
              <w:tc>
                <w:tcPr>
                  <w:tcW w:w="1710" w:type="dxa"/>
                  <w:vAlign w:val="center"/>
                </w:tcPr>
                <w:p>
                  <w:pPr>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颗粒物</w:t>
                  </w:r>
                </w:p>
              </w:tc>
              <w:tc>
                <w:tcPr>
                  <w:tcW w:w="1935" w:type="dxa"/>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重量法  </w:t>
                  </w:r>
                </w:p>
                <w:p>
                  <w:pPr>
                    <w:jc w:val="center"/>
                    <w:rPr>
                      <w:rFonts w:hint="default" w:ascii="Times New Roman" w:hAnsi="Times New Roman" w:cs="Times New Roman"/>
                      <w:sz w:val="21"/>
                      <w:szCs w:val="21"/>
                      <w:lang w:val="en-US" w:eastAsia="zh-CN"/>
                    </w:rPr>
                  </w:pPr>
                  <w:r>
                    <w:rPr>
                      <w:rFonts w:hint="default" w:ascii="Times New Roman" w:hAnsi="Times New Roman" w:eastAsia="SimSun" w:cs="Times New Roman"/>
                      <w:kern w:val="2"/>
                      <w:sz w:val="21"/>
                      <w:szCs w:val="21"/>
                      <w:vertAlign w:val="baseline"/>
                      <w:lang w:val="en-US" w:eastAsia="zh-CN" w:bidi="ar-SA"/>
                    </w:rPr>
                    <w:t>HJ 836-2017</w:t>
                  </w:r>
                </w:p>
              </w:tc>
              <w:tc>
                <w:tcPr>
                  <w:tcW w:w="2175" w:type="dxa"/>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ES1035A电子天平</w:t>
                  </w:r>
                </w:p>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 </w:t>
                  </w:r>
                  <w:r>
                    <w:rPr>
                      <w:rFonts w:hint="default" w:ascii="Times New Roman" w:hAnsi="Times New Roman" w:eastAsia="SimSun" w:cs="Times New Roman"/>
                      <w:kern w:val="2"/>
                      <w:sz w:val="21"/>
                      <w:szCs w:val="21"/>
                      <w:vertAlign w:val="baseline"/>
                      <w:lang w:val="en-US" w:eastAsia="zh-CN" w:bidi="ar-SA"/>
                    </w:rPr>
                    <w:t>YQ-01</w:t>
                  </w:r>
                  <w:r>
                    <w:rPr>
                      <w:rFonts w:hint="default" w:ascii="Times New Roman" w:hAnsi="Times New Roman" w:cs="Times New Roman"/>
                      <w:kern w:val="2"/>
                      <w:sz w:val="21"/>
                      <w:szCs w:val="21"/>
                      <w:vertAlign w:val="baseline"/>
                      <w:lang w:val="en-US" w:eastAsia="zh-CN" w:bidi="ar-SA"/>
                    </w:rPr>
                    <w:t>3</w:t>
                  </w:r>
                </w:p>
              </w:tc>
              <w:tc>
                <w:tcPr>
                  <w:tcW w:w="1230" w:type="dxa"/>
                  <w:vAlign w:val="center"/>
                </w:tcPr>
                <w:p>
                  <w:pPr>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201</w:t>
                  </w:r>
                  <w:r>
                    <w:rPr>
                      <w:rFonts w:hint="eastAsia" w:ascii="Times New Roman" w:hAnsi="Times New Roman" w:cs="Times New Roman"/>
                      <w:kern w:val="2"/>
                      <w:sz w:val="21"/>
                      <w:szCs w:val="21"/>
                      <w:vertAlign w:val="baseline"/>
                      <w:lang w:val="en-US" w:eastAsia="zh-CN" w:bidi="ar-SA"/>
                    </w:rPr>
                    <w:t>9</w:t>
                  </w:r>
                  <w:r>
                    <w:rPr>
                      <w:rFonts w:hint="default" w:ascii="Times New Roman" w:hAnsi="Times New Roman" w:eastAsia="SimSun" w:cs="Times New Roman"/>
                      <w:kern w:val="2"/>
                      <w:sz w:val="21"/>
                      <w:szCs w:val="21"/>
                      <w:vertAlign w:val="baseline"/>
                      <w:lang w:val="en-US" w:eastAsia="zh-CN" w:bidi="ar-SA"/>
                    </w:rPr>
                    <w:t>.10.</w:t>
                  </w:r>
                  <w:r>
                    <w:rPr>
                      <w:rFonts w:hint="eastAsia" w:ascii="Times New Roman" w:hAnsi="Times New Roman" w:cs="Times New Roman"/>
                      <w:kern w:val="2"/>
                      <w:sz w:val="21"/>
                      <w:szCs w:val="21"/>
                      <w:vertAlign w:val="baseline"/>
                      <w:lang w:val="en-US" w:eastAsia="zh-CN" w:bidi="ar-SA"/>
                    </w:rPr>
                    <w:t>17</w:t>
                  </w:r>
                </w:p>
              </w:tc>
              <w:tc>
                <w:tcPr>
                  <w:tcW w:w="1878" w:type="dxa"/>
                  <w:vAlign w:val="center"/>
                </w:tcPr>
                <w:p>
                  <w:pPr>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1.0mg/m</w:t>
                  </w:r>
                  <w:r>
                    <w:rPr>
                      <w:rFonts w:hint="default" w:ascii="Times New Roman" w:hAnsi="Times New Roman" w:eastAsia="SimSun" w:cs="Times New Roman"/>
                      <w:kern w:val="2"/>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34" w:type="dxa"/>
                  <w:vMerge w:val="continue"/>
                  <w:vAlign w:val="center"/>
                </w:tcPr>
                <w:p>
                  <w:pPr>
                    <w:jc w:val="center"/>
                    <w:rPr>
                      <w:rFonts w:hint="default" w:ascii="Times New Roman" w:hAnsi="Times New Roman" w:eastAsia="SimSun" w:cs="Times New Roman"/>
                      <w:kern w:val="2"/>
                      <w:sz w:val="21"/>
                      <w:szCs w:val="21"/>
                      <w:vertAlign w:val="baseline"/>
                      <w:lang w:val="en-US" w:eastAsia="zh-CN" w:bidi="ar-SA"/>
                    </w:rPr>
                  </w:pPr>
                </w:p>
              </w:tc>
              <w:tc>
                <w:tcPr>
                  <w:tcW w:w="1710" w:type="dxa"/>
                  <w:vAlign w:val="center"/>
                </w:tcPr>
                <w:p>
                  <w:pPr>
                    <w:jc w:val="center"/>
                    <w:rPr>
                      <w:rFonts w:hint="eastAsia"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VOCs</w:t>
                  </w:r>
                </w:p>
                <w:p>
                  <w:pPr>
                    <w:jc w:val="center"/>
                    <w:rPr>
                      <w:rFonts w:hint="eastAsia"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b w:val="0"/>
                      <w:bCs/>
                      <w:color w:val="auto"/>
                      <w:sz w:val="21"/>
                      <w:szCs w:val="21"/>
                      <w:lang w:val="en-US" w:eastAsia="zh-CN"/>
                    </w:rPr>
                    <w:t>（以NMHC计）</w:t>
                  </w:r>
                </w:p>
              </w:tc>
              <w:tc>
                <w:tcPr>
                  <w:tcW w:w="1935" w:type="dxa"/>
                  <w:vAlign w:val="center"/>
                </w:tcPr>
                <w:p>
                  <w:pPr>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 xml:space="preserve"> 气相色谱法</w:t>
                  </w:r>
                </w:p>
                <w:p>
                  <w:pPr>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HJ 38-2017</w:t>
                  </w:r>
                </w:p>
              </w:tc>
              <w:tc>
                <w:tcPr>
                  <w:tcW w:w="2175" w:type="dxa"/>
                  <w:vAlign w:val="center"/>
                </w:tcPr>
                <w:p>
                  <w:pPr>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GC9790Ⅱ气相色谱仪YQ-001</w:t>
                  </w:r>
                </w:p>
              </w:tc>
              <w:tc>
                <w:tcPr>
                  <w:tcW w:w="1230" w:type="dxa"/>
                  <w:vAlign w:val="center"/>
                </w:tcPr>
                <w:p>
                  <w:pPr>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201</w:t>
                  </w:r>
                  <w:r>
                    <w:rPr>
                      <w:rFonts w:hint="eastAsia" w:ascii="Times New Roman" w:hAnsi="Times New Roman" w:cs="Times New Roman"/>
                      <w:kern w:val="2"/>
                      <w:sz w:val="21"/>
                      <w:szCs w:val="21"/>
                      <w:vertAlign w:val="baseline"/>
                      <w:lang w:val="en-US" w:eastAsia="zh-CN" w:bidi="ar-SA"/>
                    </w:rPr>
                    <w:t>9</w:t>
                  </w:r>
                  <w:r>
                    <w:rPr>
                      <w:rFonts w:hint="default" w:ascii="Times New Roman" w:hAnsi="Times New Roman" w:eastAsia="SimSun" w:cs="Times New Roman"/>
                      <w:kern w:val="2"/>
                      <w:sz w:val="21"/>
                      <w:szCs w:val="21"/>
                      <w:vertAlign w:val="baseline"/>
                      <w:lang w:val="en-US" w:eastAsia="zh-CN" w:bidi="ar-SA"/>
                    </w:rPr>
                    <w:t>.10.</w:t>
                  </w:r>
                  <w:r>
                    <w:rPr>
                      <w:rFonts w:hint="eastAsia" w:ascii="Times New Roman" w:hAnsi="Times New Roman" w:cs="Times New Roman"/>
                      <w:kern w:val="2"/>
                      <w:sz w:val="21"/>
                      <w:szCs w:val="21"/>
                      <w:vertAlign w:val="baseline"/>
                      <w:lang w:val="en-US" w:eastAsia="zh-CN" w:bidi="ar-SA"/>
                    </w:rPr>
                    <w:t>17</w:t>
                  </w:r>
                </w:p>
              </w:tc>
              <w:tc>
                <w:tcPr>
                  <w:tcW w:w="1878" w:type="dxa"/>
                  <w:vAlign w:val="center"/>
                </w:tcPr>
                <w:p>
                  <w:pPr>
                    <w:jc w:val="center"/>
                    <w:rPr>
                      <w:rFonts w:hint="default" w:ascii="Times New Roman" w:hAnsi="Times New Roman" w:eastAsia="SimSun" w:cs="Times New Roman"/>
                      <w:kern w:val="2"/>
                      <w:sz w:val="21"/>
                      <w:szCs w:val="21"/>
                      <w:vertAlign w:val="superscript"/>
                      <w:lang w:val="en-US" w:eastAsia="zh-CN" w:bidi="ar-SA"/>
                    </w:rPr>
                  </w:pPr>
                  <w:r>
                    <w:rPr>
                      <w:rFonts w:hint="default" w:ascii="Times New Roman" w:hAnsi="Times New Roman" w:eastAsia="SimSun" w:cs="Times New Roman"/>
                      <w:kern w:val="2"/>
                      <w:sz w:val="21"/>
                      <w:szCs w:val="21"/>
                      <w:vertAlign w:val="baseline"/>
                      <w:lang w:val="en-US" w:eastAsia="zh-CN" w:bidi="ar-SA"/>
                    </w:rPr>
                    <w:t>0.07</w:t>
                  </w:r>
                  <w:r>
                    <w:rPr>
                      <w:rFonts w:hint="default" w:ascii="Times New Roman" w:hAnsi="Times New Roman" w:cs="Times New Roman"/>
                      <w:kern w:val="2"/>
                      <w:sz w:val="21"/>
                      <w:szCs w:val="21"/>
                      <w:vertAlign w:val="baseline"/>
                      <w:lang w:val="en-US" w:eastAsia="zh-CN" w:bidi="ar-SA"/>
                    </w:rPr>
                    <w:t xml:space="preserve"> </w:t>
                  </w:r>
                  <w:r>
                    <w:rPr>
                      <w:rFonts w:hint="default" w:ascii="Times New Roman" w:hAnsi="Times New Roman" w:eastAsia="SimSun" w:cs="Times New Roman"/>
                      <w:kern w:val="2"/>
                      <w:sz w:val="21"/>
                      <w:szCs w:val="21"/>
                      <w:vertAlign w:val="baseline"/>
                      <w:lang w:val="en-US" w:eastAsia="zh-CN" w:bidi="ar-SA"/>
                    </w:rPr>
                    <w:t>mg/m</w:t>
                  </w:r>
                  <w:r>
                    <w:rPr>
                      <w:rFonts w:hint="default" w:ascii="Times New Roman" w:hAnsi="Times New Roman" w:eastAsia="SimSun" w:cs="Times New Roman"/>
                      <w:kern w:val="2"/>
                      <w:sz w:val="21"/>
                      <w:szCs w:val="21"/>
                      <w:vertAlign w:val="superscript"/>
                      <w:lang w:val="en-US" w:eastAsia="zh-CN" w:bidi="ar-SA"/>
                    </w:rPr>
                    <w:t>3</w:t>
                  </w:r>
                </w:p>
                <w:p>
                  <w:pPr>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bidi="ar-SA"/>
                    </w:rPr>
                    <w:t>（以碳计）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34" w:type="dxa"/>
                  <w:vMerge w:val="restart"/>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无组织废气</w:t>
                  </w:r>
                </w:p>
              </w:tc>
              <w:tc>
                <w:tcPr>
                  <w:tcW w:w="1710" w:type="dxa"/>
                  <w:vAlign w:val="center"/>
                </w:tcPr>
                <w:p>
                  <w:pPr>
                    <w:jc w:val="center"/>
                    <w:rPr>
                      <w:rFonts w:hint="eastAsia"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VOCs</w:t>
                  </w:r>
                </w:p>
                <w:p>
                  <w:pPr>
                    <w:jc w:val="center"/>
                    <w:rPr>
                      <w:rFonts w:hint="default" w:ascii="Times New Roman" w:hAnsi="Times New Roman" w:cs="Times New Roman"/>
                      <w:sz w:val="21"/>
                      <w:szCs w:val="21"/>
                      <w:vertAlign w:val="baseline"/>
                    </w:rPr>
                  </w:pPr>
                  <w:r>
                    <w:rPr>
                      <w:rFonts w:hint="eastAsia" w:ascii="Times New Roman" w:hAnsi="Times New Roman" w:cs="Times New Roman"/>
                      <w:b w:val="0"/>
                      <w:bCs/>
                      <w:color w:val="auto"/>
                      <w:sz w:val="21"/>
                      <w:szCs w:val="21"/>
                      <w:lang w:val="en-US" w:eastAsia="zh-CN"/>
                    </w:rPr>
                    <w:t>（以NMHC计）</w:t>
                  </w:r>
                </w:p>
              </w:tc>
              <w:tc>
                <w:tcPr>
                  <w:tcW w:w="1935" w:type="dxa"/>
                  <w:vAlign w:val="center"/>
                </w:tcPr>
                <w:p>
                  <w:pPr>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直接进样-气相色谱法</w:t>
                  </w:r>
                </w:p>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HJ 604-2017</w:t>
                  </w:r>
                </w:p>
              </w:tc>
              <w:tc>
                <w:tcPr>
                  <w:tcW w:w="217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GC9790Ⅱ气相色谱</w:t>
                  </w:r>
                  <w:r>
                    <w:rPr>
                      <w:rFonts w:hint="default" w:ascii="Times New Roman" w:hAnsi="Times New Roman" w:cs="Times New Roman"/>
                      <w:kern w:val="2"/>
                      <w:sz w:val="21"/>
                      <w:szCs w:val="21"/>
                      <w:vertAlign w:val="baseline"/>
                      <w:lang w:val="en-US" w:eastAsia="zh-CN" w:bidi="ar-SA"/>
                    </w:rPr>
                    <w:t>仪</w:t>
                  </w:r>
                  <w:r>
                    <w:rPr>
                      <w:rFonts w:hint="default" w:ascii="Times New Roman" w:hAnsi="Times New Roman" w:eastAsia="SimSun" w:cs="Times New Roman"/>
                      <w:kern w:val="2"/>
                      <w:sz w:val="21"/>
                      <w:szCs w:val="21"/>
                      <w:vertAlign w:val="baseline"/>
                      <w:lang w:val="en-US" w:eastAsia="zh-CN" w:bidi="ar-SA"/>
                    </w:rPr>
                    <w:t>YQ-001</w:t>
                  </w:r>
                </w:p>
              </w:tc>
              <w:tc>
                <w:tcPr>
                  <w:tcW w:w="1230" w:type="dxa"/>
                  <w:vAlign w:val="center"/>
                </w:tcPr>
                <w:p>
                  <w:pPr>
                    <w:jc w:val="center"/>
                    <w:rPr>
                      <w:rFonts w:hint="default" w:ascii="Times New Roman" w:hAnsi="Times New Roman" w:cs="Times New Roman"/>
                      <w:sz w:val="21"/>
                      <w:szCs w:val="21"/>
                      <w:vertAlign w:val="baseline"/>
                      <w:lang w:val="en-US"/>
                    </w:rPr>
                  </w:pPr>
                  <w:r>
                    <w:rPr>
                      <w:rFonts w:hint="default" w:ascii="Times New Roman" w:hAnsi="Times New Roman" w:eastAsia="SimSun" w:cs="Times New Roman"/>
                      <w:kern w:val="2"/>
                      <w:sz w:val="21"/>
                      <w:szCs w:val="21"/>
                      <w:vertAlign w:val="baseline"/>
                      <w:lang w:val="en-US" w:eastAsia="zh-CN" w:bidi="ar-SA"/>
                    </w:rPr>
                    <w:t>201</w:t>
                  </w:r>
                  <w:r>
                    <w:rPr>
                      <w:rFonts w:hint="eastAsia" w:ascii="Times New Roman" w:hAnsi="Times New Roman" w:cs="Times New Roman"/>
                      <w:kern w:val="2"/>
                      <w:sz w:val="21"/>
                      <w:szCs w:val="21"/>
                      <w:vertAlign w:val="baseline"/>
                      <w:lang w:val="en-US" w:eastAsia="zh-CN" w:bidi="ar-SA"/>
                    </w:rPr>
                    <w:t>9</w:t>
                  </w:r>
                  <w:r>
                    <w:rPr>
                      <w:rFonts w:hint="default" w:ascii="Times New Roman" w:hAnsi="Times New Roman" w:eastAsia="SimSun" w:cs="Times New Roman"/>
                      <w:kern w:val="2"/>
                      <w:sz w:val="21"/>
                      <w:szCs w:val="21"/>
                      <w:vertAlign w:val="baseline"/>
                      <w:lang w:val="en-US" w:eastAsia="zh-CN" w:bidi="ar-SA"/>
                    </w:rPr>
                    <w:t>.10.</w:t>
                  </w:r>
                  <w:r>
                    <w:rPr>
                      <w:rFonts w:hint="eastAsia" w:ascii="Times New Roman" w:hAnsi="Times New Roman" w:cs="Times New Roman"/>
                      <w:kern w:val="2"/>
                      <w:sz w:val="21"/>
                      <w:szCs w:val="21"/>
                      <w:vertAlign w:val="baseline"/>
                      <w:lang w:val="en-US" w:eastAsia="zh-CN" w:bidi="ar-SA"/>
                    </w:rPr>
                    <w:t>17</w:t>
                  </w:r>
                </w:p>
              </w:tc>
              <w:tc>
                <w:tcPr>
                  <w:tcW w:w="1878" w:type="dxa"/>
                  <w:vAlign w:val="center"/>
                </w:tcPr>
                <w:p>
                  <w:pPr>
                    <w:jc w:val="center"/>
                    <w:rPr>
                      <w:rFonts w:hint="default" w:ascii="Times New Roman" w:hAnsi="Times New Roman" w:eastAsia="SimSun" w:cs="Times New Roman"/>
                      <w:kern w:val="2"/>
                      <w:sz w:val="21"/>
                      <w:szCs w:val="21"/>
                      <w:vertAlign w:val="superscript"/>
                      <w:lang w:val="en-US" w:eastAsia="zh-CN" w:bidi="ar-SA"/>
                    </w:rPr>
                  </w:pPr>
                  <w:r>
                    <w:rPr>
                      <w:rFonts w:hint="default" w:ascii="Times New Roman" w:hAnsi="Times New Roman" w:eastAsia="SimSun" w:cs="Times New Roman"/>
                      <w:kern w:val="2"/>
                      <w:sz w:val="21"/>
                      <w:szCs w:val="21"/>
                      <w:vertAlign w:val="baseline"/>
                      <w:lang w:val="en-US" w:eastAsia="zh-CN" w:bidi="ar-SA"/>
                    </w:rPr>
                    <w:t>0.07mg/m</w:t>
                  </w:r>
                  <w:r>
                    <w:rPr>
                      <w:rFonts w:hint="default" w:ascii="Times New Roman" w:hAnsi="Times New Roman" w:eastAsia="SimSun" w:cs="Times New Roman"/>
                      <w:kern w:val="2"/>
                      <w:sz w:val="21"/>
                      <w:szCs w:val="21"/>
                      <w:vertAlign w:val="superscript"/>
                      <w:lang w:val="en-US" w:eastAsia="zh-CN" w:bidi="ar-SA"/>
                    </w:rPr>
                    <w:t>3</w:t>
                  </w:r>
                </w:p>
                <w:p>
                  <w:pPr>
                    <w:jc w:val="center"/>
                    <w:rPr>
                      <w:rFonts w:hint="default" w:ascii="Times New Roman" w:hAnsi="Times New Roman" w:cs="Times New Roman"/>
                      <w:sz w:val="21"/>
                      <w:szCs w:val="21"/>
                      <w:vertAlign w:val="baseline"/>
                    </w:rPr>
                  </w:pPr>
                  <w:r>
                    <w:rPr>
                      <w:rFonts w:hint="default" w:ascii="Times New Roman" w:hAnsi="Times New Roman" w:cs="Times New Roman"/>
                      <w:kern w:val="2"/>
                      <w:sz w:val="21"/>
                      <w:szCs w:val="21"/>
                      <w:vertAlign w:val="baseline"/>
                      <w:lang w:val="en-US" w:eastAsia="zh-CN" w:bidi="ar-SA"/>
                    </w:rPr>
                    <w:t>（以碳计）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34" w:type="dxa"/>
                  <w:vMerge w:val="continue"/>
                  <w:vAlign w:val="center"/>
                </w:tcPr>
                <w:p>
                  <w:pPr>
                    <w:jc w:val="center"/>
                    <w:rPr>
                      <w:rFonts w:hint="default" w:ascii="Times New Roman" w:hAnsi="Times New Roman" w:cs="Times New Roman"/>
                      <w:sz w:val="21"/>
                      <w:szCs w:val="21"/>
                      <w:vertAlign w:val="baseline"/>
                    </w:rPr>
                  </w:pPr>
                </w:p>
              </w:tc>
              <w:tc>
                <w:tcPr>
                  <w:tcW w:w="1710" w:type="dxa"/>
                  <w:vAlign w:val="center"/>
                </w:tcPr>
                <w:p>
                  <w:pPr>
                    <w:numPr>
                      <w:ilvl w:val="0"/>
                      <w:numId w:val="0"/>
                    </w:numPr>
                    <w:ind w:left="0" w:leftChars="0" w:firstLine="0" w:firstLineChars="0"/>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颗粒物</w:t>
                  </w:r>
                </w:p>
              </w:tc>
              <w:tc>
                <w:tcPr>
                  <w:tcW w:w="1935" w:type="dxa"/>
                  <w:vAlign w:val="center"/>
                </w:tcPr>
                <w:p>
                  <w:pPr>
                    <w:numPr>
                      <w:ilvl w:val="0"/>
                      <w:numId w:val="0"/>
                    </w:numPr>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重量法</w:t>
                  </w:r>
                </w:p>
                <w:p>
                  <w:pPr>
                    <w:numPr>
                      <w:ilvl w:val="0"/>
                      <w:numId w:val="0"/>
                    </w:numPr>
                    <w:ind w:left="0" w:leftChars="0" w:firstLine="0" w:firstLineChars="0"/>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GB/T 15432-1995</w:t>
                  </w:r>
                </w:p>
              </w:tc>
              <w:tc>
                <w:tcPr>
                  <w:tcW w:w="2175" w:type="dxa"/>
                  <w:vAlign w:val="center"/>
                </w:tcPr>
                <w:p>
                  <w:pPr>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bidi="ar-SA"/>
                    </w:rPr>
                    <w:t>FA2004</w:t>
                  </w:r>
                  <w:r>
                    <w:rPr>
                      <w:rFonts w:hint="default" w:ascii="Times New Roman" w:hAnsi="Times New Roman" w:eastAsia="SimSun" w:cs="Times New Roman"/>
                      <w:kern w:val="2"/>
                      <w:sz w:val="21"/>
                      <w:szCs w:val="21"/>
                      <w:vertAlign w:val="baseline"/>
                      <w:lang w:val="en-US" w:eastAsia="zh-CN" w:bidi="ar-SA"/>
                    </w:rPr>
                    <w:t>电子天平</w:t>
                  </w:r>
                </w:p>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YQ-01</w:t>
                  </w:r>
                  <w:r>
                    <w:rPr>
                      <w:rFonts w:hint="default" w:ascii="Times New Roman" w:hAnsi="Times New Roman" w:cs="Times New Roman"/>
                      <w:kern w:val="2"/>
                      <w:sz w:val="21"/>
                      <w:szCs w:val="21"/>
                      <w:vertAlign w:val="baseline"/>
                      <w:lang w:val="en-US" w:eastAsia="zh-CN" w:bidi="ar-SA"/>
                    </w:rPr>
                    <w:t>4</w:t>
                  </w:r>
                </w:p>
              </w:tc>
              <w:tc>
                <w:tcPr>
                  <w:tcW w:w="1230" w:type="dxa"/>
                  <w:vAlign w:val="center"/>
                </w:tcPr>
                <w:p>
                  <w:pPr>
                    <w:numPr>
                      <w:ilvl w:val="0"/>
                      <w:numId w:val="0"/>
                    </w:numPr>
                    <w:ind w:left="0" w:leftChars="0" w:firstLine="0" w:firstLineChars="0"/>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201</w:t>
                  </w:r>
                  <w:r>
                    <w:rPr>
                      <w:rFonts w:hint="eastAsia" w:ascii="Times New Roman" w:hAnsi="Times New Roman" w:cs="Times New Roman"/>
                      <w:kern w:val="2"/>
                      <w:sz w:val="21"/>
                      <w:szCs w:val="21"/>
                      <w:vertAlign w:val="baseline"/>
                      <w:lang w:val="en-US" w:eastAsia="zh-CN" w:bidi="ar-SA"/>
                    </w:rPr>
                    <w:t>9</w:t>
                  </w:r>
                  <w:r>
                    <w:rPr>
                      <w:rFonts w:hint="default" w:ascii="Times New Roman" w:hAnsi="Times New Roman" w:eastAsia="SimSun" w:cs="Times New Roman"/>
                      <w:kern w:val="2"/>
                      <w:sz w:val="21"/>
                      <w:szCs w:val="21"/>
                      <w:vertAlign w:val="baseline"/>
                      <w:lang w:val="en-US" w:eastAsia="zh-CN" w:bidi="ar-SA"/>
                    </w:rPr>
                    <w:t>.10.</w:t>
                  </w:r>
                  <w:r>
                    <w:rPr>
                      <w:rFonts w:hint="eastAsia" w:ascii="Times New Roman" w:hAnsi="Times New Roman" w:cs="Times New Roman"/>
                      <w:kern w:val="2"/>
                      <w:sz w:val="21"/>
                      <w:szCs w:val="21"/>
                      <w:vertAlign w:val="baseline"/>
                      <w:lang w:val="en-US" w:eastAsia="zh-CN" w:bidi="ar-SA"/>
                    </w:rPr>
                    <w:t>17</w:t>
                  </w:r>
                </w:p>
              </w:tc>
              <w:tc>
                <w:tcPr>
                  <w:tcW w:w="1878"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0.001mg/m</w:t>
                  </w:r>
                  <w:r>
                    <w:rPr>
                      <w:rFonts w:hint="default" w:ascii="Times New Roman" w:hAnsi="Times New Roman" w:eastAsia="SimSun" w:cs="Times New Roman"/>
                      <w:kern w:val="2"/>
                      <w:sz w:val="21"/>
                      <w:szCs w:val="21"/>
                      <w:vertAlign w:val="superscript"/>
                      <w:lang w:val="en-US" w:eastAsia="zh-CN" w:bidi="ar-SA"/>
                    </w:rPr>
                    <w:t>3</w:t>
                  </w:r>
                </w:p>
              </w:tc>
            </w:tr>
          </w:tbl>
          <w:p>
            <w:pPr>
              <w:spacing w:line="360" w:lineRule="auto"/>
              <w:ind w:firstLine="240" w:firstLineChars="100"/>
              <w:rPr>
                <w:sz w:val="24"/>
                <w:szCs w:val="24"/>
              </w:rPr>
            </w:pPr>
            <w:r>
              <w:rPr>
                <w:sz w:val="24"/>
                <w:szCs w:val="24"/>
              </w:rPr>
              <w:t>（2）质量</w:t>
            </w:r>
            <w:r>
              <w:rPr>
                <w:rFonts w:hint="eastAsia"/>
                <w:sz w:val="24"/>
                <w:szCs w:val="24"/>
              </w:rPr>
              <w:t>保证和质量</w:t>
            </w:r>
            <w:r>
              <w:rPr>
                <w:sz w:val="24"/>
                <w:szCs w:val="24"/>
              </w:rPr>
              <w:t>控制</w:t>
            </w:r>
          </w:p>
          <w:p>
            <w:pPr>
              <w:spacing w:line="360" w:lineRule="auto"/>
              <w:ind w:firstLine="480" w:firstLineChars="200"/>
              <w:rPr>
                <w:sz w:val="24"/>
                <w:szCs w:val="24"/>
              </w:rPr>
            </w:pPr>
            <w:r>
              <w:rPr>
                <w:sz w:val="24"/>
                <w:szCs w:val="24"/>
              </w:rPr>
              <w:t>废气监测质量保证按照原国家环保总局发布的《环境监测技术规范》和《环境空气质量控制保证手册》的要求与规定进行全过程质量控制。</w:t>
            </w:r>
          </w:p>
          <w:p>
            <w:pPr>
              <w:spacing w:line="360" w:lineRule="auto"/>
              <w:ind w:firstLine="480" w:firstLineChars="200"/>
              <w:rPr>
                <w:sz w:val="24"/>
                <w:szCs w:val="24"/>
              </w:rPr>
            </w:pPr>
            <w:r>
              <w:rPr>
                <w:sz w:val="24"/>
                <w:szCs w:val="24"/>
              </w:rPr>
              <w:t>验收监测中及时了解工况情况，确保监测过程中工况符合满足有关要求；合理布置监测点位，确保各监测点位布置的科学性和可比性；监测分析方法采用国家有关部门颁布的标准（或推荐）分析方法，监测人员经过考核并持有合格证书；监测数据严格执行复核审核制度。</w:t>
            </w:r>
          </w:p>
          <w:p>
            <w:pPr>
              <w:spacing w:beforeLines="50" w:line="360" w:lineRule="auto"/>
              <w:rPr>
                <w:sz w:val="24"/>
                <w:szCs w:val="24"/>
              </w:rPr>
            </w:pPr>
            <w:r>
              <w:rPr>
                <w:rFonts w:hint="eastAsia"/>
                <w:sz w:val="24"/>
                <w:szCs w:val="24"/>
              </w:rPr>
              <w:t>2</w:t>
            </w:r>
            <w:r>
              <w:rPr>
                <w:sz w:val="24"/>
                <w:szCs w:val="24"/>
              </w:rPr>
              <w:t>、噪声监测方法、质量保证和质量控制</w:t>
            </w:r>
          </w:p>
          <w:p>
            <w:pPr>
              <w:spacing w:line="360" w:lineRule="auto"/>
              <w:ind w:firstLine="480"/>
              <w:rPr>
                <w:sz w:val="24"/>
                <w:szCs w:val="24"/>
              </w:rPr>
            </w:pPr>
            <w:r>
              <w:rPr>
                <w:sz w:val="24"/>
                <w:szCs w:val="24"/>
              </w:rPr>
              <w:t>厂界噪声监测按《工业企业厂界环境噪声排放标准》（GB12348-2008）进行。本项目</w:t>
            </w:r>
            <w:r>
              <w:rPr>
                <w:rFonts w:hint="eastAsia"/>
                <w:sz w:val="24"/>
                <w:szCs w:val="24"/>
                <w:lang w:eastAsia="zh-CN"/>
              </w:rPr>
              <w:t>噪声</w:t>
            </w:r>
            <w:r>
              <w:rPr>
                <w:sz w:val="24"/>
                <w:szCs w:val="24"/>
              </w:rPr>
              <w:t>验收监测分析方法及检出限见表</w:t>
            </w:r>
            <w:r>
              <w:rPr>
                <w:rFonts w:hint="default"/>
                <w:sz w:val="24"/>
                <w:szCs w:val="24"/>
              </w:rPr>
              <w:t>5-</w:t>
            </w:r>
            <w:r>
              <w:rPr>
                <w:rFonts w:hint="eastAsia"/>
                <w:sz w:val="24"/>
                <w:szCs w:val="24"/>
                <w:lang w:val="en-US" w:eastAsia="zh-CN"/>
              </w:rPr>
              <w:t>2</w:t>
            </w:r>
          </w:p>
          <w:tbl>
            <w:tblPr>
              <w:tblStyle w:val="29"/>
              <w:tblpPr w:leftFromText="180" w:rightFromText="180" w:vertAnchor="text" w:horzAnchor="page" w:tblpX="88" w:tblpY="297"/>
              <w:tblOverlap w:val="never"/>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695"/>
              <w:gridCol w:w="2190"/>
              <w:gridCol w:w="2250"/>
              <w:gridCol w:w="1430"/>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4"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样品类别</w:t>
                  </w:r>
                </w:p>
              </w:tc>
              <w:tc>
                <w:tcPr>
                  <w:tcW w:w="169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分析项目</w:t>
                  </w:r>
                </w:p>
              </w:tc>
              <w:tc>
                <w:tcPr>
                  <w:tcW w:w="219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分析方法依据</w:t>
                  </w:r>
                </w:p>
              </w:tc>
              <w:tc>
                <w:tcPr>
                  <w:tcW w:w="22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仪器设备</w:t>
                  </w:r>
                  <w:r>
                    <w:rPr>
                      <w:rFonts w:hint="default" w:ascii="Times New Roman" w:hAnsi="Times New Roman" w:cs="Times New Roman"/>
                      <w:kern w:val="2"/>
                      <w:sz w:val="21"/>
                      <w:szCs w:val="21"/>
                      <w:vertAlign w:val="baseline"/>
                      <w:lang w:val="en-US" w:eastAsia="zh-CN" w:bidi="ar-SA"/>
                    </w:rPr>
                    <w:t>及编号</w:t>
                  </w:r>
                </w:p>
              </w:tc>
              <w:tc>
                <w:tcPr>
                  <w:tcW w:w="143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检定日期</w:t>
                  </w:r>
                </w:p>
              </w:tc>
              <w:tc>
                <w:tcPr>
                  <w:tcW w:w="1083"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lang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4" w:type="dxa"/>
                  <w:vAlign w:val="center"/>
                </w:tcPr>
                <w:p>
                  <w:pPr>
                    <w:jc w:val="center"/>
                    <w:rPr>
                      <w:rFonts w:hint="eastAsia" w:ascii="Times New Roman" w:hAnsi="Times New Roman" w:eastAsia="SimSun" w:cs="Times New Roman"/>
                      <w:sz w:val="21"/>
                      <w:szCs w:val="21"/>
                      <w:vertAlign w:val="baseline"/>
                      <w:lang w:eastAsia="zh-CN"/>
                    </w:rPr>
                  </w:pPr>
                  <w:r>
                    <w:rPr>
                      <w:rFonts w:hint="eastAsia" w:ascii="Times New Roman" w:hAnsi="Times New Roman" w:cs="Times New Roman"/>
                      <w:sz w:val="21"/>
                      <w:szCs w:val="21"/>
                      <w:vertAlign w:val="baseline"/>
                      <w:lang w:eastAsia="zh-CN"/>
                    </w:rPr>
                    <w:t>噪声</w:t>
                  </w:r>
                </w:p>
              </w:tc>
              <w:tc>
                <w:tcPr>
                  <w:tcW w:w="169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工业企业厂界噪声</w:t>
                  </w:r>
                </w:p>
              </w:tc>
              <w:tc>
                <w:tcPr>
                  <w:tcW w:w="2190" w:type="dxa"/>
                  <w:vAlign w:val="center"/>
                </w:tcPr>
                <w:p>
                  <w:pPr>
                    <w:numPr>
                      <w:ilvl w:val="0"/>
                      <w:numId w:val="0"/>
                    </w:numPr>
                    <w:spacing w:line="240" w:lineRule="auto"/>
                    <w:ind w:left="0" w:leftChars="0" w:firstLine="0" w:firstLineChars="0"/>
                    <w:jc w:val="center"/>
                    <w:rPr>
                      <w:rFonts w:hint="eastAsia" w:ascii="Times New Roman" w:hAnsi="Times New Roman"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仪器法</w:t>
                  </w:r>
                </w:p>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GB</w:t>
                  </w:r>
                  <w:r>
                    <w:rPr>
                      <w:rFonts w:hint="eastAsia" w:ascii="Times New Roman" w:hAnsi="Times New Roman" w:cs="Times New Roman"/>
                      <w:kern w:val="2"/>
                      <w:sz w:val="21"/>
                      <w:szCs w:val="21"/>
                      <w:vertAlign w:val="baseline"/>
                      <w:lang w:val="en-US" w:eastAsia="zh-CN" w:bidi="ar-SA"/>
                    </w:rPr>
                    <w:t xml:space="preserve"> </w:t>
                  </w:r>
                  <w:r>
                    <w:rPr>
                      <w:rFonts w:hint="default" w:ascii="Times New Roman" w:hAnsi="Times New Roman" w:eastAsia="SimSun" w:cs="Times New Roman"/>
                      <w:kern w:val="2"/>
                      <w:sz w:val="21"/>
                      <w:szCs w:val="21"/>
                      <w:vertAlign w:val="baseline"/>
                      <w:lang w:val="en-US" w:eastAsia="zh-CN" w:bidi="ar-SA"/>
                    </w:rPr>
                    <w:t>12348-2008</w:t>
                  </w:r>
                </w:p>
              </w:tc>
              <w:tc>
                <w:tcPr>
                  <w:tcW w:w="2250" w:type="dxa"/>
                  <w:vAlign w:val="center"/>
                </w:tcPr>
                <w:p>
                  <w:pPr>
                    <w:numPr>
                      <w:ilvl w:val="0"/>
                      <w:numId w:val="0"/>
                    </w:numPr>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AWA5688型多功能声级计YQ-0</w:t>
                  </w:r>
                  <w:r>
                    <w:rPr>
                      <w:rFonts w:hint="eastAsia" w:ascii="Times New Roman" w:hAnsi="Times New Roman" w:eastAsia="SimSun" w:cs="Times New Roman"/>
                      <w:kern w:val="2"/>
                      <w:sz w:val="21"/>
                      <w:szCs w:val="21"/>
                      <w:vertAlign w:val="baseline"/>
                      <w:lang w:val="en-US" w:eastAsia="zh-CN" w:bidi="ar-SA"/>
                    </w:rPr>
                    <w:t>2</w:t>
                  </w:r>
                  <w:r>
                    <w:rPr>
                      <w:rFonts w:hint="eastAsia" w:ascii="Times New Roman" w:hAnsi="Times New Roman" w:cs="Times New Roman"/>
                      <w:kern w:val="2"/>
                      <w:sz w:val="21"/>
                      <w:szCs w:val="21"/>
                      <w:vertAlign w:val="baseline"/>
                      <w:lang w:val="en-US" w:eastAsia="zh-CN" w:bidi="ar-SA"/>
                    </w:rPr>
                    <w:t>1</w:t>
                  </w:r>
                </w:p>
              </w:tc>
              <w:tc>
                <w:tcPr>
                  <w:tcW w:w="1430" w:type="dxa"/>
                  <w:vAlign w:val="center"/>
                </w:tcPr>
                <w:p>
                  <w:pPr>
                    <w:numPr>
                      <w:ilvl w:val="0"/>
                      <w:numId w:val="0"/>
                    </w:numPr>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201</w:t>
                  </w:r>
                  <w:r>
                    <w:rPr>
                      <w:rFonts w:hint="eastAsia" w:ascii="Times New Roman" w:hAnsi="Times New Roman" w:cs="Times New Roman"/>
                      <w:kern w:val="2"/>
                      <w:sz w:val="21"/>
                      <w:szCs w:val="21"/>
                      <w:vertAlign w:val="baseline"/>
                      <w:lang w:val="en-US" w:eastAsia="zh-CN" w:bidi="ar-SA"/>
                    </w:rPr>
                    <w:t>9.04.16</w:t>
                  </w:r>
                </w:p>
              </w:tc>
              <w:tc>
                <w:tcPr>
                  <w:tcW w:w="1083" w:type="dxa"/>
                  <w:vAlign w:val="center"/>
                </w:tcPr>
                <w:p>
                  <w:pPr>
                    <w:spacing w:line="240" w:lineRule="auto"/>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w:t>
                  </w:r>
                </w:p>
              </w:tc>
            </w:tr>
          </w:tbl>
          <w:p>
            <w:pPr>
              <w:jc w:val="center"/>
              <w:rPr>
                <w:b/>
                <w:bCs/>
                <w:sz w:val="24"/>
                <w:szCs w:val="24"/>
              </w:rPr>
            </w:pPr>
            <w:r>
              <w:rPr>
                <w:b/>
                <w:bCs/>
                <w:sz w:val="24"/>
                <w:szCs w:val="24"/>
              </w:rPr>
              <w:t>表</w:t>
            </w:r>
            <w:r>
              <w:rPr>
                <w:rFonts w:hint="default"/>
                <w:b/>
                <w:bCs/>
                <w:sz w:val="24"/>
                <w:szCs w:val="24"/>
              </w:rPr>
              <w:t>5-</w:t>
            </w:r>
            <w:r>
              <w:rPr>
                <w:rFonts w:hint="eastAsia"/>
                <w:b/>
                <w:bCs/>
                <w:sz w:val="24"/>
                <w:szCs w:val="24"/>
                <w:lang w:val="en-US" w:eastAsia="zh-CN"/>
              </w:rPr>
              <w:t xml:space="preserve">2 </w:t>
            </w:r>
            <w:r>
              <w:rPr>
                <w:rFonts w:hint="eastAsia"/>
                <w:b/>
                <w:bCs/>
                <w:sz w:val="24"/>
                <w:szCs w:val="24"/>
                <w:lang w:eastAsia="zh-CN"/>
              </w:rPr>
              <w:t>噪声</w:t>
            </w:r>
            <w:r>
              <w:rPr>
                <w:b/>
                <w:bCs/>
                <w:sz w:val="24"/>
                <w:szCs w:val="24"/>
              </w:rPr>
              <w:t>验收监测分析方法及检出限</w:t>
            </w:r>
          </w:p>
          <w:p>
            <w:pPr>
              <w:pStyle w:val="17"/>
              <w:numPr>
                <w:ilvl w:val="0"/>
                <w:numId w:val="0"/>
              </w:numPr>
              <w:ind w:leftChars="0"/>
              <w:rPr>
                <w:rFonts w:hint="eastAsia"/>
                <w:sz w:val="24"/>
                <w:szCs w:val="24"/>
                <w:lang w:val="en-US" w:eastAsia="zh-CN"/>
              </w:rPr>
            </w:pPr>
            <w:r>
              <w:rPr>
                <w:rFonts w:hint="eastAsia"/>
                <w:sz w:val="24"/>
                <w:szCs w:val="24"/>
                <w:lang w:val="en-US" w:eastAsia="zh-CN"/>
              </w:rPr>
              <w:t>3、废水监测方法及检出限</w:t>
            </w:r>
          </w:p>
          <w:p>
            <w:pPr>
              <w:pStyle w:val="17"/>
              <w:numPr>
                <w:ilvl w:val="0"/>
                <w:numId w:val="0"/>
              </w:numPr>
              <w:ind w:leftChars="0"/>
              <w:jc w:val="center"/>
              <w:rPr>
                <w:rFonts w:hint="eastAsia"/>
                <w:b/>
                <w:bCs/>
                <w:sz w:val="24"/>
                <w:szCs w:val="24"/>
                <w:lang w:val="en-US" w:eastAsia="zh-CN"/>
              </w:rPr>
            </w:pPr>
          </w:p>
          <w:p>
            <w:pPr>
              <w:pStyle w:val="17"/>
              <w:numPr>
                <w:ilvl w:val="0"/>
                <w:numId w:val="0"/>
              </w:numPr>
              <w:ind w:leftChars="0"/>
              <w:jc w:val="center"/>
              <w:rPr>
                <w:rFonts w:hint="eastAsia"/>
                <w:b/>
                <w:bCs/>
                <w:sz w:val="24"/>
                <w:szCs w:val="24"/>
                <w:lang w:val="en-US" w:eastAsia="zh-CN"/>
              </w:rPr>
            </w:pPr>
            <w:r>
              <w:rPr>
                <w:rFonts w:hint="eastAsia"/>
                <w:b/>
                <w:bCs/>
                <w:sz w:val="24"/>
                <w:szCs w:val="24"/>
                <w:lang w:val="en-US" w:eastAsia="zh-CN"/>
              </w:rPr>
              <w:t>表5-3  废水监测方法及检出限</w:t>
            </w:r>
          </w:p>
          <w:tbl>
            <w:tblPr>
              <w:tblStyle w:val="29"/>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695"/>
              <w:gridCol w:w="2190"/>
              <w:gridCol w:w="2250"/>
              <w:gridCol w:w="1170"/>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4"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样品类别</w:t>
                  </w:r>
                </w:p>
              </w:tc>
              <w:tc>
                <w:tcPr>
                  <w:tcW w:w="169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分析项目</w:t>
                  </w:r>
                </w:p>
              </w:tc>
              <w:tc>
                <w:tcPr>
                  <w:tcW w:w="219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分析方法依据</w:t>
                  </w:r>
                </w:p>
              </w:tc>
              <w:tc>
                <w:tcPr>
                  <w:tcW w:w="22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仪器设备</w:t>
                  </w:r>
                  <w:r>
                    <w:rPr>
                      <w:rFonts w:hint="default" w:ascii="Times New Roman" w:hAnsi="Times New Roman" w:cs="Times New Roman"/>
                      <w:kern w:val="2"/>
                      <w:sz w:val="21"/>
                      <w:szCs w:val="21"/>
                      <w:vertAlign w:val="baseline"/>
                      <w:lang w:val="en-US" w:eastAsia="zh-CN" w:bidi="ar-SA"/>
                    </w:rPr>
                    <w:t>及编号</w:t>
                  </w:r>
                </w:p>
              </w:tc>
              <w:tc>
                <w:tcPr>
                  <w:tcW w:w="117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检定日期</w:t>
                  </w:r>
                </w:p>
              </w:tc>
              <w:tc>
                <w:tcPr>
                  <w:tcW w:w="1343"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lang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4" w:type="dxa"/>
                  <w:vMerge w:val="restart"/>
                  <w:vAlign w:val="center"/>
                </w:tcPr>
                <w:p>
                  <w:pPr>
                    <w:jc w:val="center"/>
                    <w:rPr>
                      <w:rFonts w:hint="eastAsia" w:ascii="Times New Roman" w:hAnsi="Times New Roman" w:cs="Times New Roman"/>
                      <w:sz w:val="21"/>
                      <w:szCs w:val="21"/>
                      <w:vertAlign w:val="baseline"/>
                      <w:lang w:eastAsia="zh-CN"/>
                    </w:rPr>
                  </w:pPr>
                  <w:r>
                    <w:rPr>
                      <w:rFonts w:hint="eastAsia" w:ascii="Times New Roman" w:hAnsi="Times New Roman" w:eastAsia="SimSun" w:cs="Times New Roman"/>
                      <w:kern w:val="2"/>
                      <w:sz w:val="21"/>
                      <w:szCs w:val="21"/>
                      <w:vertAlign w:val="baseline"/>
                      <w:lang w:val="en-US" w:eastAsia="zh-CN" w:bidi="ar-SA"/>
                    </w:rPr>
                    <w:t>废水</w:t>
                  </w: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eastAsia="SimSun" w:cs="Times New Roman"/>
                      <w:kern w:val="2"/>
                      <w:sz w:val="21"/>
                      <w:szCs w:val="21"/>
                      <w:lang w:val="en-US" w:eastAsia="zh-CN" w:bidi="ar-SA"/>
                    </w:rPr>
                  </w:pPr>
                  <w:r>
                    <w:rPr>
                      <w:rFonts w:hint="default" w:ascii="Times New Roman" w:hAnsi="Times New Roman" w:cs="Times New Roman"/>
                      <w:b w:val="0"/>
                      <w:bCs/>
                      <w:color w:val="auto"/>
                      <w:sz w:val="21"/>
                      <w:szCs w:val="21"/>
                      <w:lang w:val="en-US" w:eastAsia="zh-CN"/>
                    </w:rPr>
                    <w:t>pH</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玻璃电极法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rPr>
                    <w:t>GB/T 6920-1986</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bidi="ar-SA"/>
                    </w:rPr>
                    <w:t>PHS-3C PH计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YQ-0</w:t>
                  </w:r>
                  <w:r>
                    <w:rPr>
                      <w:rFonts w:hint="eastAsia" w:ascii="Times New Roman" w:hAnsi="Times New Roman" w:cs="Times New Roman"/>
                      <w:kern w:val="2"/>
                      <w:sz w:val="21"/>
                      <w:szCs w:val="21"/>
                      <w:vertAlign w:val="baseline"/>
                      <w:lang w:val="en-US" w:eastAsia="zh-CN" w:bidi="ar-SA"/>
                    </w:rPr>
                    <w:t>49</w:t>
                  </w:r>
                </w:p>
              </w:tc>
              <w:tc>
                <w:tcPr>
                  <w:tcW w:w="117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201</w:t>
                  </w:r>
                  <w:r>
                    <w:rPr>
                      <w:rFonts w:hint="eastAsia" w:ascii="Times New Roman" w:hAnsi="Times New Roman" w:eastAsia="SimSun" w:cs="Times New Roman"/>
                      <w:kern w:val="2"/>
                      <w:sz w:val="21"/>
                      <w:szCs w:val="21"/>
                      <w:vertAlign w:val="baseline"/>
                      <w:lang w:val="en-US" w:eastAsia="zh-CN" w:bidi="ar-SA"/>
                    </w:rPr>
                    <w:t>9.10.17</w:t>
                  </w:r>
                </w:p>
              </w:tc>
              <w:tc>
                <w:tcPr>
                  <w:tcW w:w="134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4" w:type="dxa"/>
                  <w:vMerge w:val="continue"/>
                  <w:vAlign w:val="center"/>
                </w:tcPr>
                <w:p>
                  <w:pPr>
                    <w:spacing w:line="240" w:lineRule="auto"/>
                    <w:jc w:val="center"/>
                    <w:rPr>
                      <w:rFonts w:hint="eastAsia" w:ascii="Times New Roman" w:hAnsi="Times New Roman" w:cs="Times New Roman"/>
                      <w:sz w:val="21"/>
                      <w:szCs w:val="21"/>
                      <w:vertAlign w:val="baseline"/>
                      <w:lang w:eastAsia="zh-CN"/>
                    </w:rPr>
                  </w:pP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lang w:val="en-US" w:eastAsia="zh-CN" w:bidi="ar-SA"/>
                    </w:rPr>
                  </w:pPr>
                  <w:r>
                    <w:rPr>
                      <w:rFonts w:hint="default" w:ascii="Times New Roman" w:hAnsi="Times New Roman" w:cs="Times New Roman"/>
                      <w:b w:val="0"/>
                      <w:bCs/>
                      <w:color w:val="auto"/>
                      <w:sz w:val="21"/>
                      <w:szCs w:val="21"/>
                      <w:lang w:val="en-US" w:eastAsia="zh-CN"/>
                    </w:rPr>
                    <w:t>氨氮</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纳氏试剂分光光度法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rPr>
                    <w:t xml:space="preserve"> HJ 535-2009</w:t>
                  </w:r>
                </w:p>
              </w:tc>
              <w:tc>
                <w:tcPr>
                  <w:tcW w:w="2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UV754N紫外分光光度计</w:t>
                  </w:r>
                  <w:r>
                    <w:rPr>
                      <w:rFonts w:hint="default" w:ascii="Times New Roman" w:hAnsi="Times New Roman" w:eastAsia="SimSun" w:cs="Times New Roman"/>
                      <w:kern w:val="2"/>
                      <w:sz w:val="21"/>
                      <w:szCs w:val="21"/>
                      <w:vertAlign w:val="baseline"/>
                      <w:lang w:val="en-US" w:eastAsia="zh-CN" w:bidi="ar-SA"/>
                    </w:rPr>
                    <w:t>YQ-002</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201</w:t>
                  </w:r>
                  <w:r>
                    <w:rPr>
                      <w:rFonts w:hint="eastAsia" w:ascii="Times New Roman" w:hAnsi="Times New Roman" w:eastAsia="SimSun" w:cs="Times New Roman"/>
                      <w:kern w:val="2"/>
                      <w:sz w:val="21"/>
                      <w:szCs w:val="21"/>
                      <w:vertAlign w:val="baseline"/>
                      <w:lang w:val="en-US" w:eastAsia="zh-CN" w:bidi="ar-SA"/>
                    </w:rPr>
                    <w:t>9.10.1</w:t>
                  </w:r>
                  <w:r>
                    <w:rPr>
                      <w:rFonts w:hint="eastAsia" w:ascii="Times New Roman" w:hAnsi="Times New Roman" w:cs="Times New Roman"/>
                      <w:kern w:val="2"/>
                      <w:sz w:val="21"/>
                      <w:szCs w:val="21"/>
                      <w:vertAlign w:val="baseline"/>
                      <w:lang w:val="en-US" w:eastAsia="zh-CN" w:bidi="ar-SA"/>
                    </w:rPr>
                    <w:t>6</w:t>
                  </w:r>
                </w:p>
              </w:tc>
              <w:tc>
                <w:tcPr>
                  <w:tcW w:w="134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0.025</w:t>
                  </w:r>
                  <w:r>
                    <w:rPr>
                      <w:rFonts w:hint="default" w:ascii="Times New Roman" w:hAnsi="Times New Roman" w:cs="Times New Roman"/>
                      <w:sz w:val="21"/>
                      <w:szCs w:val="21"/>
                      <w:vertAlign w:val="baseline"/>
                      <w:lang w:val="en-US" w:eastAsia="zh-CN"/>
                    </w:rPr>
                    <w:t>mg/</w:t>
                  </w:r>
                  <w:r>
                    <w:rPr>
                      <w:rFonts w:hint="eastAsia" w:ascii="Times New Roman" w:hAnsi="Times New Roman" w:cs="Times New Roman"/>
                      <w:sz w:val="21"/>
                      <w:szCs w:val="21"/>
                      <w:vertAlign w:val="baseline"/>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4" w:type="dxa"/>
                  <w:vMerge w:val="continue"/>
                  <w:vAlign w:val="center"/>
                </w:tcPr>
                <w:p>
                  <w:pPr>
                    <w:spacing w:line="240" w:lineRule="auto"/>
                    <w:jc w:val="center"/>
                    <w:rPr>
                      <w:rFonts w:hint="eastAsia" w:ascii="Times New Roman" w:hAnsi="Times New Roman" w:cs="Times New Roman"/>
                      <w:sz w:val="21"/>
                      <w:szCs w:val="21"/>
                      <w:vertAlign w:val="baseline"/>
                      <w:lang w:eastAsia="zh-CN"/>
                    </w:rPr>
                  </w:pP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lang w:val="en-US" w:eastAsia="zh-CN" w:bidi="ar-SA"/>
                    </w:rPr>
                  </w:pPr>
                  <w:r>
                    <w:rPr>
                      <w:rFonts w:hint="default" w:ascii="Times New Roman" w:hAnsi="Times New Roman" w:cs="Times New Roman"/>
                      <w:b w:val="0"/>
                      <w:bCs/>
                      <w:color w:val="auto"/>
                      <w:sz w:val="21"/>
                      <w:szCs w:val="21"/>
                      <w:lang w:val="en-US" w:eastAsia="zh-CN"/>
                    </w:rPr>
                    <w:t>总磷</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钼酸铵分光光度法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rPr>
                    <w:t>GB/T 11893-1989</w:t>
                  </w:r>
                </w:p>
              </w:tc>
              <w:tc>
                <w:tcPr>
                  <w:tcW w:w="2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UV754N紫外分光光度计</w:t>
                  </w:r>
                  <w:r>
                    <w:rPr>
                      <w:rFonts w:hint="default" w:ascii="Times New Roman" w:hAnsi="Times New Roman" w:eastAsia="SimSun" w:cs="Times New Roman"/>
                      <w:kern w:val="2"/>
                      <w:sz w:val="21"/>
                      <w:szCs w:val="21"/>
                      <w:vertAlign w:val="baseline"/>
                      <w:lang w:val="en-US" w:eastAsia="zh-CN" w:bidi="ar-SA"/>
                    </w:rPr>
                    <w:t>YQ-002</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201</w:t>
                  </w:r>
                  <w:r>
                    <w:rPr>
                      <w:rFonts w:hint="eastAsia" w:ascii="Times New Roman" w:hAnsi="Times New Roman" w:eastAsia="SimSun" w:cs="Times New Roman"/>
                      <w:kern w:val="2"/>
                      <w:sz w:val="21"/>
                      <w:szCs w:val="21"/>
                      <w:vertAlign w:val="baseline"/>
                      <w:lang w:val="en-US" w:eastAsia="zh-CN" w:bidi="ar-SA"/>
                    </w:rPr>
                    <w:t>9.10.1</w:t>
                  </w:r>
                  <w:r>
                    <w:rPr>
                      <w:rFonts w:hint="eastAsia" w:ascii="Times New Roman" w:hAnsi="Times New Roman" w:cs="Times New Roman"/>
                      <w:kern w:val="2"/>
                      <w:sz w:val="21"/>
                      <w:szCs w:val="21"/>
                      <w:vertAlign w:val="baseline"/>
                      <w:lang w:val="en-US" w:eastAsia="zh-CN" w:bidi="ar-SA"/>
                    </w:rPr>
                    <w:t>6</w:t>
                  </w:r>
                </w:p>
              </w:tc>
              <w:tc>
                <w:tcPr>
                  <w:tcW w:w="134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0.01</w:t>
                  </w:r>
                  <w:r>
                    <w:rPr>
                      <w:rFonts w:hint="default" w:ascii="Times New Roman" w:hAnsi="Times New Roman" w:cs="Times New Roman"/>
                      <w:sz w:val="21"/>
                      <w:szCs w:val="21"/>
                      <w:vertAlign w:val="baseline"/>
                      <w:lang w:val="en-US" w:eastAsia="zh-CN"/>
                    </w:rPr>
                    <w:t>mg/</w:t>
                  </w:r>
                  <w:r>
                    <w:rPr>
                      <w:rFonts w:hint="eastAsia" w:ascii="Times New Roman" w:hAnsi="Times New Roman" w:cs="Times New Roman"/>
                      <w:sz w:val="21"/>
                      <w:szCs w:val="21"/>
                      <w:vertAlign w:val="baseline"/>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4" w:type="dxa"/>
                  <w:vMerge w:val="continue"/>
                  <w:vAlign w:val="center"/>
                </w:tcPr>
                <w:p>
                  <w:pPr>
                    <w:spacing w:line="240" w:lineRule="auto"/>
                    <w:jc w:val="center"/>
                    <w:rPr>
                      <w:rFonts w:hint="eastAsia" w:ascii="Times New Roman" w:hAnsi="Times New Roman" w:cs="Times New Roman"/>
                      <w:sz w:val="21"/>
                      <w:szCs w:val="21"/>
                      <w:vertAlign w:val="baseline"/>
                      <w:lang w:eastAsia="zh-CN"/>
                    </w:rPr>
                  </w:pP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总氮</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碱性过硫酸钾消解紫外分光光度法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rPr>
                    <w:t>HJ 636-2012</w:t>
                  </w:r>
                </w:p>
              </w:tc>
              <w:tc>
                <w:tcPr>
                  <w:tcW w:w="2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UV754N紫外分光光度计</w:t>
                  </w:r>
                  <w:r>
                    <w:rPr>
                      <w:rFonts w:hint="default" w:ascii="Times New Roman" w:hAnsi="Times New Roman" w:eastAsia="SimSun" w:cs="Times New Roman"/>
                      <w:kern w:val="2"/>
                      <w:sz w:val="21"/>
                      <w:szCs w:val="21"/>
                      <w:vertAlign w:val="baseline"/>
                      <w:lang w:val="en-US" w:eastAsia="zh-CN" w:bidi="ar-SA"/>
                    </w:rPr>
                    <w:t>YQ-002</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201</w:t>
                  </w:r>
                  <w:r>
                    <w:rPr>
                      <w:rFonts w:hint="eastAsia" w:ascii="Times New Roman" w:hAnsi="Times New Roman" w:eastAsia="SimSun" w:cs="Times New Roman"/>
                      <w:kern w:val="2"/>
                      <w:sz w:val="21"/>
                      <w:szCs w:val="21"/>
                      <w:vertAlign w:val="baseline"/>
                      <w:lang w:val="en-US" w:eastAsia="zh-CN" w:bidi="ar-SA"/>
                    </w:rPr>
                    <w:t>9.10.1</w:t>
                  </w:r>
                  <w:r>
                    <w:rPr>
                      <w:rFonts w:hint="eastAsia" w:ascii="Times New Roman" w:hAnsi="Times New Roman" w:cs="Times New Roman"/>
                      <w:kern w:val="2"/>
                      <w:sz w:val="21"/>
                      <w:szCs w:val="21"/>
                      <w:vertAlign w:val="baseline"/>
                      <w:lang w:val="en-US" w:eastAsia="zh-CN" w:bidi="ar-SA"/>
                    </w:rPr>
                    <w:t>6</w:t>
                  </w:r>
                </w:p>
              </w:tc>
              <w:tc>
                <w:tcPr>
                  <w:tcW w:w="134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0.05</w:t>
                  </w:r>
                  <w:r>
                    <w:rPr>
                      <w:rFonts w:hint="default" w:ascii="Times New Roman" w:hAnsi="Times New Roman" w:cs="Times New Roman"/>
                      <w:sz w:val="21"/>
                      <w:szCs w:val="21"/>
                      <w:vertAlign w:val="baseline"/>
                      <w:lang w:val="en-US" w:eastAsia="zh-CN"/>
                    </w:rPr>
                    <w:t>mg/</w:t>
                  </w:r>
                  <w:r>
                    <w:rPr>
                      <w:rFonts w:hint="eastAsia" w:ascii="Times New Roman" w:hAnsi="Times New Roman" w:cs="Times New Roman"/>
                      <w:sz w:val="21"/>
                      <w:szCs w:val="21"/>
                      <w:vertAlign w:val="baseline"/>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4" w:type="dxa"/>
                  <w:vMerge w:val="continue"/>
                  <w:vAlign w:val="center"/>
                </w:tcPr>
                <w:p>
                  <w:pPr>
                    <w:spacing w:line="240" w:lineRule="auto"/>
                    <w:jc w:val="center"/>
                    <w:rPr>
                      <w:rFonts w:hint="eastAsia" w:ascii="Times New Roman" w:hAnsi="Times New Roman" w:cs="Times New Roman"/>
                      <w:sz w:val="21"/>
                      <w:szCs w:val="21"/>
                      <w:vertAlign w:val="baseline"/>
                      <w:lang w:eastAsia="zh-CN"/>
                    </w:rPr>
                  </w:pPr>
                </w:p>
              </w:tc>
              <w:tc>
                <w:tcPr>
                  <w:tcW w:w="169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悬浮物</w:t>
                  </w:r>
                </w:p>
              </w:tc>
              <w:tc>
                <w:tcPr>
                  <w:tcW w:w="21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重量法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rPr>
                    <w:t>GB/T 11901-1989</w:t>
                  </w:r>
                </w:p>
              </w:tc>
              <w:tc>
                <w:tcPr>
                  <w:tcW w:w="2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FA2004电子天平</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YQ-0</w:t>
                  </w:r>
                  <w:r>
                    <w:rPr>
                      <w:rFonts w:hint="eastAsia" w:ascii="Times New Roman" w:hAnsi="Times New Roman" w:eastAsia="SimSun" w:cs="Times New Roman"/>
                      <w:kern w:val="2"/>
                      <w:sz w:val="21"/>
                      <w:szCs w:val="21"/>
                      <w:vertAlign w:val="baseline"/>
                      <w:lang w:val="en-US" w:eastAsia="zh-CN" w:bidi="ar-SA"/>
                    </w:rPr>
                    <w:t>14</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201</w:t>
                  </w:r>
                  <w:r>
                    <w:rPr>
                      <w:rFonts w:hint="eastAsia" w:ascii="Times New Roman" w:hAnsi="Times New Roman" w:eastAsia="SimSun" w:cs="Times New Roman"/>
                      <w:kern w:val="2"/>
                      <w:sz w:val="21"/>
                      <w:szCs w:val="21"/>
                      <w:vertAlign w:val="baseline"/>
                      <w:lang w:val="en-US" w:eastAsia="zh-CN" w:bidi="ar-SA"/>
                    </w:rPr>
                    <w:t>9.10.1</w:t>
                  </w:r>
                  <w:r>
                    <w:rPr>
                      <w:rFonts w:hint="eastAsia" w:ascii="Times New Roman" w:hAnsi="Times New Roman" w:cs="Times New Roman"/>
                      <w:kern w:val="2"/>
                      <w:sz w:val="21"/>
                      <w:szCs w:val="21"/>
                      <w:vertAlign w:val="baseline"/>
                      <w:lang w:val="en-US" w:eastAsia="zh-CN" w:bidi="ar-SA"/>
                    </w:rPr>
                    <w:t>6</w:t>
                  </w:r>
                </w:p>
              </w:tc>
              <w:tc>
                <w:tcPr>
                  <w:tcW w:w="134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eastAsia="SimSun" w:cs="Times New Roman"/>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4" w:type="dxa"/>
                  <w:vMerge w:val="continue"/>
                  <w:vAlign w:val="center"/>
                </w:tcPr>
                <w:p>
                  <w:pPr>
                    <w:jc w:val="center"/>
                    <w:rPr>
                      <w:rFonts w:hint="eastAsia" w:ascii="Times New Roman" w:hAnsi="Times New Roman" w:eastAsia="SimSun" w:cs="Times New Roman"/>
                      <w:sz w:val="21"/>
                      <w:szCs w:val="21"/>
                      <w:vertAlign w:val="baseline"/>
                      <w:lang w:eastAsia="zh-CN"/>
                    </w:rPr>
                  </w:pPr>
                </w:p>
              </w:tc>
              <w:tc>
                <w:tcPr>
                  <w:tcW w:w="169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val="0"/>
                      <w:bCs w:val="0"/>
                      <w:i w:val="0"/>
                      <w:iCs w:val="0"/>
                      <w:kern w:val="2"/>
                      <w:sz w:val="21"/>
                      <w:szCs w:val="21"/>
                      <w:vertAlign w:val="baseline"/>
                      <w:lang w:val="en-US" w:eastAsia="zh-CN" w:bidi="ar-SA"/>
                    </w:rPr>
                  </w:pPr>
                  <w:r>
                    <w:rPr>
                      <w:rFonts w:hint="default" w:ascii="Times New Roman" w:hAnsi="Times New Roman" w:cs="Times New Roman"/>
                      <w:b w:val="0"/>
                      <w:bCs w:val="0"/>
                      <w:i w:val="0"/>
                      <w:iCs w:val="0"/>
                      <w:sz w:val="21"/>
                      <w:szCs w:val="21"/>
                      <w:vertAlign w:val="baseline"/>
                      <w:lang w:val="en-US" w:eastAsia="zh-CN"/>
                    </w:rPr>
                    <w:t>化学需氧量</w:t>
                  </w:r>
                </w:p>
              </w:tc>
              <w:tc>
                <w:tcPr>
                  <w:tcW w:w="2190" w:type="dxa"/>
                  <w:vAlign w:val="center"/>
                </w:tcPr>
                <w:p>
                  <w:pPr>
                    <w:numPr>
                      <w:ilvl w:val="0"/>
                      <w:numId w:val="0"/>
                    </w:numPr>
                    <w:spacing w:line="240" w:lineRule="auto"/>
                    <w:ind w:left="0" w:leftChars="0" w:firstLine="0" w:firstLineChars="0"/>
                    <w:jc w:val="center"/>
                    <w:rPr>
                      <w:rFonts w:hint="default" w:ascii="Times New Roman" w:hAnsi="Times New Roman" w:cs="Times New Roman"/>
                      <w:b w:val="0"/>
                      <w:bCs w:val="0"/>
                      <w:i w:val="0"/>
                      <w:iCs w:val="0"/>
                      <w:sz w:val="21"/>
                      <w:szCs w:val="21"/>
                      <w:vertAlign w:val="baseline"/>
                      <w:lang w:val="en-US" w:eastAsia="zh-CN"/>
                    </w:rPr>
                  </w:pPr>
                  <w:r>
                    <w:rPr>
                      <w:rFonts w:hint="default" w:ascii="Times New Roman" w:hAnsi="Times New Roman" w:cs="Times New Roman"/>
                      <w:b w:val="0"/>
                      <w:bCs w:val="0"/>
                      <w:i w:val="0"/>
                      <w:iCs w:val="0"/>
                      <w:sz w:val="21"/>
                      <w:szCs w:val="21"/>
                      <w:vertAlign w:val="baseline"/>
                      <w:lang w:val="en-US" w:eastAsia="zh-CN"/>
                    </w:rPr>
                    <w:t xml:space="preserve">重铬酸盐法  </w:t>
                  </w:r>
                </w:p>
                <w:p>
                  <w:pPr>
                    <w:numPr>
                      <w:ilvl w:val="0"/>
                      <w:numId w:val="0"/>
                    </w:numPr>
                    <w:spacing w:line="240" w:lineRule="auto"/>
                    <w:ind w:left="0" w:leftChars="0" w:firstLine="0" w:firstLineChars="0"/>
                    <w:jc w:val="center"/>
                    <w:rPr>
                      <w:rFonts w:hint="default" w:ascii="Times New Roman" w:hAnsi="Times New Roman" w:eastAsia="SimSun" w:cs="Times New Roman"/>
                      <w:b w:val="0"/>
                      <w:bCs w:val="0"/>
                      <w:i w:val="0"/>
                      <w:iCs w:val="0"/>
                      <w:kern w:val="2"/>
                      <w:sz w:val="21"/>
                      <w:szCs w:val="21"/>
                      <w:vertAlign w:val="baseline"/>
                      <w:lang w:val="en-US" w:eastAsia="zh-CN" w:bidi="ar-SA"/>
                    </w:rPr>
                  </w:pPr>
                  <w:r>
                    <w:rPr>
                      <w:rFonts w:hint="default" w:ascii="Times New Roman" w:hAnsi="Times New Roman" w:cs="Times New Roman"/>
                      <w:b w:val="0"/>
                      <w:bCs w:val="0"/>
                      <w:i w:val="0"/>
                      <w:iCs w:val="0"/>
                      <w:sz w:val="21"/>
                      <w:szCs w:val="21"/>
                      <w:vertAlign w:val="baseline"/>
                      <w:lang w:val="en-US" w:eastAsia="zh-CN"/>
                    </w:rPr>
                    <w:t xml:space="preserve">HJ 828-2017  </w:t>
                  </w:r>
                </w:p>
              </w:tc>
              <w:tc>
                <w:tcPr>
                  <w:tcW w:w="22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JC-101型COD恒温加热器</w:t>
                  </w:r>
                  <w:r>
                    <w:rPr>
                      <w:rFonts w:hint="default" w:ascii="Times New Roman" w:hAnsi="Times New Roman" w:cs="Times New Roman"/>
                      <w:sz w:val="21"/>
                      <w:szCs w:val="21"/>
                      <w:vertAlign w:val="baseline"/>
                      <w:lang w:val="en-US" w:eastAsia="zh-CN"/>
                    </w:rPr>
                    <w:t>YQ-0</w:t>
                  </w:r>
                  <w:r>
                    <w:rPr>
                      <w:rFonts w:hint="eastAsia" w:ascii="Times New Roman" w:hAnsi="Times New Roman" w:cs="Times New Roman"/>
                      <w:sz w:val="21"/>
                      <w:szCs w:val="21"/>
                      <w:vertAlign w:val="baseline"/>
                      <w:lang w:val="en-US" w:eastAsia="zh-CN"/>
                    </w:rPr>
                    <w:t>50</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rPr>
                    <w:t>201</w:t>
                  </w:r>
                  <w:r>
                    <w:rPr>
                      <w:rFonts w:hint="eastAsia" w:ascii="Times New Roman" w:hAnsi="Times New Roman" w:cs="Times New Roman"/>
                      <w:sz w:val="21"/>
                      <w:szCs w:val="21"/>
                      <w:vertAlign w:val="baseline"/>
                      <w:lang w:val="en-US" w:eastAsia="zh-CN"/>
                    </w:rPr>
                    <w:t>9.10.24</w:t>
                  </w:r>
                </w:p>
              </w:tc>
              <w:tc>
                <w:tcPr>
                  <w:tcW w:w="134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4</w:t>
                  </w:r>
                  <w:r>
                    <w:rPr>
                      <w:rFonts w:hint="default" w:ascii="Times New Roman" w:hAnsi="Times New Roman" w:cs="Times New Roman"/>
                      <w:sz w:val="21"/>
                      <w:szCs w:val="21"/>
                      <w:vertAlign w:val="baseline"/>
                      <w:lang w:val="en-US" w:eastAsia="zh-CN"/>
                    </w:rPr>
                    <w:t>mg/</w:t>
                  </w:r>
                  <w:r>
                    <w:rPr>
                      <w:rFonts w:hint="eastAsia" w:ascii="Times New Roman" w:hAnsi="Times New Roman" w:cs="Times New Roman"/>
                      <w:sz w:val="21"/>
                      <w:szCs w:val="21"/>
                      <w:vertAlign w:val="baseline"/>
                      <w:lang w:val="en-US" w:eastAsia="zh-CN"/>
                    </w:rPr>
                    <w:t>L</w:t>
                  </w:r>
                </w:p>
              </w:tc>
            </w:tr>
          </w:tbl>
          <w:p>
            <w:pPr>
              <w:pStyle w:val="17"/>
              <w:numPr>
                <w:ilvl w:val="0"/>
                <w:numId w:val="0"/>
              </w:numPr>
              <w:ind w:leftChars="0"/>
              <w:jc w:val="center"/>
              <w:rPr>
                <w:rFonts w:hint="eastAsia"/>
                <w:b/>
                <w:bCs/>
                <w:sz w:val="24"/>
                <w:szCs w:val="24"/>
                <w:lang w:val="en-US" w:eastAsia="zh-CN"/>
              </w:rPr>
            </w:pPr>
          </w:p>
        </w:tc>
      </w:tr>
    </w:tbl>
    <w:p>
      <w:pPr>
        <w:pStyle w:val="5"/>
        <w:spacing w:before="0" w:after="0" w:line="360" w:lineRule="auto"/>
        <w:jc w:val="left"/>
        <w:rPr>
          <w:rFonts w:ascii="Times New Roman" w:hAnsi="Times New Roman" w:cs="Times New Roman"/>
          <w:sz w:val="28"/>
          <w:szCs w:val="28"/>
        </w:rPr>
      </w:pPr>
      <w:bookmarkStart w:id="9" w:name="_Toc517710312"/>
      <w:r>
        <w:rPr>
          <w:rFonts w:ascii="Times New Roman" w:hAnsi="Times New Roman" w:cs="Times New Roman"/>
          <w:sz w:val="28"/>
          <w:szCs w:val="28"/>
        </w:rPr>
        <w:t xml:space="preserve">表六  </w:t>
      </w:r>
      <w:bookmarkEnd w:id="9"/>
    </w:p>
    <w:tbl>
      <w:tblPr>
        <w:tblStyle w:val="29"/>
        <w:tblW w:w="10073"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07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253" w:hRule="atLeast"/>
          <w:jc w:val="center"/>
        </w:trPr>
        <w:tc>
          <w:tcPr>
            <w:tcW w:w="10073" w:type="dxa"/>
          </w:tcPr>
          <w:p>
            <w:pPr>
              <w:spacing w:line="360" w:lineRule="auto"/>
              <w:rPr>
                <w:b/>
                <w:bCs/>
                <w:sz w:val="24"/>
                <w:szCs w:val="24"/>
              </w:rPr>
            </w:pPr>
            <w:r>
              <w:rPr>
                <w:b/>
                <w:bCs/>
                <w:sz w:val="24"/>
                <w:szCs w:val="24"/>
              </w:rPr>
              <w:t>验收监测内容：</w:t>
            </w:r>
          </w:p>
          <w:p>
            <w:pPr>
              <w:pStyle w:val="43"/>
              <w:numPr>
                <w:ilvl w:val="0"/>
                <w:numId w:val="4"/>
              </w:numPr>
              <w:spacing w:line="360" w:lineRule="auto"/>
              <w:ind w:firstLineChars="0"/>
            </w:pPr>
            <w:r>
              <w:rPr>
                <w:rFonts w:hint="eastAsia"/>
              </w:rPr>
              <w:t>废气监测内容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pPr>
            <w:r>
              <w:rPr>
                <w:rFonts w:hint="default"/>
                <w:lang w:eastAsia="zh-CN"/>
              </w:rPr>
              <w:t>（</w:t>
            </w:r>
            <w:r>
              <w:rPr>
                <w:rFonts w:hint="default"/>
                <w:lang w:val="en-US" w:eastAsia="zh-CN"/>
              </w:rPr>
              <w:t>1</w:t>
            </w:r>
            <w:r>
              <w:rPr>
                <w:rFonts w:hint="default"/>
                <w:lang w:eastAsia="zh-CN"/>
              </w:rPr>
              <w:t>）</w:t>
            </w:r>
            <w:r>
              <w:rPr>
                <w:rFonts w:hint="eastAsia"/>
              </w:rPr>
              <w:t>本项目</w:t>
            </w:r>
            <w:r>
              <w:t>废气验收监测评价标准及标准限值详见</w:t>
            </w:r>
            <w:r>
              <w:rPr>
                <w:rFonts w:hint="eastAsia"/>
              </w:rPr>
              <w:t>表6</w:t>
            </w:r>
            <w:r>
              <w:t>-</w:t>
            </w:r>
            <w:r>
              <w:rPr>
                <w:rFonts w:hint="eastAsia"/>
              </w:rPr>
              <w:t>1</w:t>
            </w:r>
            <w:r>
              <w:t>。</w:t>
            </w:r>
          </w:p>
          <w:p>
            <w:pPr>
              <w:pStyle w:val="22"/>
              <w:jc w:val="center"/>
            </w:pPr>
            <w:r>
              <w:t>表6-1  废气</w:t>
            </w:r>
            <w:r>
              <w:rPr>
                <w:rFonts w:hint="eastAsia"/>
              </w:rPr>
              <w:t>验收监测执行标准及其</w:t>
            </w:r>
            <w:r>
              <w:t>限值</w:t>
            </w:r>
          </w:p>
          <w:tbl>
            <w:tblPr>
              <w:tblStyle w:val="28"/>
              <w:tblW w:w="9935" w:type="dxa"/>
              <w:jc w:val="center"/>
              <w:tblInd w:w="-1037"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526"/>
              <w:gridCol w:w="1357"/>
              <w:gridCol w:w="4763"/>
              <w:gridCol w:w="1170"/>
              <w:gridCol w:w="111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74" w:hRule="atLeast"/>
                <w:jc w:val="center"/>
              </w:trPr>
              <w:tc>
                <w:tcPr>
                  <w:tcW w:w="1526" w:type="dxa"/>
                  <w:vAlign w:val="center"/>
                </w:tcPr>
                <w:p>
                  <w:pPr>
                    <w:spacing w:line="240" w:lineRule="auto"/>
                    <w:jc w:val="center"/>
                    <w:rPr>
                      <w:rFonts w:hint="eastAsia"/>
                      <w:lang w:val="en-US" w:eastAsia="zh-CN"/>
                    </w:rPr>
                  </w:pPr>
                  <w:r>
                    <w:t>污染物来源</w:t>
                  </w:r>
                </w:p>
              </w:tc>
              <w:tc>
                <w:tcPr>
                  <w:tcW w:w="1357" w:type="dxa"/>
                  <w:vAlign w:val="center"/>
                </w:tcPr>
                <w:p>
                  <w:pPr>
                    <w:spacing w:line="240" w:lineRule="auto"/>
                    <w:jc w:val="center"/>
                  </w:pPr>
                  <w:r>
                    <w:t>项目</w:t>
                  </w:r>
                </w:p>
              </w:tc>
              <w:tc>
                <w:tcPr>
                  <w:tcW w:w="4763" w:type="dxa"/>
                  <w:vAlign w:val="center"/>
                </w:tcPr>
                <w:p>
                  <w:pPr>
                    <w:spacing w:line="240" w:lineRule="auto"/>
                    <w:jc w:val="center"/>
                  </w:pPr>
                  <w:r>
                    <w:t>标准代号</w:t>
                  </w:r>
                </w:p>
              </w:tc>
              <w:tc>
                <w:tcPr>
                  <w:tcW w:w="1170" w:type="dxa"/>
                  <w:vAlign w:val="center"/>
                </w:tcPr>
                <w:p>
                  <w:pPr>
                    <w:spacing w:line="240" w:lineRule="auto"/>
                    <w:jc w:val="center"/>
                    <w:rPr>
                      <w:rFonts w:hint="eastAsia"/>
                      <w:lang w:eastAsia="zh-CN"/>
                    </w:rPr>
                  </w:pPr>
                  <w:r>
                    <w:t>排放浓度</w:t>
                  </w:r>
                  <w:r>
                    <w:rPr>
                      <w:rFonts w:hint="default"/>
                      <w:lang w:val="en-US" w:eastAsia="zh-CN"/>
                    </w:rPr>
                    <w:t>（mg/m³）</w:t>
                  </w:r>
                </w:p>
              </w:tc>
              <w:tc>
                <w:tcPr>
                  <w:tcW w:w="1119" w:type="dxa"/>
                  <w:vAlign w:val="center"/>
                </w:tcPr>
                <w:p>
                  <w:pPr>
                    <w:spacing w:line="240" w:lineRule="auto"/>
                    <w:jc w:val="center"/>
                    <w:rPr>
                      <w:rFonts w:hint="eastAsia"/>
                      <w:lang w:val="en-US" w:eastAsia="zh-CN"/>
                    </w:rPr>
                  </w:pPr>
                  <w:r>
                    <w:rPr>
                      <w:rFonts w:hint="eastAsia"/>
                      <w:lang w:val="en-US" w:eastAsia="zh-CN"/>
                    </w:rPr>
                    <w:t>排放速率（kg/h）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707" w:hRule="atLeast"/>
                <w:jc w:val="center"/>
              </w:trPr>
              <w:tc>
                <w:tcPr>
                  <w:tcW w:w="1526" w:type="dxa"/>
                  <w:vMerge w:val="restart"/>
                  <w:vAlign w:val="center"/>
                </w:tcPr>
                <w:p>
                  <w:pPr>
                    <w:spacing w:line="240" w:lineRule="auto"/>
                    <w:jc w:val="center"/>
                    <w:rPr>
                      <w:rFonts w:hint="default"/>
                      <w:lang w:val="en-US" w:eastAsia="zh-CN"/>
                    </w:rPr>
                  </w:pPr>
                  <w:r>
                    <w:rPr>
                      <w:rFonts w:hint="default"/>
                      <w:lang w:val="en-US" w:eastAsia="zh-CN"/>
                    </w:rPr>
                    <w:t>G1排气筒</w:t>
                  </w:r>
                </w:p>
              </w:tc>
              <w:tc>
                <w:tcPr>
                  <w:tcW w:w="135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lang w:val="en-US" w:eastAsia="zh-CN"/>
                    </w:rPr>
                  </w:pPr>
                  <w:r>
                    <w:rPr>
                      <w:rFonts w:hint="eastAsia"/>
                      <w:lang w:val="en-US" w:eastAsia="zh-CN"/>
                    </w:rPr>
                    <w:t>颗粒物</w:t>
                  </w:r>
                </w:p>
              </w:tc>
              <w:tc>
                <w:tcPr>
                  <w:tcW w:w="476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lang w:val="en-US" w:eastAsia="zh-CN"/>
                    </w:rPr>
                  </w:pPr>
                  <w:r>
                    <w:rPr>
                      <w:rFonts w:hint="eastAsia"/>
                    </w:rPr>
                    <w:t>排放浓度</w:t>
                  </w:r>
                  <w:r>
                    <w:rPr>
                      <w:rFonts w:hint="eastAsia"/>
                      <w:lang w:val="en-US" w:eastAsia="zh-CN"/>
                    </w:rPr>
                    <w:t>和排放速率</w:t>
                  </w:r>
                  <w:r>
                    <w:rPr>
                      <w:rFonts w:hint="eastAsia"/>
                    </w:rPr>
                    <w:t>执行</w:t>
                  </w:r>
                  <w:r>
                    <w:rPr>
                      <w:rFonts w:hint="eastAsia"/>
                      <w:lang w:val="en-US" w:eastAsia="zh-CN"/>
                    </w:rPr>
                    <w:t>《区域性大气污染物综合排放标准》（DB37/2376-2019)表1重点控制区标准要求和《大气污染物综合排放标准》（GB16297-1996)表2标准要求</w:t>
                  </w:r>
                </w:p>
              </w:tc>
              <w:tc>
                <w:tcPr>
                  <w:tcW w:w="1170" w:type="dxa"/>
                  <w:vAlign w:val="center"/>
                </w:tcPr>
                <w:p>
                  <w:pPr>
                    <w:spacing w:line="240" w:lineRule="auto"/>
                    <w:jc w:val="center"/>
                    <w:rPr>
                      <w:rFonts w:hint="default"/>
                      <w:lang w:val="en-US" w:eastAsia="zh-CN"/>
                    </w:rPr>
                  </w:pPr>
                  <w:r>
                    <w:rPr>
                      <w:rFonts w:hint="eastAsia"/>
                      <w:lang w:val="en-US" w:eastAsia="zh-CN"/>
                    </w:rPr>
                    <w:t>10.0</w:t>
                  </w:r>
                </w:p>
              </w:tc>
              <w:tc>
                <w:tcPr>
                  <w:tcW w:w="1119" w:type="dxa"/>
                  <w:vAlign w:val="center"/>
                </w:tcPr>
                <w:p>
                  <w:pPr>
                    <w:spacing w:line="240" w:lineRule="auto"/>
                    <w:jc w:val="center"/>
                    <w:rPr>
                      <w:rFonts w:hint="default"/>
                      <w:lang w:val="en-US" w:eastAsia="zh-CN"/>
                    </w:rPr>
                  </w:pPr>
                  <w:r>
                    <w:rPr>
                      <w:rFonts w:hint="eastAsia"/>
                      <w:lang w:val="en-US" w:eastAsia="zh-CN"/>
                    </w:rPr>
                    <w:t>3.5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956" w:hRule="atLeast"/>
                <w:jc w:val="center"/>
              </w:trPr>
              <w:tc>
                <w:tcPr>
                  <w:tcW w:w="1526" w:type="dxa"/>
                  <w:vMerge w:val="continue"/>
                  <w:vAlign w:val="center"/>
                </w:tcPr>
                <w:p>
                  <w:pPr>
                    <w:spacing w:line="240" w:lineRule="auto"/>
                    <w:jc w:val="center"/>
                    <w:rPr>
                      <w:rFonts w:hint="eastAsia"/>
                      <w:lang w:val="en-US" w:eastAsia="zh-CN"/>
                    </w:rPr>
                  </w:pPr>
                </w:p>
              </w:tc>
              <w:tc>
                <w:tcPr>
                  <w:tcW w:w="1357" w:type="dxa"/>
                  <w:vAlign w:val="center"/>
                </w:tcPr>
                <w:p>
                  <w:pPr>
                    <w:jc w:val="center"/>
                    <w:rPr>
                      <w:rFonts w:hint="eastAsia"/>
                      <w:lang w:val="en-US" w:eastAsia="zh-CN"/>
                    </w:rPr>
                  </w:pPr>
                  <w:r>
                    <w:rPr>
                      <w:rFonts w:hint="eastAsia"/>
                      <w:lang w:val="en-US" w:eastAsia="zh-CN"/>
                    </w:rPr>
                    <w:t>VOCs</w:t>
                  </w:r>
                </w:p>
                <w:p>
                  <w:pPr>
                    <w:spacing w:line="240" w:lineRule="auto"/>
                    <w:jc w:val="center"/>
                    <w:rPr>
                      <w:rFonts w:hint="default"/>
                      <w:lang w:val="en-US" w:eastAsia="zh-CN"/>
                    </w:rPr>
                  </w:pPr>
                  <w:r>
                    <w:rPr>
                      <w:rFonts w:hint="eastAsia"/>
                      <w:lang w:val="en-US" w:eastAsia="zh-CN"/>
                    </w:rPr>
                    <w:t>（以NMHC计）</w:t>
                  </w:r>
                </w:p>
              </w:tc>
              <w:tc>
                <w:tcPr>
                  <w:tcW w:w="476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lang w:val="en-US" w:eastAsia="zh-CN"/>
                    </w:rPr>
                  </w:pPr>
                  <w:r>
                    <w:rPr>
                      <w:rFonts w:hint="eastAsia"/>
                      <w:lang w:val="en-US" w:eastAsia="zh-CN"/>
                    </w:rPr>
                    <w:t>执行《挥发性有机物排放标准第6部分：有机化工行业》（DB37/2801.6-2018）表1Ⅱ时段限制要求</w:t>
                  </w:r>
                </w:p>
              </w:tc>
              <w:tc>
                <w:tcPr>
                  <w:tcW w:w="1170" w:type="dxa"/>
                  <w:vAlign w:val="center"/>
                </w:tcPr>
                <w:p>
                  <w:pPr>
                    <w:spacing w:line="240" w:lineRule="auto"/>
                    <w:jc w:val="center"/>
                    <w:rPr>
                      <w:rFonts w:hint="default"/>
                      <w:lang w:val="en-US" w:eastAsia="zh-CN"/>
                    </w:rPr>
                  </w:pPr>
                  <w:r>
                    <w:rPr>
                      <w:rFonts w:hint="eastAsia"/>
                      <w:lang w:val="en-US" w:eastAsia="zh-CN"/>
                    </w:rPr>
                    <w:t>60</w:t>
                  </w:r>
                </w:p>
              </w:tc>
              <w:tc>
                <w:tcPr>
                  <w:tcW w:w="1119" w:type="dxa"/>
                  <w:vAlign w:val="center"/>
                </w:tcPr>
                <w:p>
                  <w:pPr>
                    <w:spacing w:line="240" w:lineRule="auto"/>
                    <w:jc w:val="center"/>
                    <w:rPr>
                      <w:rFonts w:hint="default"/>
                      <w:lang w:val="en-US" w:eastAsia="zh-CN"/>
                    </w:rPr>
                  </w:pPr>
                  <w:r>
                    <w:rPr>
                      <w:rFonts w:hint="eastAsia"/>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339" w:hRule="atLeast"/>
                <w:jc w:val="center"/>
              </w:trPr>
              <w:tc>
                <w:tcPr>
                  <w:tcW w:w="1526" w:type="dxa"/>
                  <w:vMerge w:val="restart"/>
                  <w:vAlign w:val="center"/>
                </w:tcPr>
                <w:p>
                  <w:pPr>
                    <w:spacing w:line="240" w:lineRule="auto"/>
                    <w:jc w:val="center"/>
                    <w:rPr>
                      <w:rFonts w:hint="default"/>
                      <w:lang w:val="en-US" w:eastAsia="zh-CN"/>
                    </w:rPr>
                  </w:pPr>
                  <w:r>
                    <w:rPr>
                      <w:rFonts w:hint="eastAsia"/>
                      <w:lang w:val="en-US" w:eastAsia="zh-CN"/>
                    </w:rPr>
                    <w:t>厂界</w:t>
                  </w:r>
                </w:p>
              </w:tc>
              <w:tc>
                <w:tcPr>
                  <w:tcW w:w="1357" w:type="dxa"/>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eastAsia"/>
                      <w:lang w:val="en-US" w:eastAsia="zh-CN"/>
                    </w:rPr>
                  </w:pPr>
                  <w:r>
                    <w:rPr>
                      <w:rFonts w:hint="eastAsia"/>
                      <w:lang w:val="en-US" w:eastAsia="zh-CN"/>
                    </w:rPr>
                    <w:t>颗粒物</w:t>
                  </w:r>
                </w:p>
              </w:tc>
              <w:tc>
                <w:tcPr>
                  <w:tcW w:w="4763" w:type="dxa"/>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val="en-US" w:eastAsia="zh-CN"/>
                    </w:rPr>
                    <w:t>排放浓度执行</w:t>
                  </w:r>
                  <w:r>
                    <w:rPr>
                      <w:rFonts w:hint="eastAsia"/>
                    </w:rPr>
                    <w:t>《大气污染物</w:t>
                  </w:r>
                  <w:r>
                    <w:rPr>
                      <w:rFonts w:hint="eastAsia"/>
                      <w:lang w:val="en-US" w:eastAsia="zh-CN"/>
                    </w:rPr>
                    <w:t>综合</w:t>
                  </w:r>
                  <w:r>
                    <w:rPr>
                      <w:rFonts w:hint="eastAsia"/>
                    </w:rPr>
                    <w:t>排放标准》</w:t>
                  </w:r>
                  <w:r>
                    <w:rPr>
                      <w:rFonts w:hint="default"/>
                    </w:rPr>
                    <w:t>（</w:t>
                  </w:r>
                  <w:r>
                    <w:rPr>
                      <w:rFonts w:hint="default"/>
                      <w:lang w:val="en-US" w:eastAsia="zh-CN"/>
                    </w:rPr>
                    <w:t>GB16297-1996</w:t>
                  </w:r>
                  <w:r>
                    <w:rPr>
                      <w:rFonts w:hint="default"/>
                    </w:rPr>
                    <w:t>）</w:t>
                  </w:r>
                  <w:r>
                    <w:rPr>
                      <w:rFonts w:hint="eastAsia"/>
                      <w:lang w:val="en-US" w:eastAsia="zh-CN"/>
                    </w:rPr>
                    <w:t>表2中颗粒物厂界周围外浓度</w:t>
                  </w:r>
                  <w:r>
                    <w:rPr>
                      <w:rFonts w:hint="eastAsia"/>
                    </w:rPr>
                    <w:t>限值</w:t>
                  </w:r>
                  <w:r>
                    <w:rPr>
                      <w:rFonts w:hint="eastAsia"/>
                      <w:lang w:val="en-US" w:eastAsia="zh-CN"/>
                    </w:rPr>
                    <w:t>其他行业的限值</w:t>
                  </w:r>
                  <w:r>
                    <w:rPr>
                      <w:rFonts w:hint="eastAsia"/>
                    </w:rPr>
                    <w:t>要求</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pPr>
                </w:p>
              </w:tc>
              <w:tc>
                <w:tcPr>
                  <w:tcW w:w="1170" w:type="dxa"/>
                  <w:vAlign w:val="center"/>
                </w:tcPr>
                <w:p>
                  <w:pPr>
                    <w:spacing w:line="240" w:lineRule="auto"/>
                    <w:jc w:val="center"/>
                    <w:rPr>
                      <w:rFonts w:hint="eastAsia"/>
                      <w:lang w:val="en-US" w:eastAsia="zh-CN"/>
                    </w:rPr>
                  </w:pPr>
                  <w:r>
                    <w:rPr>
                      <w:rFonts w:hint="eastAsia"/>
                      <w:lang w:val="en-US" w:eastAsia="zh-CN"/>
                    </w:rPr>
                    <w:t>1.0</w:t>
                  </w:r>
                </w:p>
              </w:tc>
              <w:tc>
                <w:tcPr>
                  <w:tcW w:w="1119" w:type="dxa"/>
                  <w:vAlign w:val="center"/>
                </w:tcPr>
                <w:p>
                  <w:pPr>
                    <w:spacing w:line="240" w:lineRule="auto"/>
                    <w:jc w:val="center"/>
                    <w:rPr>
                      <w:rFonts w:hint="eastAsia"/>
                      <w:lang w:val="en-US" w:eastAsia="zh-CN"/>
                    </w:rPr>
                  </w:pPr>
                  <w:r>
                    <w:rPr>
                      <w:rFonts w:hint="eastAsia"/>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09" w:hRule="atLeast"/>
                <w:jc w:val="center"/>
              </w:trPr>
              <w:tc>
                <w:tcPr>
                  <w:tcW w:w="1526" w:type="dxa"/>
                  <w:vMerge w:val="continue"/>
                  <w:vAlign w:val="center"/>
                </w:tcPr>
                <w:p>
                  <w:pPr>
                    <w:spacing w:line="240" w:lineRule="auto"/>
                    <w:jc w:val="center"/>
                    <w:rPr>
                      <w:rFonts w:hint="eastAsia"/>
                      <w:lang w:val="en-US" w:eastAsia="zh-CN"/>
                    </w:rPr>
                  </w:pPr>
                </w:p>
              </w:tc>
              <w:tc>
                <w:tcPr>
                  <w:tcW w:w="1357" w:type="dxa"/>
                  <w:vAlign w:val="center"/>
                </w:tcPr>
                <w:p>
                  <w:pPr>
                    <w:jc w:val="center"/>
                    <w:rPr>
                      <w:rFonts w:hint="eastAsia"/>
                      <w:lang w:val="en-US" w:eastAsia="zh-CN"/>
                    </w:rPr>
                  </w:pPr>
                  <w:r>
                    <w:rPr>
                      <w:rFonts w:hint="eastAsia"/>
                      <w:lang w:val="en-US" w:eastAsia="zh-CN"/>
                    </w:rPr>
                    <w:t>VOCs</w:t>
                  </w:r>
                </w:p>
                <w:p>
                  <w:pPr>
                    <w:spacing w:line="240" w:lineRule="auto"/>
                    <w:jc w:val="center"/>
                    <w:rPr>
                      <w:rFonts w:hint="eastAsia"/>
                      <w:lang w:val="en-US" w:eastAsia="zh-CN"/>
                    </w:rPr>
                  </w:pPr>
                  <w:r>
                    <w:rPr>
                      <w:rFonts w:hint="eastAsia"/>
                      <w:lang w:val="en-US" w:eastAsia="zh-CN"/>
                    </w:rPr>
                    <w:t>（以NMHC计）</w:t>
                  </w:r>
                </w:p>
              </w:tc>
              <w:tc>
                <w:tcPr>
                  <w:tcW w:w="476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default"/>
                      <w:lang w:val="en-US" w:eastAsia="zh-CN"/>
                    </w:rPr>
                  </w:pPr>
                  <w:r>
                    <w:rPr>
                      <w:rFonts w:hint="eastAsia"/>
                      <w:lang w:val="en-US" w:eastAsia="zh-CN"/>
                    </w:rPr>
                    <w:t>执行《挥发性有机物排放标准第6部分：有机化工行业》（DB37/2801.6-2018）》表3中厂界监控点浓度限值要求</w:t>
                  </w:r>
                </w:p>
              </w:tc>
              <w:tc>
                <w:tcPr>
                  <w:tcW w:w="1170" w:type="dxa"/>
                  <w:vAlign w:val="center"/>
                </w:tcPr>
                <w:p>
                  <w:pPr>
                    <w:spacing w:line="240" w:lineRule="auto"/>
                    <w:jc w:val="center"/>
                    <w:rPr>
                      <w:rFonts w:hint="default"/>
                      <w:lang w:val="en-US" w:eastAsia="zh-CN"/>
                    </w:rPr>
                  </w:pPr>
                  <w:r>
                    <w:rPr>
                      <w:rFonts w:hint="eastAsia"/>
                      <w:lang w:val="en-US" w:eastAsia="zh-CN"/>
                    </w:rPr>
                    <w:t>2.0</w:t>
                  </w:r>
                </w:p>
              </w:tc>
              <w:tc>
                <w:tcPr>
                  <w:tcW w:w="1119" w:type="dxa"/>
                  <w:vAlign w:val="center"/>
                </w:tcPr>
                <w:p>
                  <w:pPr>
                    <w:spacing w:line="240" w:lineRule="auto"/>
                    <w:jc w:val="center"/>
                    <w:rPr>
                      <w:rFonts w:hint="eastAsia"/>
                      <w:lang w:val="en-US" w:eastAsia="zh-CN"/>
                    </w:rPr>
                  </w:pPr>
                  <w:r>
                    <w:rPr>
                      <w:rFonts w:hint="eastAsia"/>
                      <w:lang w:val="en-US" w:eastAsia="zh-CN"/>
                    </w:rPr>
                    <w:t>--</w:t>
                  </w:r>
                </w:p>
              </w:tc>
            </w:tr>
          </w:tbl>
          <w:p>
            <w:pPr>
              <w:pStyle w:val="3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pPr>
            <w:r>
              <w:rPr>
                <w:rFonts w:hint="eastAsia"/>
              </w:rPr>
              <w:t>（2）</w:t>
            </w:r>
            <w:r>
              <w:t>废气监测</w:t>
            </w:r>
            <w:r>
              <w:rPr>
                <w:rFonts w:hint="eastAsia"/>
              </w:rPr>
              <w:t>点位</w:t>
            </w:r>
            <w:r>
              <w:t>及频次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rPr>
            </w:pPr>
            <w:r>
              <w:rPr>
                <w:rFonts w:hint="eastAsia"/>
              </w:rPr>
              <w:t>监测点位及频次见表6-</w:t>
            </w:r>
            <w:r>
              <w:rPr>
                <w:rFonts w:hint="eastAsia"/>
                <w:lang w:val="en-US" w:eastAsia="zh-CN"/>
              </w:rPr>
              <w:t>1</w:t>
            </w:r>
            <w:r>
              <w:rPr>
                <w:rFonts w:hint="eastAsia"/>
              </w:rPr>
              <w:t>，监测点位见图6-</w:t>
            </w:r>
            <w:r>
              <w:rPr>
                <w:rFonts w:hint="eastAsia"/>
                <w:lang w:val="en-US" w:eastAsia="zh-CN"/>
              </w:rPr>
              <w:t>2</w:t>
            </w:r>
            <w:r>
              <w:rPr>
                <w:rFonts w:hint="eastAsia"/>
              </w:rPr>
              <w:t>。</w:t>
            </w:r>
          </w:p>
          <w:p>
            <w:pPr>
              <w:spacing w:line="360" w:lineRule="auto"/>
              <w:jc w:val="center"/>
            </w:pPr>
            <w:r>
              <w:t>表</w:t>
            </w:r>
            <w:r>
              <w:rPr>
                <w:rFonts w:hint="eastAsia"/>
              </w:rPr>
              <w:t>6</w:t>
            </w:r>
            <w:r>
              <w:t>-</w:t>
            </w:r>
            <w:r>
              <w:rPr>
                <w:rFonts w:hint="eastAsia"/>
              </w:rPr>
              <w:t>2</w:t>
            </w:r>
            <w:r>
              <w:t xml:space="preserve"> 废气监测内容及频次一览表</w:t>
            </w:r>
          </w:p>
          <w:tbl>
            <w:tblPr>
              <w:tblStyle w:val="28"/>
              <w:tblW w:w="990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2"/>
              <w:gridCol w:w="3780"/>
              <w:gridCol w:w="2295"/>
              <w:gridCol w:w="22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7" w:hRule="atLeast"/>
              </w:trPr>
              <w:tc>
                <w:tcPr>
                  <w:tcW w:w="1622" w:type="dxa"/>
                  <w:vAlign w:val="center"/>
                </w:tcPr>
                <w:p>
                  <w:pPr>
                    <w:jc w:val="center"/>
                  </w:pPr>
                  <w:r>
                    <w:t>类</w:t>
                  </w:r>
                  <w:r>
                    <w:rPr>
                      <w:rFonts w:hint="eastAsia"/>
                    </w:rPr>
                    <w:t>别</w:t>
                  </w:r>
                </w:p>
              </w:tc>
              <w:tc>
                <w:tcPr>
                  <w:tcW w:w="3780" w:type="dxa"/>
                  <w:vAlign w:val="center"/>
                </w:tcPr>
                <w:p>
                  <w:pPr>
                    <w:jc w:val="center"/>
                  </w:pPr>
                  <w:r>
                    <w:t>监测点位</w:t>
                  </w:r>
                </w:p>
              </w:tc>
              <w:tc>
                <w:tcPr>
                  <w:tcW w:w="2295" w:type="dxa"/>
                  <w:vAlign w:val="center"/>
                </w:tcPr>
                <w:p>
                  <w:pPr>
                    <w:jc w:val="center"/>
                  </w:pPr>
                  <w:r>
                    <w:t>监测项目</w:t>
                  </w:r>
                </w:p>
              </w:tc>
              <w:tc>
                <w:tcPr>
                  <w:tcW w:w="2205" w:type="dxa"/>
                  <w:vAlign w:val="center"/>
                </w:tcPr>
                <w:p>
                  <w:pPr>
                    <w:jc w:val="center"/>
                  </w:pPr>
                  <w: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atLeast"/>
              </w:trPr>
              <w:tc>
                <w:tcPr>
                  <w:tcW w:w="1622" w:type="dxa"/>
                  <w:vMerge w:val="restart"/>
                  <w:vAlign w:val="center"/>
                </w:tcPr>
                <w:p>
                  <w:pPr>
                    <w:spacing w:line="240" w:lineRule="exact"/>
                    <w:jc w:val="center"/>
                  </w:pPr>
                  <w:r>
                    <w:t>有组织废气</w:t>
                  </w:r>
                </w:p>
              </w:tc>
              <w:tc>
                <w:tcPr>
                  <w:tcW w:w="3780" w:type="dxa"/>
                  <w:vMerge w:val="restart"/>
                  <w:vAlign w:val="center"/>
                </w:tcPr>
                <w:p>
                  <w:pPr>
                    <w:jc w:val="center"/>
                  </w:pPr>
                  <w:r>
                    <w:rPr>
                      <w:rFonts w:hint="default"/>
                      <w:lang w:val="en-US" w:eastAsia="zh-CN"/>
                    </w:rPr>
                    <w:t>G1排气筒</w:t>
                  </w:r>
                </w:p>
              </w:tc>
              <w:tc>
                <w:tcPr>
                  <w:tcW w:w="2295" w:type="dxa"/>
                  <w:vAlign w:val="center"/>
                </w:tcPr>
                <w:p>
                  <w:pPr>
                    <w:jc w:val="center"/>
                  </w:pPr>
                  <w:r>
                    <w:rPr>
                      <w:rFonts w:hint="eastAsia"/>
                    </w:rPr>
                    <w:t>颗粒物</w:t>
                  </w:r>
                </w:p>
              </w:tc>
              <w:tc>
                <w:tcPr>
                  <w:tcW w:w="2205" w:type="dxa"/>
                  <w:vMerge w:val="restart"/>
                  <w:vAlign w:val="center"/>
                </w:tcPr>
                <w:p>
                  <w:pPr>
                    <w:jc w:val="center"/>
                  </w:pPr>
                  <w:r>
                    <w:t>连续监测2天，</w:t>
                  </w:r>
                  <w:r>
                    <w:rPr>
                      <w:rFonts w:hint="eastAsia"/>
                    </w:rPr>
                    <w:t>出口3</w:t>
                  </w:r>
                  <w:r>
                    <w:rPr>
                      <w:rFonts w:hint="eastAsia"/>
                      <w:lang w:eastAsia="zh-CN"/>
                    </w:rPr>
                    <w:t>个频次</w:t>
                  </w:r>
                  <w:r>
                    <w:rPr>
                      <w:rFonts w:hint="eastAsia"/>
                      <w:lang w:val="en-US" w:eastAsia="zh-CN"/>
                    </w:rPr>
                    <w:t>/天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 w:hRule="atLeast"/>
              </w:trPr>
              <w:tc>
                <w:tcPr>
                  <w:tcW w:w="1622" w:type="dxa"/>
                  <w:vMerge w:val="continue"/>
                  <w:vAlign w:val="center"/>
                </w:tcPr>
                <w:p>
                  <w:pPr>
                    <w:jc w:val="center"/>
                  </w:pPr>
                </w:p>
              </w:tc>
              <w:tc>
                <w:tcPr>
                  <w:tcW w:w="3780" w:type="dxa"/>
                  <w:vMerge w:val="continue"/>
                  <w:vAlign w:val="center"/>
                </w:tcPr>
                <w:p>
                  <w:pPr>
                    <w:jc w:val="center"/>
                  </w:pPr>
                </w:p>
              </w:tc>
              <w:tc>
                <w:tcPr>
                  <w:tcW w:w="2295" w:type="dxa"/>
                  <w:vAlign w:val="center"/>
                </w:tcPr>
                <w:p>
                  <w:pPr>
                    <w:jc w:val="center"/>
                    <w:rPr>
                      <w:rFonts w:hint="eastAsia"/>
                      <w:lang w:val="en-US" w:eastAsia="zh-CN"/>
                    </w:rPr>
                  </w:pPr>
                  <w:r>
                    <w:rPr>
                      <w:rFonts w:hint="eastAsia"/>
                      <w:lang w:val="en-US" w:eastAsia="zh-CN"/>
                    </w:rPr>
                    <w:t>VOCs</w:t>
                  </w:r>
                </w:p>
                <w:p>
                  <w:pPr>
                    <w:jc w:val="center"/>
                  </w:pPr>
                  <w:r>
                    <w:rPr>
                      <w:rFonts w:hint="eastAsia"/>
                      <w:lang w:val="en-US" w:eastAsia="zh-CN"/>
                    </w:rPr>
                    <w:t>（以NMHC计）</w:t>
                  </w:r>
                </w:p>
              </w:tc>
              <w:tc>
                <w:tcPr>
                  <w:tcW w:w="2205" w:type="dxa"/>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 w:hRule="atLeast"/>
              </w:trPr>
              <w:tc>
                <w:tcPr>
                  <w:tcW w:w="1622" w:type="dxa"/>
                  <w:vAlign w:val="center"/>
                </w:tcPr>
                <w:p>
                  <w:pPr>
                    <w:spacing w:line="240" w:lineRule="exact"/>
                    <w:jc w:val="center"/>
                  </w:pPr>
                  <w:r>
                    <w:t>无组织废气</w:t>
                  </w:r>
                </w:p>
              </w:tc>
              <w:tc>
                <w:tcPr>
                  <w:tcW w:w="3780" w:type="dxa"/>
                  <w:vAlign w:val="center"/>
                </w:tcPr>
                <w:p>
                  <w:pPr>
                    <w:jc w:val="center"/>
                  </w:pPr>
                  <w:r>
                    <w:rPr>
                      <w:rFonts w:hint="eastAsia"/>
                    </w:rPr>
                    <w:t>上风向</w:t>
                  </w:r>
                  <w:r>
                    <w:t>1</w:t>
                  </w:r>
                  <w:r>
                    <w:rPr>
                      <w:rFonts w:hint="eastAsia"/>
                    </w:rPr>
                    <w:t>个点，下风向3个点</w:t>
                  </w:r>
                </w:p>
              </w:tc>
              <w:tc>
                <w:tcPr>
                  <w:tcW w:w="2295" w:type="dxa"/>
                  <w:vAlign w:val="center"/>
                </w:tcPr>
                <w:p>
                  <w:pPr>
                    <w:jc w:val="center"/>
                    <w:rPr>
                      <w:rFonts w:hint="eastAsia"/>
                      <w:lang w:val="en-US" w:eastAsia="zh-CN"/>
                    </w:rPr>
                  </w:pPr>
                  <w:r>
                    <w:t>颗粒物</w:t>
                  </w:r>
                  <w:r>
                    <w:rPr>
                      <w:rFonts w:hint="eastAsia"/>
                      <w:lang w:eastAsia="zh-CN"/>
                    </w:rPr>
                    <w:t>、</w:t>
                  </w:r>
                  <w:r>
                    <w:rPr>
                      <w:rFonts w:hint="eastAsia"/>
                      <w:lang w:val="en-US" w:eastAsia="zh-CN"/>
                    </w:rPr>
                    <w:t>VOCs</w:t>
                  </w:r>
                </w:p>
                <w:p>
                  <w:pPr>
                    <w:jc w:val="center"/>
                    <w:rPr>
                      <w:rFonts w:hint="default"/>
                      <w:lang w:val="en-US" w:eastAsia="zh-CN"/>
                    </w:rPr>
                  </w:pPr>
                  <w:r>
                    <w:rPr>
                      <w:rFonts w:hint="eastAsia"/>
                      <w:lang w:val="en-US" w:eastAsia="zh-CN"/>
                    </w:rPr>
                    <w:t>（以NMHC计）</w:t>
                  </w:r>
                </w:p>
                <w:p>
                  <w:pPr>
                    <w:jc w:val="center"/>
                  </w:pPr>
                  <w:r>
                    <w:t>（同步记录气象参数）</w:t>
                  </w:r>
                </w:p>
              </w:tc>
              <w:tc>
                <w:tcPr>
                  <w:tcW w:w="2205" w:type="dxa"/>
                  <w:vAlign w:val="center"/>
                </w:tcPr>
                <w:p>
                  <w:pPr>
                    <w:jc w:val="center"/>
                  </w:pPr>
                  <w:r>
                    <w:rPr>
                      <w:rFonts w:hint="eastAsia"/>
                      <w:lang w:val="en-US" w:eastAsia="zh-CN"/>
                    </w:rPr>
                    <w:t>3个频</w:t>
                  </w:r>
                  <w:r>
                    <w:t>次/天，</w:t>
                  </w:r>
                </w:p>
                <w:p>
                  <w:pPr>
                    <w:jc w:val="center"/>
                  </w:pPr>
                  <w:r>
                    <w:t>连续</w:t>
                  </w:r>
                  <w:r>
                    <w:rPr>
                      <w:rFonts w:hint="eastAsia"/>
                      <w:lang w:eastAsia="zh-CN"/>
                    </w:rPr>
                    <w:t>监测</w:t>
                  </w:r>
                  <w:r>
                    <w:t>2天</w:t>
                  </w:r>
                </w:p>
              </w:tc>
            </w:tr>
          </w:tbl>
          <w:p>
            <w:pPr>
              <w:spacing w:line="360" w:lineRule="auto"/>
              <w:jc w:val="center"/>
            </w:pPr>
          </w:p>
          <w:p>
            <w:pPr>
              <w:spacing w:line="360" w:lineRule="auto"/>
              <w:jc w:val="center"/>
            </w:pPr>
          </w:p>
          <w:p>
            <w:pPr>
              <w:spacing w:line="360" w:lineRule="auto"/>
              <w:jc w:val="center"/>
            </w:pPr>
          </w:p>
          <w:p>
            <w:pPr>
              <w:spacing w:line="360" w:lineRule="auto"/>
              <w:jc w:val="center"/>
              <w:rPr>
                <w:rFonts w:hint="eastAsia"/>
                <w:lang w:val="en-US" w:eastAsia="zh-CN"/>
              </w:rPr>
            </w:pPr>
            <w:r>
              <w:rPr>
                <w:rFonts w:hint="eastAsia"/>
                <w:lang w:val="en-US" w:eastAsia="zh-CN"/>
              </w:rPr>
              <w:t xml:space="preserve">     </w:t>
            </w:r>
            <w:r>
              <w:t>图6-</w:t>
            </w:r>
            <w:r>
              <w:rPr>
                <w:rFonts w:hint="eastAsia"/>
                <w:lang w:val="en-US" w:eastAsia="zh-CN"/>
              </w:rPr>
              <w:t>2</w:t>
            </w:r>
            <w:r>
              <w:t xml:space="preserve">  无组织废气监测布点图</w:t>
            </w:r>
            <w:r>
              <w:rPr>
                <w:rFonts w:hint="eastAsia"/>
                <w:lang w:val="en-US" w:eastAsia="zh-CN"/>
              </w:rPr>
              <w:t xml:space="preserve">                                             </w:t>
            </w:r>
          </w:p>
          <w:p>
            <w:pPr>
              <w:spacing w:line="360" w:lineRule="auto"/>
              <w:ind w:firstLine="420" w:firstLineChars="200"/>
              <w:jc w:val="center"/>
              <w:rPr>
                <w:rFonts w:hint="default"/>
                <w:lang w:val="en-US" w:eastAsia="zh-CN"/>
              </w:rPr>
            </w:pPr>
            <w:r>
              <w:drawing>
                <wp:inline distT="0" distB="0" distL="114300" distR="114300">
                  <wp:extent cx="5693410" cy="2799080"/>
                  <wp:effectExtent l="0" t="0" r="2540" b="12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5693410" cy="2799080"/>
                          </a:xfrm>
                          <a:prstGeom prst="rect">
                            <a:avLst/>
                          </a:prstGeom>
                          <a:noFill/>
                          <a:ln>
                            <a:noFill/>
                          </a:ln>
                        </pic:spPr>
                      </pic:pic>
                    </a:graphicData>
                  </a:graphic>
                </wp:inline>
              </w:drawing>
            </w:r>
            <w:r>
              <w:rPr>
                <w:rFonts w:hint="eastAsia"/>
                <w:lang w:val="en-US" w:eastAsia="zh-CN"/>
              </w:rPr>
              <w:t xml:space="preserve">                                    </w:t>
            </w:r>
          </w:p>
          <w:p>
            <w:pPr>
              <w:pStyle w:val="43"/>
              <w:numPr>
                <w:ilvl w:val="0"/>
                <w:numId w:val="0"/>
              </w:numPr>
              <w:spacing w:line="360" w:lineRule="auto"/>
              <w:ind w:leftChars="0"/>
            </w:pPr>
            <w:r>
              <w:rPr>
                <w:rFonts w:hint="eastAsia"/>
                <w:lang w:val="en-US" w:eastAsia="zh-CN"/>
              </w:rPr>
              <w:t>2、</w:t>
            </w:r>
            <w:r>
              <w:rPr>
                <w:rFonts w:hint="eastAsia"/>
              </w:rPr>
              <w:t>噪声监测</w:t>
            </w:r>
            <w:r>
              <w:rPr>
                <w:rFonts w:hint="eastAsia"/>
                <w:lang w:val="en-US" w:eastAsia="zh-CN"/>
              </w:rPr>
              <w:t>内容</w:t>
            </w:r>
          </w:p>
          <w:p>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pPr>
            <w:r>
              <w:rPr>
                <w:rFonts w:hint="eastAsia"/>
              </w:rPr>
              <w:t>（1）噪声</w:t>
            </w:r>
            <w:r>
              <w:t>验收</w:t>
            </w:r>
            <w:r>
              <w:rPr>
                <w:rFonts w:hint="eastAsia"/>
              </w:rPr>
              <w:t>监测</w:t>
            </w:r>
            <w:r>
              <w:t>执行标准</w:t>
            </w:r>
          </w:p>
          <w:p>
            <w:pPr>
              <w:spacing w:line="360" w:lineRule="auto"/>
              <w:ind w:firstLine="420" w:firstLineChars="200"/>
              <w:rPr>
                <w:rFonts w:hint="eastAsia"/>
                <w:lang w:val="en-US" w:eastAsia="zh-CN"/>
              </w:rPr>
            </w:pPr>
            <w:r>
              <w:t>本次</w:t>
            </w:r>
            <w:r>
              <w:rPr>
                <w:rFonts w:hint="eastAsia"/>
              </w:rPr>
              <w:t>噪声</w:t>
            </w:r>
            <w:r>
              <w:t>验收执行的排放标准见表6-</w:t>
            </w:r>
            <w:r>
              <w:rPr>
                <w:rFonts w:hint="eastAsia"/>
              </w:rPr>
              <w:t>3</w:t>
            </w:r>
            <w:r>
              <w:t>。</w:t>
            </w:r>
            <w:r>
              <w:rPr>
                <w:rFonts w:hint="eastAsia"/>
                <w:lang w:val="en-US" w:eastAsia="zh-CN"/>
              </w:rPr>
              <w:t>因企业生产采用白班一班制，所以未对夜间噪声进行监测。</w:t>
            </w:r>
          </w:p>
          <w:p>
            <w:pPr>
              <w:spacing w:line="360" w:lineRule="auto"/>
              <w:ind w:firstLine="420" w:firstLineChars="200"/>
              <w:jc w:val="center"/>
            </w:pPr>
            <w:r>
              <w:t>表6-</w:t>
            </w:r>
            <w:r>
              <w:rPr>
                <w:rFonts w:hint="eastAsia"/>
              </w:rPr>
              <w:t>3</w:t>
            </w:r>
            <w:r>
              <w:t xml:space="preserve"> </w:t>
            </w:r>
            <w:r>
              <w:rPr>
                <w:rFonts w:hint="eastAsia"/>
              </w:rPr>
              <w:t>噪声</w:t>
            </w:r>
            <w:r>
              <w:t>验收监测执行标准及其限值</w:t>
            </w:r>
          </w:p>
          <w:tbl>
            <w:tblPr>
              <w:tblStyle w:val="28"/>
              <w:tblW w:w="983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56"/>
              <w:gridCol w:w="3443"/>
              <w:gridCol w:w="1305"/>
              <w:gridCol w:w="990"/>
              <w:gridCol w:w="25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3" w:hRule="atLeast"/>
                <w:jc w:val="center"/>
              </w:trPr>
              <w:tc>
                <w:tcPr>
                  <w:tcW w:w="1556" w:type="dxa"/>
                  <w:vAlign w:val="center"/>
                </w:tcPr>
                <w:p>
                  <w:pPr>
                    <w:keepNext w:val="0"/>
                    <w:keepLines w:val="0"/>
                    <w:pageBreakBefore w:val="0"/>
                    <w:widowControl w:val="0"/>
                    <w:kinsoku/>
                    <w:wordWrap/>
                    <w:overflowPunct/>
                    <w:topLinePunct w:val="0"/>
                    <w:bidi w:val="0"/>
                    <w:adjustRightInd/>
                    <w:snapToGrid/>
                    <w:spacing w:line="220" w:lineRule="exact"/>
                    <w:jc w:val="center"/>
                    <w:textAlignment w:val="auto"/>
                  </w:pPr>
                  <w:r>
                    <w:t>类别</w:t>
                  </w:r>
                </w:p>
              </w:tc>
              <w:tc>
                <w:tcPr>
                  <w:tcW w:w="3443" w:type="dxa"/>
                  <w:vAlign w:val="center"/>
                </w:tcPr>
                <w:p>
                  <w:pPr>
                    <w:keepNext w:val="0"/>
                    <w:keepLines w:val="0"/>
                    <w:pageBreakBefore w:val="0"/>
                    <w:widowControl w:val="0"/>
                    <w:kinsoku/>
                    <w:wordWrap/>
                    <w:overflowPunct/>
                    <w:topLinePunct w:val="0"/>
                    <w:bidi w:val="0"/>
                    <w:adjustRightInd/>
                    <w:snapToGrid/>
                    <w:spacing w:line="220" w:lineRule="exact"/>
                    <w:jc w:val="center"/>
                    <w:textAlignment w:val="auto"/>
                  </w:pPr>
                  <w:r>
                    <w:t>执行标准</w:t>
                  </w:r>
                </w:p>
              </w:tc>
              <w:tc>
                <w:tcPr>
                  <w:tcW w:w="1305" w:type="dxa"/>
                  <w:vAlign w:val="center"/>
                </w:tcPr>
                <w:p>
                  <w:pPr>
                    <w:keepNext w:val="0"/>
                    <w:keepLines w:val="0"/>
                    <w:pageBreakBefore w:val="0"/>
                    <w:widowControl w:val="0"/>
                    <w:kinsoku/>
                    <w:wordWrap/>
                    <w:overflowPunct/>
                    <w:topLinePunct w:val="0"/>
                    <w:bidi w:val="0"/>
                    <w:adjustRightInd/>
                    <w:snapToGrid/>
                    <w:spacing w:line="220" w:lineRule="exact"/>
                    <w:jc w:val="center"/>
                    <w:textAlignment w:val="auto"/>
                  </w:pPr>
                  <w:r>
                    <w:t>项目名称</w:t>
                  </w:r>
                </w:p>
              </w:tc>
              <w:tc>
                <w:tcPr>
                  <w:tcW w:w="990" w:type="dxa"/>
                  <w:vAlign w:val="center"/>
                </w:tcPr>
                <w:p>
                  <w:pPr>
                    <w:keepNext w:val="0"/>
                    <w:keepLines w:val="0"/>
                    <w:pageBreakBefore w:val="0"/>
                    <w:widowControl w:val="0"/>
                    <w:kinsoku/>
                    <w:wordWrap/>
                    <w:overflowPunct/>
                    <w:topLinePunct w:val="0"/>
                    <w:bidi w:val="0"/>
                    <w:adjustRightInd/>
                    <w:snapToGrid/>
                    <w:spacing w:line="220" w:lineRule="exact"/>
                    <w:jc w:val="center"/>
                    <w:textAlignment w:val="auto"/>
                  </w:pPr>
                  <w:r>
                    <w:t>单位</w:t>
                  </w:r>
                </w:p>
              </w:tc>
              <w:tc>
                <w:tcPr>
                  <w:tcW w:w="2537" w:type="dxa"/>
                  <w:vAlign w:val="center"/>
                </w:tcPr>
                <w:p>
                  <w:pPr>
                    <w:keepNext w:val="0"/>
                    <w:keepLines w:val="0"/>
                    <w:pageBreakBefore w:val="0"/>
                    <w:widowControl w:val="0"/>
                    <w:kinsoku/>
                    <w:wordWrap/>
                    <w:overflowPunct/>
                    <w:topLinePunct w:val="0"/>
                    <w:bidi w:val="0"/>
                    <w:adjustRightInd/>
                    <w:snapToGrid/>
                    <w:spacing w:line="220" w:lineRule="exact"/>
                    <w:jc w:val="center"/>
                    <w:textAlignment w:val="auto"/>
                  </w:pPr>
                  <w: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55" w:hRule="atLeast"/>
                <w:jc w:val="center"/>
              </w:trPr>
              <w:tc>
                <w:tcPr>
                  <w:tcW w:w="1556" w:type="dxa"/>
                  <w:vAlign w:val="center"/>
                </w:tcPr>
                <w:p>
                  <w:pPr>
                    <w:keepNext w:val="0"/>
                    <w:keepLines w:val="0"/>
                    <w:pageBreakBefore w:val="0"/>
                    <w:widowControl w:val="0"/>
                    <w:kinsoku/>
                    <w:wordWrap/>
                    <w:overflowPunct/>
                    <w:topLinePunct w:val="0"/>
                    <w:bidi w:val="0"/>
                    <w:adjustRightInd/>
                    <w:snapToGrid/>
                    <w:spacing w:line="220" w:lineRule="exact"/>
                    <w:jc w:val="center"/>
                    <w:textAlignment w:val="auto"/>
                  </w:pPr>
                  <w:r>
                    <w:t>噪声</w:t>
                  </w:r>
                </w:p>
              </w:tc>
              <w:tc>
                <w:tcPr>
                  <w:tcW w:w="3443"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pPr>
                  <w:r>
                    <w:t>《工业企业厂界环境噪声排放标准》（GB12348-2008）中的</w:t>
                  </w:r>
                  <w:r>
                    <w:rPr>
                      <w:rFonts w:hint="eastAsia"/>
                    </w:rPr>
                    <w:t>2</w:t>
                  </w:r>
                  <w:r>
                    <w:t>类区标准</w:t>
                  </w:r>
                </w:p>
              </w:tc>
              <w:tc>
                <w:tcPr>
                  <w:tcW w:w="1305" w:type="dxa"/>
                  <w:vAlign w:val="center"/>
                </w:tcPr>
                <w:p>
                  <w:pPr>
                    <w:keepNext w:val="0"/>
                    <w:keepLines w:val="0"/>
                    <w:pageBreakBefore w:val="0"/>
                    <w:widowControl w:val="0"/>
                    <w:kinsoku/>
                    <w:wordWrap/>
                    <w:overflowPunct/>
                    <w:topLinePunct w:val="0"/>
                    <w:bidi w:val="0"/>
                    <w:adjustRightInd/>
                    <w:snapToGrid/>
                    <w:spacing w:line="220" w:lineRule="exact"/>
                    <w:jc w:val="center"/>
                    <w:textAlignment w:val="auto"/>
                  </w:pPr>
                  <w:r>
                    <w:t>厂界噪声</w:t>
                  </w:r>
                </w:p>
              </w:tc>
              <w:tc>
                <w:tcPr>
                  <w:tcW w:w="990" w:type="dxa"/>
                  <w:vAlign w:val="center"/>
                </w:tcPr>
                <w:p>
                  <w:pPr>
                    <w:keepNext w:val="0"/>
                    <w:keepLines w:val="0"/>
                    <w:pageBreakBefore w:val="0"/>
                    <w:widowControl w:val="0"/>
                    <w:kinsoku/>
                    <w:wordWrap/>
                    <w:overflowPunct/>
                    <w:topLinePunct w:val="0"/>
                    <w:autoSpaceDE w:val="0"/>
                    <w:autoSpaceDN w:val="0"/>
                    <w:bidi w:val="0"/>
                    <w:adjustRightInd/>
                    <w:snapToGrid/>
                    <w:spacing w:line="220" w:lineRule="exact"/>
                    <w:jc w:val="center"/>
                    <w:textAlignment w:val="auto"/>
                  </w:pPr>
                  <w:r>
                    <w:t>dB(A)</w:t>
                  </w:r>
                </w:p>
              </w:tc>
              <w:tc>
                <w:tcPr>
                  <w:tcW w:w="2537" w:type="dxa"/>
                  <w:vAlign w:val="center"/>
                </w:tcPr>
                <w:p>
                  <w:pPr>
                    <w:keepNext w:val="0"/>
                    <w:keepLines w:val="0"/>
                    <w:pageBreakBefore w:val="0"/>
                    <w:widowControl w:val="0"/>
                    <w:kinsoku/>
                    <w:wordWrap/>
                    <w:overflowPunct/>
                    <w:topLinePunct w:val="0"/>
                    <w:bidi w:val="0"/>
                    <w:adjustRightInd/>
                    <w:snapToGrid/>
                    <w:spacing w:line="220" w:lineRule="exact"/>
                    <w:jc w:val="center"/>
                    <w:textAlignment w:val="auto"/>
                    <w:rPr>
                      <w:rFonts w:hint="default"/>
                      <w:lang w:val="en-US" w:eastAsia="zh-CN"/>
                    </w:rPr>
                  </w:pPr>
                  <w:r>
                    <w:rPr>
                      <w:rFonts w:hint="eastAsia"/>
                      <w:lang w:val="en-US" w:eastAsia="zh-CN"/>
                    </w:rPr>
                    <w:t>60</w:t>
                  </w:r>
                  <w:r>
                    <w:rPr>
                      <w:rFonts w:hint="eastAsia"/>
                    </w:rPr>
                    <w:t>（</w:t>
                  </w:r>
                  <w:r>
                    <w:rPr>
                      <w:rFonts w:hint="eastAsia"/>
                      <w:lang w:val="en-US" w:eastAsia="zh-CN"/>
                    </w:rPr>
                    <w:t>昼</w:t>
                  </w:r>
                  <w:r>
                    <w:t>间</w:t>
                  </w:r>
                  <w:r>
                    <w:rPr>
                      <w:rFonts w:hint="eastAsia"/>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pPr>
            <w:r>
              <w:rPr>
                <w:rFonts w:hint="default"/>
                <w:lang w:eastAsia="zh-CN"/>
              </w:rPr>
              <w:t>（</w:t>
            </w:r>
            <w:r>
              <w:rPr>
                <w:rFonts w:hint="default"/>
                <w:lang w:val="en-US" w:eastAsia="zh-CN"/>
              </w:rPr>
              <w:t>2</w:t>
            </w:r>
            <w:r>
              <w:rPr>
                <w:rFonts w:hint="default"/>
                <w:lang w:eastAsia="zh-CN"/>
              </w:rPr>
              <w:t>）</w:t>
            </w:r>
            <w:r>
              <w:rPr>
                <w:rFonts w:hint="eastAsia"/>
                <w:lang w:eastAsia="zh-CN"/>
              </w:rPr>
              <w:t>噪声</w:t>
            </w:r>
            <w:r>
              <w:rPr>
                <w:rFonts w:hint="eastAsia"/>
              </w:rPr>
              <w:t>监测</w:t>
            </w:r>
            <w:r>
              <w:rPr>
                <w:rFonts w:hint="eastAsia"/>
                <w:lang w:val="en-US" w:eastAsia="zh-CN"/>
              </w:rPr>
              <w:t>内容</w:t>
            </w:r>
            <w:r>
              <w:rPr>
                <w:rFonts w:hint="eastAsia"/>
              </w:rPr>
              <w:t>及频次见表</w:t>
            </w:r>
            <w:r>
              <w:rPr>
                <w:rFonts w:hint="default"/>
              </w:rPr>
              <w:t>6-</w:t>
            </w:r>
            <w:r>
              <w:rPr>
                <w:rFonts w:hint="eastAsia"/>
                <w:lang w:val="en-US" w:eastAsia="zh-CN"/>
              </w:rPr>
              <w:t>4</w:t>
            </w:r>
            <w:r>
              <w:rPr>
                <w:rFonts w:hint="default"/>
                <w:lang w:eastAsia="zh-CN"/>
              </w:rPr>
              <w:t>。</w:t>
            </w:r>
            <w:r>
              <w:rPr>
                <w:rFonts w:hint="eastAsia"/>
                <w:lang w:val="en-US" w:eastAsia="zh-CN"/>
              </w:rPr>
              <w:t>点位示意图见图6-5。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rPr>
                <w:rFonts w:hint="eastAsia"/>
                <w:lang w:val="en-US" w:eastAsia="zh-CN"/>
              </w:rPr>
              <w:t>表</w:t>
            </w:r>
            <w:r>
              <w:rPr>
                <w:rFonts w:hint="default"/>
                <w:lang w:val="en-US" w:eastAsia="zh-CN"/>
              </w:rPr>
              <w:t>6-</w:t>
            </w:r>
            <w:r>
              <w:rPr>
                <w:rFonts w:hint="eastAsia"/>
                <w:lang w:val="en-US" w:eastAsia="zh-CN"/>
              </w:rPr>
              <w:t>4噪声</w:t>
            </w:r>
            <w:r>
              <w:t>监测内容及频次一览表</w:t>
            </w:r>
          </w:p>
          <w:tbl>
            <w:tblPr>
              <w:tblStyle w:val="28"/>
              <w:tblW w:w="9830" w:type="dxa"/>
              <w:jc w:val="center"/>
              <w:tblInd w:w="23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00"/>
              <w:gridCol w:w="5008"/>
              <w:gridCol w:w="25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7" w:hRule="atLeast"/>
                <w:jc w:val="center"/>
              </w:trPr>
              <w:tc>
                <w:tcPr>
                  <w:tcW w:w="2300" w:type="dxa"/>
                  <w:vAlign w:val="center"/>
                </w:tcPr>
                <w:p>
                  <w:pPr>
                    <w:jc w:val="center"/>
                  </w:pPr>
                  <w:r>
                    <w:t>类</w:t>
                  </w:r>
                  <w:r>
                    <w:rPr>
                      <w:rFonts w:hint="eastAsia"/>
                    </w:rPr>
                    <w:t>别</w:t>
                  </w:r>
                </w:p>
              </w:tc>
              <w:tc>
                <w:tcPr>
                  <w:tcW w:w="5008" w:type="dxa"/>
                  <w:vAlign w:val="center"/>
                </w:tcPr>
                <w:p>
                  <w:pPr>
                    <w:jc w:val="center"/>
                  </w:pPr>
                  <w:r>
                    <w:t>监测点位</w:t>
                  </w:r>
                </w:p>
              </w:tc>
              <w:tc>
                <w:tcPr>
                  <w:tcW w:w="2522" w:type="dxa"/>
                  <w:vAlign w:val="center"/>
                </w:tcPr>
                <w:p>
                  <w:pPr>
                    <w:jc w:val="center"/>
                  </w:pPr>
                  <w: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 w:hRule="atLeast"/>
                <w:jc w:val="center"/>
              </w:trPr>
              <w:tc>
                <w:tcPr>
                  <w:tcW w:w="2300" w:type="dxa"/>
                  <w:vAlign w:val="center"/>
                </w:tcPr>
                <w:p>
                  <w:pPr>
                    <w:spacing w:line="240" w:lineRule="exact"/>
                    <w:jc w:val="center"/>
                    <w:rPr>
                      <w:rFonts w:hint="default"/>
                      <w:lang w:val="en-US" w:eastAsia="zh-CN"/>
                    </w:rPr>
                  </w:pPr>
                  <w:r>
                    <w:rPr>
                      <w:rFonts w:hint="eastAsia"/>
                      <w:lang w:val="en-US" w:eastAsia="zh-CN"/>
                    </w:rPr>
                    <w:t>厂界噪声</w:t>
                  </w:r>
                </w:p>
              </w:tc>
              <w:tc>
                <w:tcPr>
                  <w:tcW w:w="5008" w:type="dxa"/>
                  <w:vAlign w:val="center"/>
                </w:tcPr>
                <w:p>
                  <w:pPr>
                    <w:jc w:val="center"/>
                    <w:rPr>
                      <w:rFonts w:hint="default"/>
                      <w:lang w:val="en-US" w:eastAsia="zh-CN"/>
                    </w:rPr>
                  </w:pPr>
                  <w:r>
                    <w:rPr>
                      <w:rFonts w:hint="eastAsia"/>
                      <w:lang w:val="en-US" w:eastAsia="zh-CN"/>
                    </w:rPr>
                    <w:t>厂界东、南、西、北各设一个监测点</w:t>
                  </w:r>
                </w:p>
              </w:tc>
              <w:tc>
                <w:tcPr>
                  <w:tcW w:w="2522" w:type="dxa"/>
                  <w:vAlign w:val="center"/>
                </w:tcPr>
                <w:p>
                  <w:pPr>
                    <w:jc w:val="center"/>
                  </w:pPr>
                  <w:r>
                    <w:rPr>
                      <w:rFonts w:hint="eastAsia"/>
                      <w:lang w:val="en-US" w:eastAsia="zh-CN"/>
                    </w:rPr>
                    <w:t>昼间2</w:t>
                  </w:r>
                  <w:r>
                    <w:t>次/天</w:t>
                  </w:r>
                </w:p>
                <w:p>
                  <w:pPr>
                    <w:jc w:val="center"/>
                    <w:rPr>
                      <w:rFonts w:hint="eastAsia"/>
                      <w:lang w:eastAsia="zh-CN"/>
                    </w:rPr>
                  </w:pPr>
                  <w:r>
                    <w:t>连续</w:t>
                  </w:r>
                  <w:r>
                    <w:rPr>
                      <w:rFonts w:hint="default"/>
                    </w:rPr>
                    <w:t>2</w:t>
                  </w:r>
                  <w:r>
                    <w:t>天</w:t>
                  </w:r>
                  <w:r>
                    <w:rPr>
                      <w:rFonts w:hint="eastAsia"/>
                      <w:lang w:eastAsia="zh-CN"/>
                    </w:rPr>
                    <w:t>（夜间不生产故不检测夜间噪声）</w:t>
                  </w:r>
                </w:p>
              </w:tc>
            </w:tr>
          </w:tbl>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图6-</w:t>
            </w:r>
            <w:r>
              <w:rPr>
                <w:rFonts w:hint="eastAsia"/>
                <w:lang w:val="en-US" w:eastAsia="zh-CN"/>
              </w:rPr>
              <w:t>5</w:t>
            </w:r>
            <w:r>
              <w:t xml:space="preserve">  噪声监测点位示意图</w:t>
            </w:r>
          </w:p>
          <w:p>
            <w:pPr>
              <w:pStyle w:val="43"/>
              <w:numPr>
                <w:ilvl w:val="0"/>
                <w:numId w:val="0"/>
              </w:numPr>
              <w:spacing w:line="360" w:lineRule="auto"/>
              <w:ind w:leftChars="0"/>
              <w:jc w:val="center"/>
              <w:rPr>
                <w:rFonts w:hint="eastAsia"/>
                <w:lang w:val="en-US" w:eastAsia="zh-CN"/>
              </w:rPr>
            </w:pPr>
            <w:r>
              <w:drawing>
                <wp:inline distT="0" distB="0" distL="114300" distR="114300">
                  <wp:extent cx="6257925" cy="2626995"/>
                  <wp:effectExtent l="0" t="0" r="9525" b="19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6"/>
                          <a:stretch>
                            <a:fillRect/>
                          </a:stretch>
                        </pic:blipFill>
                        <pic:spPr>
                          <a:xfrm>
                            <a:off x="0" y="0"/>
                            <a:ext cx="6257925" cy="2626995"/>
                          </a:xfrm>
                          <a:prstGeom prst="rect">
                            <a:avLst/>
                          </a:prstGeom>
                          <a:noFill/>
                          <a:ln>
                            <a:noFill/>
                          </a:ln>
                        </pic:spPr>
                      </pic:pic>
                    </a:graphicData>
                  </a:graphic>
                </wp:inline>
              </w:drawing>
            </w:r>
            <w:r>
              <w:rPr>
                <w:rFonts w:hint="eastAsia"/>
                <w:lang w:val="en-US" w:eastAsia="zh-CN"/>
              </w:rPr>
              <w:t>监测日期：2019年11月25-11月26</w:t>
            </w:r>
          </w:p>
          <w:p>
            <w:pPr>
              <w:pStyle w:val="43"/>
              <w:numPr>
                <w:ilvl w:val="0"/>
                <w:numId w:val="0"/>
              </w:numPr>
              <w:spacing w:line="360" w:lineRule="auto"/>
              <w:ind w:leftChars="0"/>
              <w:rPr>
                <w:rFonts w:hint="eastAsia"/>
                <w:lang w:val="en-US" w:eastAsia="zh-CN"/>
              </w:rPr>
            </w:pPr>
            <w:r>
              <w:rPr>
                <w:rFonts w:hint="eastAsia"/>
                <w:lang w:val="en-US" w:eastAsia="zh-CN"/>
              </w:rPr>
              <w:t>3、废水监测内容</w:t>
            </w:r>
          </w:p>
          <w:p>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pPr>
            <w:r>
              <w:rPr>
                <w:rFonts w:hint="eastAsia"/>
              </w:rPr>
              <w:t>（1）噪声</w:t>
            </w:r>
            <w:r>
              <w:t>验收</w:t>
            </w:r>
            <w:r>
              <w:rPr>
                <w:rFonts w:hint="eastAsia"/>
              </w:rPr>
              <w:t>监测</w:t>
            </w:r>
            <w:r>
              <w:t>执行标准</w:t>
            </w:r>
          </w:p>
          <w:p>
            <w:pPr>
              <w:pStyle w:val="43"/>
              <w:numPr>
                <w:ilvl w:val="0"/>
                <w:numId w:val="0"/>
              </w:numPr>
              <w:spacing w:line="360" w:lineRule="auto"/>
              <w:ind w:leftChars="0" w:firstLine="630" w:firstLineChars="300"/>
              <w:rPr>
                <w:rFonts w:hint="eastAsia"/>
                <w:lang w:val="en-US" w:eastAsia="zh-CN"/>
              </w:rPr>
            </w:pPr>
            <w:r>
              <w:t>本次</w:t>
            </w:r>
            <w:r>
              <w:rPr>
                <w:rFonts w:hint="eastAsia"/>
              </w:rPr>
              <w:t>噪声</w:t>
            </w:r>
            <w:r>
              <w:t>验收执行的排放标准见表6-</w:t>
            </w:r>
            <w:r>
              <w:rPr>
                <w:rFonts w:hint="eastAsia"/>
                <w:lang w:val="en-US" w:eastAsia="zh-CN"/>
              </w:rPr>
              <w:t>6。</w:t>
            </w:r>
          </w:p>
          <w:tbl>
            <w:tblPr>
              <w:tblStyle w:val="29"/>
              <w:tblW w:w="9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2853"/>
              <w:gridCol w:w="1650"/>
              <w:gridCol w:w="180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14"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SimSun" w:cs="Times New Roman"/>
                      <w:kern w:val="2"/>
                      <w:sz w:val="21"/>
                      <w:szCs w:val="21"/>
                      <w:vertAlign w:val="baseline"/>
                      <w:lang w:val="en-US" w:eastAsia="zh-CN" w:bidi="ar-SA"/>
                    </w:rPr>
                    <w:t>样品类别</w:t>
                  </w:r>
                </w:p>
              </w:tc>
              <w:tc>
                <w:tcPr>
                  <w:tcW w:w="2853"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eastAsia="SimSun" w:cs="Times New Roman"/>
                      <w:kern w:val="2"/>
                      <w:sz w:val="21"/>
                      <w:szCs w:val="21"/>
                      <w:vertAlign w:val="baseline"/>
                      <w:lang w:val="en-US" w:eastAsia="zh-CN" w:bidi="ar-SA"/>
                    </w:rPr>
                    <w:t>执行标准</w:t>
                  </w:r>
                </w:p>
              </w:tc>
              <w:tc>
                <w:tcPr>
                  <w:tcW w:w="16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eastAsia="SimSun" w:cs="Times New Roman"/>
                      <w:kern w:val="2"/>
                      <w:sz w:val="21"/>
                      <w:szCs w:val="21"/>
                      <w:vertAlign w:val="baseline"/>
                      <w:lang w:val="en-US" w:eastAsia="zh-CN" w:bidi="ar-SA"/>
                    </w:rPr>
                    <w:t>项目名称</w:t>
                  </w:r>
                </w:p>
              </w:tc>
              <w:tc>
                <w:tcPr>
                  <w:tcW w:w="18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eastAsia="SimSun" w:cs="Times New Roman"/>
                      <w:kern w:val="2"/>
                      <w:sz w:val="21"/>
                      <w:szCs w:val="21"/>
                      <w:vertAlign w:val="baseline"/>
                      <w:lang w:val="en-US" w:eastAsia="zh-CN" w:bidi="ar-SA"/>
                    </w:rPr>
                    <w:t>单位</w:t>
                  </w:r>
                </w:p>
              </w:tc>
              <w:tc>
                <w:tcPr>
                  <w:tcW w:w="216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eastAsia="SimSun" w:cs="Times New Roman"/>
                      <w:kern w:val="2"/>
                      <w:sz w:val="21"/>
                      <w:szCs w:val="21"/>
                      <w:vertAlign w:val="baseline"/>
                      <w:lang w:val="en-US" w:eastAsia="zh-CN" w:bidi="ar-SA"/>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4" w:type="dxa"/>
                  <w:vMerge w:val="restart"/>
                  <w:vAlign w:val="center"/>
                </w:tcPr>
                <w:p>
                  <w:pPr>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废水</w:t>
                  </w:r>
                </w:p>
              </w:tc>
              <w:tc>
                <w:tcPr>
                  <w:tcW w:w="2853"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eastAsia="SimSun" w:cs="Times New Roman"/>
                      <w:kern w:val="2"/>
                      <w:sz w:val="21"/>
                      <w:szCs w:val="21"/>
                      <w:lang w:val="en-US" w:eastAsia="zh-CN" w:bidi="ar-SA"/>
                    </w:rPr>
                  </w:pPr>
                  <w:r>
                    <w:rPr>
                      <w:rFonts w:hint="eastAsia" w:ascii="Times New Roman" w:hAnsi="Times New Roman" w:eastAsia="SimSun" w:cs="Times New Roman"/>
                      <w:kern w:val="2"/>
                      <w:sz w:val="21"/>
                      <w:szCs w:val="21"/>
                      <w:lang w:val="en-US" w:eastAsia="zh-CN" w:bidi="ar-SA"/>
                    </w:rPr>
                    <w:t>《污水排入城镇下水道水质标准》（GB/T31962-2015）B等级</w:t>
                  </w:r>
                </w:p>
              </w:tc>
              <w:tc>
                <w:tcPr>
                  <w:tcW w:w="1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b w:val="0"/>
                      <w:bCs/>
                      <w:color w:val="auto"/>
                      <w:sz w:val="21"/>
                      <w:szCs w:val="21"/>
                      <w:lang w:val="en-US" w:eastAsia="zh-CN"/>
                    </w:rPr>
                    <w:t>pH</w:t>
                  </w: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无量纲</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eastAsia="SimSun" w:cs="Times New Roman"/>
                      <w:kern w:val="2"/>
                      <w:sz w:val="21"/>
                      <w:szCs w:val="21"/>
                      <w:vertAlign w:val="baseline"/>
                      <w:lang w:val="en-US" w:eastAsia="zh-CN" w:bidi="ar-SA"/>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4" w:type="dxa"/>
                  <w:vMerge w:val="continue"/>
                  <w:vAlign w:val="center"/>
                </w:tcPr>
                <w:p>
                  <w:pPr>
                    <w:spacing w:line="240" w:lineRule="auto"/>
                    <w:jc w:val="center"/>
                    <w:rPr>
                      <w:rFonts w:hint="eastAsia" w:ascii="Times New Roman" w:hAnsi="Times New Roman" w:cs="Times New Roman"/>
                      <w:sz w:val="21"/>
                      <w:szCs w:val="21"/>
                      <w:vertAlign w:val="baseline"/>
                      <w:lang w:eastAsia="zh-CN"/>
                    </w:rPr>
                  </w:pPr>
                </w:p>
              </w:tc>
              <w:tc>
                <w:tcPr>
                  <w:tcW w:w="2853"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lang w:val="en-US" w:eastAsia="zh-CN" w:bidi="ar-SA"/>
                    </w:rPr>
                  </w:pPr>
                </w:p>
              </w:tc>
              <w:tc>
                <w:tcPr>
                  <w:tcW w:w="1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b w:val="0"/>
                      <w:bCs/>
                      <w:color w:val="auto"/>
                      <w:sz w:val="21"/>
                      <w:szCs w:val="21"/>
                      <w:lang w:val="en-US" w:eastAsia="zh-CN"/>
                    </w:rPr>
                    <w:t>氨氮</w:t>
                  </w:r>
                </w:p>
              </w:tc>
              <w:tc>
                <w:tcPr>
                  <w:tcW w:w="1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mg/L</w:t>
                  </w:r>
                </w:p>
              </w:tc>
              <w:tc>
                <w:tcPr>
                  <w:tcW w:w="21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eastAsia="SimSun" w:cs="Times New Roman"/>
                      <w:kern w:val="2"/>
                      <w:sz w:val="21"/>
                      <w:szCs w:val="21"/>
                      <w:vertAlign w:val="baseline"/>
                      <w:lang w:val="en-US" w:eastAsia="zh-CN" w:bidi="ar-S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4" w:type="dxa"/>
                  <w:vMerge w:val="continue"/>
                  <w:vAlign w:val="center"/>
                </w:tcPr>
                <w:p>
                  <w:pPr>
                    <w:spacing w:line="240" w:lineRule="auto"/>
                    <w:jc w:val="center"/>
                    <w:rPr>
                      <w:rFonts w:hint="eastAsia" w:ascii="Times New Roman" w:hAnsi="Times New Roman" w:cs="Times New Roman"/>
                      <w:sz w:val="21"/>
                      <w:szCs w:val="21"/>
                      <w:vertAlign w:val="baseline"/>
                      <w:lang w:eastAsia="zh-CN"/>
                    </w:rPr>
                  </w:pPr>
                </w:p>
              </w:tc>
              <w:tc>
                <w:tcPr>
                  <w:tcW w:w="2853"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lang w:val="en-US" w:eastAsia="zh-CN" w:bidi="ar-SA"/>
                    </w:rPr>
                  </w:pPr>
                </w:p>
              </w:tc>
              <w:tc>
                <w:tcPr>
                  <w:tcW w:w="1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b w:val="0"/>
                      <w:bCs/>
                      <w:color w:val="auto"/>
                      <w:sz w:val="21"/>
                      <w:szCs w:val="21"/>
                      <w:lang w:val="en-US" w:eastAsia="zh-CN"/>
                    </w:rPr>
                    <w:t>总磷</w:t>
                  </w:r>
                </w:p>
              </w:tc>
              <w:tc>
                <w:tcPr>
                  <w:tcW w:w="1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mg/L</w:t>
                  </w:r>
                </w:p>
              </w:tc>
              <w:tc>
                <w:tcPr>
                  <w:tcW w:w="21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eastAsia="SimSun" w:cs="Times New Roman"/>
                      <w:kern w:val="2"/>
                      <w:sz w:val="21"/>
                      <w:szCs w:val="21"/>
                      <w:vertAlign w:val="baseline"/>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4" w:type="dxa"/>
                  <w:vMerge w:val="continue"/>
                  <w:vAlign w:val="center"/>
                </w:tcPr>
                <w:p>
                  <w:pPr>
                    <w:spacing w:line="240" w:lineRule="auto"/>
                    <w:jc w:val="center"/>
                    <w:rPr>
                      <w:rFonts w:hint="eastAsia" w:ascii="Times New Roman" w:hAnsi="Times New Roman" w:cs="Times New Roman"/>
                      <w:sz w:val="21"/>
                      <w:szCs w:val="21"/>
                      <w:vertAlign w:val="baseline"/>
                      <w:lang w:eastAsia="zh-CN"/>
                    </w:rPr>
                  </w:pPr>
                </w:p>
              </w:tc>
              <w:tc>
                <w:tcPr>
                  <w:tcW w:w="2853"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b w:val="0"/>
                      <w:bCs/>
                      <w:color w:val="auto"/>
                      <w:kern w:val="2"/>
                      <w:sz w:val="21"/>
                      <w:szCs w:val="21"/>
                      <w:lang w:val="en-US" w:eastAsia="zh-CN" w:bidi="ar-SA"/>
                    </w:rPr>
                  </w:pPr>
                </w:p>
              </w:tc>
              <w:tc>
                <w:tcPr>
                  <w:tcW w:w="1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b w:val="0"/>
                      <w:bCs/>
                      <w:color w:val="auto"/>
                      <w:sz w:val="21"/>
                      <w:szCs w:val="21"/>
                      <w:lang w:val="en-US" w:eastAsia="zh-CN"/>
                    </w:rPr>
                    <w:t>总氮</w:t>
                  </w:r>
                </w:p>
              </w:tc>
              <w:tc>
                <w:tcPr>
                  <w:tcW w:w="1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mg/L</w:t>
                  </w:r>
                </w:p>
              </w:tc>
              <w:tc>
                <w:tcPr>
                  <w:tcW w:w="21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eastAsia="SimSun" w:cs="Times New Roman"/>
                      <w:kern w:val="2"/>
                      <w:sz w:val="21"/>
                      <w:szCs w:val="21"/>
                      <w:vertAlign w:val="baseline"/>
                      <w:lang w:val="en-US" w:eastAsia="zh-CN" w:bidi="ar-S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4" w:type="dxa"/>
                  <w:vMerge w:val="continue"/>
                  <w:vAlign w:val="center"/>
                </w:tcPr>
                <w:p>
                  <w:pPr>
                    <w:spacing w:line="240" w:lineRule="auto"/>
                    <w:jc w:val="center"/>
                    <w:rPr>
                      <w:rFonts w:hint="eastAsia" w:ascii="Times New Roman" w:hAnsi="Times New Roman" w:cs="Times New Roman"/>
                      <w:sz w:val="21"/>
                      <w:szCs w:val="21"/>
                      <w:vertAlign w:val="baseline"/>
                      <w:lang w:eastAsia="zh-CN"/>
                    </w:rPr>
                  </w:pPr>
                </w:p>
              </w:tc>
              <w:tc>
                <w:tcPr>
                  <w:tcW w:w="2853"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b w:val="0"/>
                      <w:bCs/>
                      <w:color w:val="auto"/>
                      <w:kern w:val="2"/>
                      <w:sz w:val="21"/>
                      <w:szCs w:val="21"/>
                      <w:lang w:val="en-US" w:eastAsia="zh-CN" w:bidi="ar-SA"/>
                    </w:rPr>
                  </w:pPr>
                </w:p>
              </w:tc>
              <w:tc>
                <w:tcPr>
                  <w:tcW w:w="1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b w:val="0"/>
                      <w:bCs/>
                      <w:color w:val="auto"/>
                      <w:sz w:val="21"/>
                      <w:szCs w:val="21"/>
                      <w:lang w:val="en-US" w:eastAsia="zh-CN"/>
                    </w:rPr>
                    <w:t>悬浮物</w:t>
                  </w:r>
                </w:p>
              </w:tc>
              <w:tc>
                <w:tcPr>
                  <w:tcW w:w="1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mg/L</w:t>
                  </w:r>
                </w:p>
              </w:tc>
              <w:tc>
                <w:tcPr>
                  <w:tcW w:w="21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eastAsia="SimSun" w:cs="Times New Roman"/>
                      <w:kern w:val="2"/>
                      <w:sz w:val="21"/>
                      <w:szCs w:val="21"/>
                      <w:vertAlign w:val="baseline"/>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14" w:type="dxa"/>
                  <w:vMerge w:val="continue"/>
                  <w:vAlign w:val="center"/>
                </w:tcPr>
                <w:p>
                  <w:pPr>
                    <w:jc w:val="center"/>
                    <w:rPr>
                      <w:rFonts w:hint="eastAsia" w:ascii="Times New Roman" w:hAnsi="Times New Roman" w:eastAsia="SimSun" w:cs="Times New Roman"/>
                      <w:sz w:val="21"/>
                      <w:szCs w:val="21"/>
                      <w:vertAlign w:val="baseline"/>
                      <w:lang w:eastAsia="zh-CN"/>
                    </w:rPr>
                  </w:pPr>
                </w:p>
              </w:tc>
              <w:tc>
                <w:tcPr>
                  <w:tcW w:w="2853" w:type="dxa"/>
                  <w:vMerge w:val="continue"/>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val="0"/>
                      <w:bCs w:val="0"/>
                      <w:i w:val="0"/>
                      <w:iCs w:val="0"/>
                      <w:kern w:val="2"/>
                      <w:sz w:val="21"/>
                      <w:szCs w:val="21"/>
                      <w:vertAlign w:val="baseline"/>
                      <w:lang w:val="en-US" w:eastAsia="zh-CN" w:bidi="ar-SA"/>
                    </w:rPr>
                  </w:pPr>
                </w:p>
              </w:tc>
              <w:tc>
                <w:tcPr>
                  <w:tcW w:w="1650"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val="0"/>
                      <w:bCs w:val="0"/>
                      <w:i w:val="0"/>
                      <w:iCs w:val="0"/>
                      <w:kern w:val="2"/>
                      <w:sz w:val="21"/>
                      <w:szCs w:val="21"/>
                      <w:vertAlign w:val="baseline"/>
                      <w:lang w:val="en-US" w:eastAsia="zh-CN" w:bidi="ar-SA"/>
                    </w:rPr>
                  </w:pPr>
                  <w:r>
                    <w:rPr>
                      <w:rFonts w:hint="default" w:ascii="Times New Roman" w:hAnsi="Times New Roman" w:cs="Times New Roman"/>
                      <w:b w:val="0"/>
                      <w:bCs w:val="0"/>
                      <w:i w:val="0"/>
                      <w:iCs w:val="0"/>
                      <w:sz w:val="21"/>
                      <w:szCs w:val="21"/>
                      <w:vertAlign w:val="baseline"/>
                      <w:lang w:val="en-US" w:eastAsia="zh-CN"/>
                    </w:rPr>
                    <w:t>化学需氧量</w:t>
                  </w:r>
                </w:p>
              </w:tc>
              <w:tc>
                <w:tcPr>
                  <w:tcW w:w="1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mg/L</w:t>
                  </w:r>
                </w:p>
              </w:tc>
              <w:tc>
                <w:tcPr>
                  <w:tcW w:w="216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eastAsia="SimSun" w:cs="Times New Roman"/>
                      <w:kern w:val="2"/>
                      <w:sz w:val="21"/>
                      <w:szCs w:val="21"/>
                      <w:vertAlign w:val="baseline"/>
                      <w:lang w:val="en-US" w:eastAsia="zh-CN" w:bidi="ar-SA"/>
                    </w:rPr>
                    <w:t>500</w:t>
                  </w:r>
                </w:p>
              </w:tc>
            </w:tr>
          </w:tbl>
          <w:p>
            <w:pPr>
              <w:pStyle w:val="43"/>
              <w:numPr>
                <w:ilvl w:val="0"/>
                <w:numId w:val="0"/>
              </w:numPr>
              <w:spacing w:line="360" w:lineRule="auto"/>
              <w:rPr>
                <w:rFonts w:hint="eastAsia"/>
                <w:lang w:val="en-US" w:eastAsia="zh-CN"/>
              </w:rPr>
            </w:pPr>
          </w:p>
        </w:tc>
      </w:tr>
    </w:tbl>
    <w:p>
      <w:pPr>
        <w:pStyle w:val="5"/>
        <w:spacing w:before="0" w:after="0" w:line="360" w:lineRule="auto"/>
        <w:jc w:val="left"/>
        <w:rPr>
          <w:rFonts w:ascii="Times New Roman" w:hAnsi="Times New Roman"/>
        </w:rPr>
      </w:pPr>
      <w:bookmarkStart w:id="10" w:name="_Toc517710313"/>
      <w:r>
        <w:rPr>
          <w:rFonts w:ascii="Times New Roman" w:hAnsi="Times New Roman" w:cs="Times New Roman"/>
          <w:sz w:val="28"/>
          <w:szCs w:val="28"/>
        </w:rPr>
        <w:t xml:space="preserve">表七 </w:t>
      </w:r>
      <w:bookmarkEnd w:id="10"/>
    </w:p>
    <w:tbl>
      <w:tblPr>
        <w:tblStyle w:val="29"/>
        <w:tblW w:w="10877" w:type="dxa"/>
        <w:jc w:val="center"/>
        <w:tblInd w:w="-1073" w:type="dxa"/>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Layout w:type="fixed"/>
        <w:tblCellMar>
          <w:top w:w="0" w:type="dxa"/>
          <w:left w:w="108" w:type="dxa"/>
          <w:bottom w:w="0" w:type="dxa"/>
          <w:right w:w="108" w:type="dxa"/>
        </w:tblCellMar>
      </w:tblPr>
      <w:tblGrid>
        <w:gridCol w:w="1087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Layout w:type="fixed"/>
          <w:tblCellMar>
            <w:top w:w="0" w:type="dxa"/>
            <w:left w:w="108" w:type="dxa"/>
            <w:bottom w:w="0" w:type="dxa"/>
            <w:right w:w="108" w:type="dxa"/>
          </w:tblCellMar>
        </w:tblPrEx>
        <w:trPr>
          <w:trHeight w:val="10063" w:hRule="atLeast"/>
          <w:jc w:val="center"/>
        </w:trPr>
        <w:tc>
          <w:tcPr>
            <w:tcW w:w="10877" w:type="dxa"/>
            <w:tcBorders>
              <w:tl2br w:val="nil"/>
              <w:tr2bl w:val="nil"/>
            </w:tcBorders>
          </w:tcPr>
          <w:p>
            <w:pPr>
              <w:spacing w:beforeLines="20" w:line="360" w:lineRule="auto"/>
              <w:rPr>
                <w:sz w:val="24"/>
                <w:szCs w:val="24"/>
              </w:rPr>
            </w:pPr>
            <w:r>
              <w:rPr>
                <w:sz w:val="24"/>
                <w:szCs w:val="24"/>
              </w:rPr>
              <w:t>验收监测期间生产工况记录</w:t>
            </w:r>
          </w:p>
          <w:p>
            <w:pPr>
              <w:spacing w:line="360" w:lineRule="auto"/>
              <w:ind w:firstLine="480" w:firstLineChars="200"/>
              <w:jc w:val="left"/>
              <w:rPr>
                <w:sz w:val="24"/>
                <w:szCs w:val="24"/>
              </w:rPr>
            </w:pPr>
            <w:r>
              <w:rPr>
                <w:sz w:val="24"/>
                <w:szCs w:val="24"/>
              </w:rPr>
              <w:t>验收监测期间，该项目主体工程工况稳定，主要环境保护设施运行正常。其工况具体情况见表7-1。</w:t>
            </w:r>
          </w:p>
          <w:p>
            <w:pPr>
              <w:spacing w:line="360" w:lineRule="auto"/>
              <w:jc w:val="center"/>
            </w:pPr>
            <w:r>
              <w:t>表7-1  监测期间生产负荷统计表</w:t>
            </w:r>
          </w:p>
          <w:tbl>
            <w:tblPr>
              <w:tblStyle w:val="29"/>
              <w:tblW w:w="10473" w:type="dxa"/>
              <w:jc w:val="center"/>
              <w:tblInd w:w="-326"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1592"/>
              <w:gridCol w:w="2363"/>
              <w:gridCol w:w="2139"/>
              <w:gridCol w:w="2319"/>
              <w:gridCol w:w="2060"/>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567" w:hRule="atLeast"/>
                <w:jc w:val="center"/>
              </w:trPr>
              <w:tc>
                <w:tcPr>
                  <w:tcW w:w="1592" w:type="dxa"/>
                  <w:vAlign w:val="center"/>
                </w:tcPr>
                <w:p>
                  <w:pPr>
                    <w:tabs>
                      <w:tab w:val="left" w:pos="615"/>
                    </w:tabs>
                    <w:spacing w:line="360" w:lineRule="auto"/>
                    <w:jc w:val="center"/>
                  </w:pPr>
                  <w:r>
                    <w:t>监测</w:t>
                  </w:r>
                  <w:r>
                    <w:rPr>
                      <w:rFonts w:hint="eastAsia"/>
                    </w:rPr>
                    <w:t>日期</w:t>
                  </w:r>
                </w:p>
              </w:tc>
              <w:tc>
                <w:tcPr>
                  <w:tcW w:w="2363" w:type="dxa"/>
                  <w:vAlign w:val="center"/>
                </w:tcPr>
                <w:p>
                  <w:pPr>
                    <w:jc w:val="center"/>
                  </w:pPr>
                  <w:r>
                    <w:t>产品</w:t>
                  </w:r>
                  <w:r>
                    <w:rPr>
                      <w:rFonts w:hint="eastAsia"/>
                    </w:rPr>
                    <w:t>名称</w:t>
                  </w:r>
                </w:p>
              </w:tc>
              <w:tc>
                <w:tcPr>
                  <w:tcW w:w="2139" w:type="dxa"/>
                  <w:vAlign w:val="center"/>
                </w:tcPr>
                <w:p>
                  <w:pPr>
                    <w:jc w:val="center"/>
                  </w:pPr>
                  <w:r>
                    <w:t>设计生产能力</w:t>
                  </w:r>
                </w:p>
                <w:p>
                  <w:pPr>
                    <w:jc w:val="center"/>
                    <w:rPr>
                      <w:rFonts w:hint="default"/>
                      <w:lang w:val="en-US" w:eastAsia="zh-CN"/>
                    </w:rPr>
                  </w:pPr>
                  <w:r>
                    <w:rPr>
                      <w:rFonts w:hint="eastAsia"/>
                      <w:lang w:eastAsia="zh-CN"/>
                    </w:rPr>
                    <w:t>吨</w:t>
                  </w:r>
                  <w:r>
                    <w:rPr>
                      <w:rFonts w:hint="eastAsia"/>
                      <w:lang w:val="en-US" w:eastAsia="zh-CN"/>
                    </w:rPr>
                    <w:t>/天</w:t>
                  </w:r>
                </w:p>
              </w:tc>
              <w:tc>
                <w:tcPr>
                  <w:tcW w:w="2319" w:type="dxa"/>
                  <w:vAlign w:val="center"/>
                </w:tcPr>
                <w:p>
                  <w:pPr>
                    <w:jc w:val="center"/>
                  </w:pPr>
                  <w:r>
                    <w:t>实际生产能力</w:t>
                  </w:r>
                </w:p>
                <w:p>
                  <w:pPr>
                    <w:jc w:val="center"/>
                    <w:rPr>
                      <w:rFonts w:hint="default"/>
                      <w:lang w:val="en-US" w:eastAsia="zh-CN"/>
                    </w:rPr>
                  </w:pPr>
                  <w:r>
                    <w:rPr>
                      <w:rFonts w:hint="eastAsia"/>
                      <w:lang w:eastAsia="zh-CN"/>
                    </w:rPr>
                    <w:t>吨</w:t>
                  </w:r>
                  <w:r>
                    <w:rPr>
                      <w:rFonts w:hint="eastAsia"/>
                      <w:lang w:val="en-US" w:eastAsia="zh-CN"/>
                    </w:rPr>
                    <w:t>/天</w:t>
                  </w:r>
                </w:p>
              </w:tc>
              <w:tc>
                <w:tcPr>
                  <w:tcW w:w="2060" w:type="dxa"/>
                  <w:vAlign w:val="center"/>
                </w:tcPr>
                <w:p>
                  <w:pPr>
                    <w:jc w:val="center"/>
                  </w:pPr>
                  <w:r>
                    <w:t>生产负荷</w:t>
                  </w:r>
                  <w:r>
                    <w:rPr>
                      <w:rFonts w:hint="default"/>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42" w:hRule="atLeast"/>
                <w:jc w:val="center"/>
              </w:trPr>
              <w:tc>
                <w:tcPr>
                  <w:tcW w:w="1592" w:type="dxa"/>
                  <w:vMerge w:val="restart"/>
                  <w:vAlign w:val="center"/>
                </w:tcPr>
                <w:p>
                  <w:pPr>
                    <w:tabs>
                      <w:tab w:val="left" w:pos="615"/>
                    </w:tabs>
                    <w:spacing w:line="360" w:lineRule="auto"/>
                    <w:jc w:val="center"/>
                    <w:rPr>
                      <w:rFonts w:hint="default"/>
                      <w:lang w:val="en-US" w:eastAsia="zh-CN"/>
                    </w:rPr>
                  </w:pPr>
                  <w:r>
                    <w:t>201</w:t>
                  </w:r>
                  <w:r>
                    <w:rPr>
                      <w:rFonts w:hint="eastAsia"/>
                    </w:rPr>
                    <w:t>9</w:t>
                  </w:r>
                  <w:r>
                    <w:t>.</w:t>
                  </w:r>
                  <w:r>
                    <w:rPr>
                      <w:rFonts w:hint="eastAsia"/>
                      <w:lang w:val="en-US" w:eastAsia="zh-CN"/>
                    </w:rPr>
                    <w:t>11.25</w:t>
                  </w:r>
                </w:p>
              </w:tc>
              <w:tc>
                <w:tcPr>
                  <w:tcW w:w="2363" w:type="dxa"/>
                  <w:vAlign w:val="center"/>
                </w:tcPr>
                <w:p>
                  <w:pPr>
                    <w:tabs>
                      <w:tab w:val="left" w:pos="364"/>
                      <w:tab w:val="left" w:pos="615"/>
                      <w:tab w:val="center" w:pos="975"/>
                    </w:tabs>
                    <w:spacing w:line="360" w:lineRule="auto"/>
                    <w:jc w:val="center"/>
                    <w:rPr>
                      <w:rFonts w:hint="default"/>
                      <w:lang w:val="en-US" w:eastAsia="zh-CN"/>
                    </w:rPr>
                  </w:pPr>
                  <w:r>
                    <w:rPr>
                      <w:rFonts w:hint="default"/>
                    </w:rPr>
                    <w:t>片剂</w:t>
                  </w:r>
                </w:p>
              </w:tc>
              <w:tc>
                <w:tcPr>
                  <w:tcW w:w="2139" w:type="dxa"/>
                  <w:vAlign w:val="center"/>
                </w:tcPr>
                <w:p>
                  <w:pPr>
                    <w:tabs>
                      <w:tab w:val="left" w:pos="615"/>
                    </w:tabs>
                    <w:spacing w:line="360" w:lineRule="auto"/>
                    <w:jc w:val="center"/>
                    <w:rPr>
                      <w:rFonts w:hint="default"/>
                      <w:lang w:val="en-US" w:eastAsia="zh-CN"/>
                    </w:rPr>
                  </w:pPr>
                  <w:r>
                    <w:rPr>
                      <w:rFonts w:hint="eastAsia"/>
                      <w:lang w:val="en-US" w:eastAsia="zh-CN"/>
                    </w:rPr>
                    <w:t>0.016</w:t>
                  </w:r>
                </w:p>
              </w:tc>
              <w:tc>
                <w:tcPr>
                  <w:tcW w:w="2319" w:type="dxa"/>
                  <w:vAlign w:val="center"/>
                </w:tcPr>
                <w:p>
                  <w:pPr>
                    <w:tabs>
                      <w:tab w:val="left" w:pos="615"/>
                    </w:tabs>
                    <w:spacing w:line="360" w:lineRule="auto"/>
                    <w:jc w:val="center"/>
                    <w:rPr>
                      <w:rFonts w:hint="default"/>
                      <w:lang w:val="en-US" w:eastAsia="zh-CN"/>
                    </w:rPr>
                  </w:pPr>
                  <w:r>
                    <w:rPr>
                      <w:rFonts w:hint="eastAsia"/>
                      <w:lang w:val="en-US" w:eastAsia="zh-CN"/>
                    </w:rPr>
                    <w:t>0.013</w:t>
                  </w:r>
                </w:p>
              </w:tc>
              <w:tc>
                <w:tcPr>
                  <w:tcW w:w="2060" w:type="dxa"/>
                  <w:vAlign w:val="center"/>
                </w:tcPr>
                <w:p>
                  <w:pPr>
                    <w:tabs>
                      <w:tab w:val="left" w:pos="615"/>
                    </w:tabs>
                    <w:spacing w:line="360" w:lineRule="auto"/>
                    <w:jc w:val="center"/>
                    <w:rPr>
                      <w:rFonts w:hint="default"/>
                      <w:lang w:val="en-US" w:eastAsia="zh-CN"/>
                    </w:rPr>
                  </w:pPr>
                  <w:r>
                    <w:rPr>
                      <w:rFonts w:hint="eastAsia"/>
                      <w:lang w:val="en-US" w:eastAsia="zh-CN"/>
                    </w:rPr>
                    <w:t>81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42" w:hRule="atLeast"/>
                <w:jc w:val="center"/>
              </w:trPr>
              <w:tc>
                <w:tcPr>
                  <w:tcW w:w="1592" w:type="dxa"/>
                  <w:vMerge w:val="continue"/>
                  <w:vAlign w:val="center"/>
                </w:tcPr>
                <w:p>
                  <w:pPr>
                    <w:tabs>
                      <w:tab w:val="left" w:pos="364"/>
                      <w:tab w:val="left" w:pos="615"/>
                      <w:tab w:val="center" w:pos="975"/>
                    </w:tabs>
                    <w:spacing w:line="360" w:lineRule="auto"/>
                    <w:jc w:val="center"/>
                  </w:pPr>
                </w:p>
              </w:tc>
              <w:tc>
                <w:tcPr>
                  <w:tcW w:w="2363" w:type="dxa"/>
                  <w:vAlign w:val="center"/>
                </w:tcPr>
                <w:p>
                  <w:pPr>
                    <w:tabs>
                      <w:tab w:val="left" w:pos="364"/>
                      <w:tab w:val="left" w:pos="615"/>
                      <w:tab w:val="center" w:pos="975"/>
                    </w:tabs>
                    <w:spacing w:line="360" w:lineRule="auto"/>
                    <w:jc w:val="center"/>
                    <w:rPr>
                      <w:rFonts w:hint="eastAsia"/>
                      <w:lang w:val="en-US" w:eastAsia="zh-CN"/>
                    </w:rPr>
                  </w:pPr>
                  <w:r>
                    <w:rPr>
                      <w:rFonts w:hint="default"/>
                    </w:rPr>
                    <w:t>口服液</w:t>
                  </w:r>
                </w:p>
              </w:tc>
              <w:tc>
                <w:tcPr>
                  <w:tcW w:w="2139" w:type="dxa"/>
                  <w:vAlign w:val="center"/>
                </w:tcPr>
                <w:p>
                  <w:pPr>
                    <w:tabs>
                      <w:tab w:val="left" w:pos="364"/>
                      <w:tab w:val="left" w:pos="615"/>
                      <w:tab w:val="center" w:pos="975"/>
                    </w:tabs>
                    <w:spacing w:line="360" w:lineRule="auto"/>
                    <w:jc w:val="center"/>
                    <w:rPr>
                      <w:rFonts w:hint="default"/>
                      <w:lang w:val="en-US" w:eastAsia="zh-CN"/>
                    </w:rPr>
                  </w:pPr>
                  <w:r>
                    <w:rPr>
                      <w:rFonts w:hint="eastAsia"/>
                      <w:lang w:val="en-US" w:eastAsia="zh-CN"/>
                    </w:rPr>
                    <w:t>0.33</w:t>
                  </w:r>
                </w:p>
              </w:tc>
              <w:tc>
                <w:tcPr>
                  <w:tcW w:w="2319" w:type="dxa"/>
                  <w:vAlign w:val="center"/>
                </w:tcPr>
                <w:p>
                  <w:pPr>
                    <w:tabs>
                      <w:tab w:val="left" w:pos="364"/>
                      <w:tab w:val="left" w:pos="615"/>
                      <w:tab w:val="center" w:pos="975"/>
                    </w:tabs>
                    <w:spacing w:line="360" w:lineRule="auto"/>
                    <w:jc w:val="center"/>
                    <w:rPr>
                      <w:rFonts w:hint="default"/>
                      <w:lang w:val="en-US" w:eastAsia="zh-CN"/>
                    </w:rPr>
                  </w:pPr>
                  <w:r>
                    <w:rPr>
                      <w:rFonts w:hint="eastAsia"/>
                      <w:lang w:val="en-US" w:eastAsia="zh-CN"/>
                    </w:rPr>
                    <w:t>0.28</w:t>
                  </w:r>
                </w:p>
              </w:tc>
              <w:tc>
                <w:tcPr>
                  <w:tcW w:w="2060" w:type="dxa"/>
                  <w:vAlign w:val="center"/>
                </w:tcPr>
                <w:p>
                  <w:pPr>
                    <w:tabs>
                      <w:tab w:val="left" w:pos="364"/>
                      <w:tab w:val="left" w:pos="615"/>
                      <w:tab w:val="center" w:pos="975"/>
                    </w:tabs>
                    <w:spacing w:line="360" w:lineRule="auto"/>
                    <w:jc w:val="center"/>
                    <w:rPr>
                      <w:rFonts w:hint="default"/>
                      <w:lang w:val="en-US" w:eastAsia="zh-CN"/>
                    </w:rPr>
                  </w:pPr>
                  <w:r>
                    <w:rPr>
                      <w:rFonts w:hint="eastAsia"/>
                      <w:lang w:val="en-US" w:eastAsia="zh-CN"/>
                    </w:rPr>
                    <w:t>85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07" w:hRule="atLeast"/>
                <w:jc w:val="center"/>
              </w:trPr>
              <w:tc>
                <w:tcPr>
                  <w:tcW w:w="1592" w:type="dxa"/>
                  <w:vMerge w:val="restart"/>
                  <w:vAlign w:val="center"/>
                </w:tcPr>
                <w:p>
                  <w:pPr>
                    <w:tabs>
                      <w:tab w:val="left" w:pos="615"/>
                    </w:tabs>
                    <w:spacing w:line="360" w:lineRule="auto"/>
                    <w:jc w:val="center"/>
                    <w:rPr>
                      <w:rFonts w:hint="default"/>
                      <w:lang w:val="en-US" w:eastAsia="zh-CN"/>
                    </w:rPr>
                  </w:pPr>
                  <w:r>
                    <w:rPr>
                      <w:rFonts w:hint="eastAsia"/>
                    </w:rPr>
                    <w:t>2019.</w:t>
                  </w:r>
                  <w:r>
                    <w:rPr>
                      <w:rFonts w:hint="eastAsia"/>
                      <w:lang w:val="en-US" w:eastAsia="zh-CN"/>
                    </w:rPr>
                    <w:t>11.26</w:t>
                  </w:r>
                </w:p>
              </w:tc>
              <w:tc>
                <w:tcPr>
                  <w:tcW w:w="2363" w:type="dxa"/>
                  <w:vAlign w:val="center"/>
                </w:tcPr>
                <w:p>
                  <w:pPr>
                    <w:tabs>
                      <w:tab w:val="left" w:pos="364"/>
                      <w:tab w:val="left" w:pos="615"/>
                      <w:tab w:val="center" w:pos="975"/>
                    </w:tabs>
                    <w:spacing w:line="360" w:lineRule="auto"/>
                    <w:jc w:val="center"/>
                  </w:pPr>
                  <w:r>
                    <w:rPr>
                      <w:rFonts w:hint="default"/>
                    </w:rPr>
                    <w:t>片剂</w:t>
                  </w:r>
                </w:p>
              </w:tc>
              <w:tc>
                <w:tcPr>
                  <w:tcW w:w="2139" w:type="dxa"/>
                  <w:vAlign w:val="center"/>
                </w:tcPr>
                <w:p>
                  <w:pPr>
                    <w:tabs>
                      <w:tab w:val="left" w:pos="615"/>
                    </w:tabs>
                    <w:spacing w:line="360" w:lineRule="auto"/>
                    <w:jc w:val="center"/>
                  </w:pPr>
                  <w:r>
                    <w:rPr>
                      <w:rFonts w:hint="eastAsia"/>
                      <w:lang w:val="en-US" w:eastAsia="zh-CN"/>
                    </w:rPr>
                    <w:t>0.016</w:t>
                  </w:r>
                </w:p>
              </w:tc>
              <w:tc>
                <w:tcPr>
                  <w:tcW w:w="2319" w:type="dxa"/>
                  <w:vAlign w:val="center"/>
                </w:tcPr>
                <w:p>
                  <w:pPr>
                    <w:tabs>
                      <w:tab w:val="left" w:pos="615"/>
                    </w:tabs>
                    <w:spacing w:line="360" w:lineRule="auto"/>
                    <w:jc w:val="center"/>
                    <w:rPr>
                      <w:rFonts w:hint="default"/>
                      <w:lang w:val="en-US" w:eastAsia="zh-CN"/>
                    </w:rPr>
                  </w:pPr>
                  <w:r>
                    <w:rPr>
                      <w:rFonts w:hint="eastAsia"/>
                      <w:lang w:val="en-US" w:eastAsia="zh-CN"/>
                    </w:rPr>
                    <w:t>0.014</w:t>
                  </w:r>
                </w:p>
              </w:tc>
              <w:tc>
                <w:tcPr>
                  <w:tcW w:w="2060" w:type="dxa"/>
                  <w:vAlign w:val="center"/>
                </w:tcPr>
                <w:p>
                  <w:pPr>
                    <w:tabs>
                      <w:tab w:val="left" w:pos="615"/>
                    </w:tabs>
                    <w:spacing w:line="360" w:lineRule="auto"/>
                    <w:jc w:val="center"/>
                    <w:rPr>
                      <w:rFonts w:hint="default"/>
                      <w:lang w:val="en-US" w:eastAsia="zh-CN"/>
                    </w:rPr>
                  </w:pPr>
                  <w:r>
                    <w:rPr>
                      <w:rFonts w:hint="eastAsia"/>
                      <w:lang w:val="en-US" w:eastAsia="zh-CN"/>
                    </w:rPr>
                    <w:t>87.5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07" w:hRule="atLeast"/>
                <w:jc w:val="center"/>
              </w:trPr>
              <w:tc>
                <w:tcPr>
                  <w:tcW w:w="1592" w:type="dxa"/>
                  <w:vMerge w:val="continue"/>
                  <w:vAlign w:val="center"/>
                </w:tcPr>
                <w:p>
                  <w:pPr>
                    <w:tabs>
                      <w:tab w:val="left" w:pos="615"/>
                    </w:tabs>
                    <w:spacing w:line="360" w:lineRule="auto"/>
                    <w:jc w:val="center"/>
                  </w:pPr>
                </w:p>
              </w:tc>
              <w:tc>
                <w:tcPr>
                  <w:tcW w:w="2363" w:type="dxa"/>
                  <w:vAlign w:val="center"/>
                </w:tcPr>
                <w:p>
                  <w:pPr>
                    <w:tabs>
                      <w:tab w:val="left" w:pos="364"/>
                      <w:tab w:val="left" w:pos="615"/>
                      <w:tab w:val="center" w:pos="975"/>
                    </w:tabs>
                    <w:spacing w:line="360" w:lineRule="auto"/>
                    <w:jc w:val="center"/>
                  </w:pPr>
                  <w:r>
                    <w:rPr>
                      <w:rFonts w:hint="default"/>
                    </w:rPr>
                    <w:t>口服液</w:t>
                  </w:r>
                </w:p>
              </w:tc>
              <w:tc>
                <w:tcPr>
                  <w:tcW w:w="2139" w:type="dxa"/>
                  <w:vAlign w:val="center"/>
                </w:tcPr>
                <w:p>
                  <w:pPr>
                    <w:tabs>
                      <w:tab w:val="left" w:pos="364"/>
                      <w:tab w:val="left" w:pos="615"/>
                      <w:tab w:val="center" w:pos="975"/>
                    </w:tabs>
                    <w:spacing w:line="360" w:lineRule="auto"/>
                    <w:jc w:val="center"/>
                  </w:pPr>
                  <w:r>
                    <w:rPr>
                      <w:rFonts w:hint="eastAsia"/>
                      <w:lang w:val="en-US" w:eastAsia="zh-CN"/>
                    </w:rPr>
                    <w:t>0.33</w:t>
                  </w:r>
                </w:p>
              </w:tc>
              <w:tc>
                <w:tcPr>
                  <w:tcW w:w="2319" w:type="dxa"/>
                  <w:vAlign w:val="center"/>
                </w:tcPr>
                <w:p>
                  <w:pPr>
                    <w:tabs>
                      <w:tab w:val="left" w:pos="615"/>
                    </w:tabs>
                    <w:spacing w:line="360" w:lineRule="auto"/>
                    <w:jc w:val="center"/>
                    <w:rPr>
                      <w:rFonts w:hint="default"/>
                      <w:lang w:val="en-US" w:eastAsia="zh-CN"/>
                    </w:rPr>
                  </w:pPr>
                  <w:r>
                    <w:rPr>
                      <w:rFonts w:hint="eastAsia"/>
                      <w:lang w:val="en-US" w:eastAsia="zh-CN"/>
                    </w:rPr>
                    <w:t>0.27</w:t>
                  </w:r>
                </w:p>
              </w:tc>
              <w:tc>
                <w:tcPr>
                  <w:tcW w:w="2060" w:type="dxa"/>
                  <w:vAlign w:val="center"/>
                </w:tcPr>
                <w:p>
                  <w:pPr>
                    <w:tabs>
                      <w:tab w:val="left" w:pos="364"/>
                      <w:tab w:val="left" w:pos="615"/>
                      <w:tab w:val="center" w:pos="975"/>
                    </w:tabs>
                    <w:spacing w:line="360" w:lineRule="auto"/>
                    <w:jc w:val="center"/>
                    <w:rPr>
                      <w:rFonts w:hint="default"/>
                      <w:lang w:val="en-US"/>
                    </w:rPr>
                  </w:pPr>
                  <w:r>
                    <w:rPr>
                      <w:rFonts w:hint="eastAsia"/>
                      <w:lang w:val="en-US" w:eastAsia="zh-CN"/>
                    </w:rPr>
                    <w:t>82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山东安特牧业科技有限公司兽药扩建项目，现生产平稳，质量稳定。验收监测期间，符合验收监测应在工况稳定、生产负荷达设计生产能力的</w:t>
            </w:r>
            <w:r>
              <w:rPr>
                <w:rFonts w:hint="default"/>
                <w:sz w:val="24"/>
                <w:szCs w:val="24"/>
                <w:lang w:val="en-US" w:eastAsia="zh-CN"/>
              </w:rPr>
              <w:t>75%</w:t>
            </w:r>
            <w:r>
              <w:rPr>
                <w:rFonts w:hint="eastAsia"/>
                <w:sz w:val="24"/>
                <w:szCs w:val="24"/>
                <w:lang w:val="en-US" w:eastAsia="zh-CN"/>
              </w:rPr>
              <w:t>以上的要求。</w:t>
            </w:r>
          </w:p>
          <w:p>
            <w:pPr>
              <w:spacing w:line="360" w:lineRule="auto"/>
              <w:jc w:val="left"/>
              <w:rPr>
                <w:sz w:val="24"/>
                <w:szCs w:val="24"/>
              </w:rPr>
            </w:pPr>
            <w:r>
              <w:rPr>
                <w:sz w:val="24"/>
                <w:szCs w:val="24"/>
              </w:rPr>
              <w:t>验收监测结果</w:t>
            </w:r>
          </w:p>
          <w:p>
            <w:pPr>
              <w:pStyle w:val="43"/>
              <w:spacing w:line="360" w:lineRule="auto"/>
              <w:ind w:firstLine="0" w:firstLineChars="0"/>
              <w:jc w:val="left"/>
              <w:rPr>
                <w:sz w:val="24"/>
                <w:szCs w:val="24"/>
              </w:rPr>
            </w:pPr>
            <w:r>
              <w:rPr>
                <w:rFonts w:hint="eastAsia"/>
                <w:sz w:val="24"/>
                <w:szCs w:val="24"/>
              </w:rPr>
              <w:t>1、废气监测结果及评价</w:t>
            </w:r>
          </w:p>
          <w:p>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default"/>
                <w:sz w:val="24"/>
                <w:szCs w:val="24"/>
                <w:lang w:eastAsia="zh-CN"/>
              </w:rPr>
              <w:t>（</w:t>
            </w:r>
            <w:r>
              <w:rPr>
                <w:rFonts w:hint="default"/>
                <w:sz w:val="24"/>
                <w:szCs w:val="24"/>
                <w:lang w:val="en-US" w:eastAsia="zh-CN"/>
              </w:rPr>
              <w:t>1</w:t>
            </w:r>
            <w:r>
              <w:rPr>
                <w:rFonts w:hint="default"/>
                <w:sz w:val="24"/>
                <w:szCs w:val="24"/>
                <w:lang w:eastAsia="zh-CN"/>
              </w:rPr>
              <w:t>）</w:t>
            </w:r>
            <w:r>
              <w:rPr>
                <w:sz w:val="24"/>
                <w:szCs w:val="24"/>
              </w:rPr>
              <w:t>本项目</w:t>
            </w:r>
            <w:r>
              <w:rPr>
                <w:rFonts w:hint="eastAsia"/>
                <w:sz w:val="24"/>
                <w:szCs w:val="24"/>
              </w:rPr>
              <w:t>有组织废气监测结果见表7-2，</w:t>
            </w:r>
            <w:r>
              <w:rPr>
                <w:sz w:val="24"/>
                <w:szCs w:val="24"/>
              </w:rPr>
              <w:t>无组织废气监测结果见表7-</w:t>
            </w:r>
            <w:r>
              <w:rPr>
                <w:rFonts w:hint="eastAsia"/>
                <w:sz w:val="24"/>
                <w:szCs w:val="24"/>
              </w:rPr>
              <w:t>3</w:t>
            </w:r>
            <w:r>
              <w:rPr>
                <w:rFonts w:hint="eastAsia"/>
                <w:sz w:val="24"/>
                <w:szCs w:val="24"/>
                <w:lang w:eastAsia="zh-CN"/>
              </w:rPr>
              <w:t>，无组织废气</w:t>
            </w:r>
            <w:r>
              <w:rPr>
                <w:rFonts w:hint="eastAsia"/>
                <w:sz w:val="24"/>
                <w:szCs w:val="24"/>
              </w:rPr>
              <w:t>检测期间气象参数统计表</w:t>
            </w:r>
            <w:r>
              <w:rPr>
                <w:rFonts w:hint="eastAsia"/>
                <w:sz w:val="24"/>
                <w:szCs w:val="24"/>
                <w:lang w:val="en-US" w:eastAsia="zh-CN"/>
              </w:rPr>
              <w:t>7-4。</w:t>
            </w:r>
          </w:p>
          <w:p>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 w:leftChars="0"/>
              <w:jc w:val="center"/>
              <w:textAlignment w:val="auto"/>
              <w:rPr>
                <w:sz w:val="24"/>
                <w:szCs w:val="24"/>
              </w:rPr>
            </w:pPr>
            <w:r>
              <w:rPr>
                <w:sz w:val="24"/>
                <w:szCs w:val="24"/>
              </w:rPr>
              <w:t>表</w:t>
            </w:r>
            <w:r>
              <w:rPr>
                <w:rFonts w:hint="eastAsia"/>
                <w:sz w:val="24"/>
                <w:szCs w:val="24"/>
              </w:rPr>
              <w:t>7-2 有</w:t>
            </w:r>
            <w:r>
              <w:rPr>
                <w:sz w:val="24"/>
                <w:szCs w:val="24"/>
              </w:rPr>
              <w:t>组织废气检测结果</w:t>
            </w:r>
          </w:p>
          <w:tbl>
            <w:tblPr>
              <w:tblStyle w:val="29"/>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470"/>
              <w:gridCol w:w="1620"/>
              <w:gridCol w:w="1320"/>
              <w:gridCol w:w="960"/>
              <w:gridCol w:w="1110"/>
              <w:gridCol w:w="1260"/>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blHeader/>
              </w:trPr>
              <w:tc>
                <w:tcPr>
                  <w:tcW w:w="1209" w:type="dxa"/>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采样日期</w:t>
                  </w:r>
                </w:p>
              </w:tc>
              <w:tc>
                <w:tcPr>
                  <w:tcW w:w="3090" w:type="dxa"/>
                  <w:gridSpan w:val="2"/>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检测点位</w:t>
                  </w:r>
                </w:p>
              </w:tc>
              <w:tc>
                <w:tcPr>
                  <w:tcW w:w="1320" w:type="dxa"/>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检测项目</w:t>
                  </w:r>
                </w:p>
              </w:tc>
              <w:tc>
                <w:tcPr>
                  <w:tcW w:w="960" w:type="dxa"/>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检测频次</w:t>
                  </w:r>
                </w:p>
              </w:tc>
              <w:tc>
                <w:tcPr>
                  <w:tcW w:w="1110" w:type="dxa"/>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检测浓度（mg/m3）</w:t>
                  </w:r>
                </w:p>
              </w:tc>
              <w:tc>
                <w:tcPr>
                  <w:tcW w:w="1260" w:type="dxa"/>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标干流量</w:t>
                  </w:r>
                  <w:r>
                    <w:rPr>
                      <w:rFonts w:hint="eastAsia" w:asciiTheme="minorHAnsi" w:hAnsiTheme="minorHAnsi" w:eastAsiaTheme="minorEastAsia" w:cstheme="minorBidi"/>
                      <w:kern w:val="2"/>
                      <w:sz w:val="21"/>
                      <w:szCs w:val="21"/>
                      <w:lang w:val="en-US" w:eastAsia="zh-CN" w:bidi="ar-SA"/>
                    </w:rPr>
                    <w:t>（Nd</w:t>
                  </w:r>
                  <w:r>
                    <w:rPr>
                      <w:rFonts w:hint="default" w:asciiTheme="minorHAnsi" w:hAnsiTheme="minorHAnsi" w:eastAsiaTheme="minorEastAsia" w:cstheme="minorBidi"/>
                      <w:kern w:val="2"/>
                      <w:sz w:val="21"/>
                      <w:szCs w:val="21"/>
                      <w:lang w:val="en-US" w:eastAsia="zh-CN" w:bidi="ar-SA"/>
                    </w:rPr>
                    <w:t>m3/h</w:t>
                  </w:r>
                  <w:r>
                    <w:rPr>
                      <w:rFonts w:hint="eastAsia" w:asciiTheme="minorHAnsi" w:hAnsiTheme="minorHAnsi" w:eastAsiaTheme="minorEastAsia" w:cstheme="minorBidi"/>
                      <w:kern w:val="2"/>
                      <w:sz w:val="21"/>
                      <w:szCs w:val="21"/>
                      <w:lang w:val="en-US" w:eastAsia="zh-CN" w:bidi="ar-SA"/>
                    </w:rPr>
                    <w:t>）</w:t>
                  </w:r>
                </w:p>
              </w:tc>
              <w:tc>
                <w:tcPr>
                  <w:tcW w:w="1013" w:type="dxa"/>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09" w:type="dxa"/>
                  <w:vMerge w:val="restart"/>
                  <w:vAlign w:val="center"/>
                </w:tcPr>
                <w:p>
                  <w:pPr>
                    <w:pStyle w:val="2"/>
                    <w:spacing w:line="240" w:lineRule="auto"/>
                    <w:ind w:left="0" w:leftChars="0" w:firstLine="0" w:firstLineChars="0"/>
                    <w:jc w:val="both"/>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2019.11.2</w:t>
                  </w:r>
                  <w:r>
                    <w:rPr>
                      <w:rFonts w:hint="eastAsia" w:asciiTheme="minorHAnsi" w:hAnsiTheme="minorHAnsi" w:eastAsiaTheme="minorEastAsia" w:cstheme="minorBidi"/>
                      <w:kern w:val="2"/>
                      <w:sz w:val="21"/>
                      <w:szCs w:val="21"/>
                      <w:lang w:val="en-US" w:eastAsia="zh-CN" w:bidi="ar-SA"/>
                    </w:rPr>
                    <w:t>5</w:t>
                  </w:r>
                </w:p>
              </w:tc>
              <w:tc>
                <w:tcPr>
                  <w:tcW w:w="1470" w:type="dxa"/>
                  <w:vMerge w:val="restart"/>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G1口服液、称量、混合、整粒、压片生产工序排气筒</w:t>
                  </w:r>
                </w:p>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H=15m</w:t>
                  </w:r>
                </w:p>
              </w:tc>
              <w:tc>
                <w:tcPr>
                  <w:tcW w:w="1620" w:type="dxa"/>
                  <w:vMerge w:val="restart"/>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布袋除尘+光氧催化+活性炭设备处理出口2#</w:t>
                  </w:r>
                </w:p>
                <w:p>
                  <w:pPr>
                    <w:ind w:firstLine="210" w:firstLineChars="100"/>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D=</w:t>
                  </w:r>
                  <w:r>
                    <w:rPr>
                      <w:rFonts w:hint="eastAsia" w:asciiTheme="minorHAnsi" w:hAnsiTheme="minorHAnsi" w:eastAsiaTheme="minorEastAsia" w:cstheme="minorBidi"/>
                      <w:kern w:val="2"/>
                      <w:sz w:val="21"/>
                      <w:szCs w:val="21"/>
                      <w:lang w:val="en-US" w:eastAsia="zh-CN" w:bidi="ar-SA"/>
                    </w:rPr>
                    <w:t>4</w:t>
                  </w:r>
                  <w:r>
                    <w:rPr>
                      <w:rFonts w:hint="default" w:asciiTheme="minorHAnsi" w:hAnsiTheme="minorHAnsi" w:eastAsiaTheme="minorEastAsia" w:cstheme="minorBidi"/>
                      <w:kern w:val="2"/>
                      <w:sz w:val="21"/>
                      <w:szCs w:val="21"/>
                      <w:lang w:val="en-US" w:eastAsia="zh-CN" w:bidi="ar-SA"/>
                    </w:rPr>
                    <w:t>0cm</w:t>
                  </w:r>
                </w:p>
              </w:tc>
              <w:tc>
                <w:tcPr>
                  <w:tcW w:w="1320" w:type="dxa"/>
                  <w:vMerge w:val="restart"/>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颗粒物</w:t>
                  </w:r>
                </w:p>
              </w:tc>
              <w:tc>
                <w:tcPr>
                  <w:tcW w:w="960" w:type="dxa"/>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频次一</w:t>
                  </w:r>
                </w:p>
              </w:tc>
              <w:tc>
                <w:tcPr>
                  <w:tcW w:w="111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3.8</w:t>
                  </w:r>
                </w:p>
              </w:tc>
              <w:tc>
                <w:tcPr>
                  <w:tcW w:w="126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10340</w:t>
                  </w:r>
                </w:p>
              </w:tc>
              <w:tc>
                <w:tcPr>
                  <w:tcW w:w="1013"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 xml:space="preserve">0.039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09" w:type="dxa"/>
                  <w:vMerge w:val="continue"/>
                  <w:vAlign w:val="center"/>
                </w:tcPr>
                <w:p>
                  <w:pPr>
                    <w:pStyle w:val="2"/>
                    <w:spacing w:line="240" w:lineRule="auto"/>
                    <w:ind w:firstLine="420" w:firstLineChars="200"/>
                    <w:jc w:val="center"/>
                    <w:rPr>
                      <w:rFonts w:hint="default" w:asciiTheme="minorHAnsi" w:hAnsiTheme="minorHAnsi" w:eastAsiaTheme="minorEastAsia" w:cstheme="minorBidi"/>
                      <w:kern w:val="2"/>
                      <w:sz w:val="21"/>
                      <w:szCs w:val="21"/>
                      <w:lang w:val="en-US" w:eastAsia="zh-CN" w:bidi="ar-SA"/>
                    </w:rPr>
                  </w:pPr>
                </w:p>
              </w:tc>
              <w:tc>
                <w:tcPr>
                  <w:tcW w:w="1470" w:type="dxa"/>
                  <w:vMerge w:val="continue"/>
                  <w:vAlign w:val="center"/>
                </w:tcPr>
                <w:p>
                  <w:pPr>
                    <w:pStyle w:val="2"/>
                    <w:spacing w:line="240" w:lineRule="auto"/>
                    <w:ind w:firstLine="420" w:firstLineChars="200"/>
                    <w:jc w:val="center"/>
                    <w:rPr>
                      <w:rFonts w:hint="default" w:asciiTheme="minorHAnsi" w:hAnsiTheme="minorHAnsi" w:eastAsiaTheme="minorEastAsia" w:cstheme="minorBidi"/>
                      <w:kern w:val="2"/>
                      <w:sz w:val="21"/>
                      <w:szCs w:val="21"/>
                      <w:lang w:val="en-US" w:eastAsia="zh-CN" w:bidi="ar-SA"/>
                    </w:rPr>
                  </w:pPr>
                </w:p>
              </w:tc>
              <w:tc>
                <w:tcPr>
                  <w:tcW w:w="1620" w:type="dxa"/>
                  <w:vMerge w:val="continue"/>
                  <w:vAlign w:val="center"/>
                </w:tcPr>
                <w:p>
                  <w:pPr>
                    <w:pStyle w:val="2"/>
                    <w:spacing w:line="240" w:lineRule="auto"/>
                    <w:ind w:firstLine="420" w:firstLineChars="200"/>
                    <w:jc w:val="center"/>
                    <w:rPr>
                      <w:rFonts w:hint="default" w:asciiTheme="minorHAnsi" w:hAnsiTheme="minorHAnsi" w:eastAsiaTheme="minorEastAsia" w:cstheme="minorBidi"/>
                      <w:kern w:val="2"/>
                      <w:sz w:val="21"/>
                      <w:szCs w:val="21"/>
                      <w:lang w:val="en-US" w:eastAsia="zh-CN" w:bidi="ar-SA"/>
                    </w:rPr>
                  </w:pPr>
                </w:p>
              </w:tc>
              <w:tc>
                <w:tcPr>
                  <w:tcW w:w="1320" w:type="dxa"/>
                  <w:vMerge w:val="continue"/>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p>
              </w:tc>
              <w:tc>
                <w:tcPr>
                  <w:tcW w:w="96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频次二</w:t>
                  </w:r>
                </w:p>
              </w:tc>
              <w:tc>
                <w:tcPr>
                  <w:tcW w:w="111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3.5</w:t>
                  </w:r>
                </w:p>
              </w:tc>
              <w:tc>
                <w:tcPr>
                  <w:tcW w:w="126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10177</w:t>
                  </w:r>
                </w:p>
              </w:tc>
              <w:tc>
                <w:tcPr>
                  <w:tcW w:w="1013"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 xml:space="preserve">0.036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09" w:type="dxa"/>
                  <w:vMerge w:val="continue"/>
                  <w:vAlign w:val="center"/>
                </w:tcPr>
                <w:p>
                  <w:pPr>
                    <w:pStyle w:val="2"/>
                    <w:spacing w:line="240" w:lineRule="auto"/>
                    <w:ind w:firstLine="420" w:firstLineChars="200"/>
                    <w:jc w:val="center"/>
                    <w:rPr>
                      <w:rFonts w:hint="default" w:asciiTheme="minorHAnsi" w:hAnsiTheme="minorHAnsi" w:eastAsiaTheme="minorEastAsia" w:cstheme="minorBidi"/>
                      <w:kern w:val="2"/>
                      <w:sz w:val="21"/>
                      <w:szCs w:val="21"/>
                      <w:lang w:val="en-US" w:eastAsia="zh-CN" w:bidi="ar-SA"/>
                    </w:rPr>
                  </w:pPr>
                </w:p>
              </w:tc>
              <w:tc>
                <w:tcPr>
                  <w:tcW w:w="1470" w:type="dxa"/>
                  <w:vMerge w:val="continue"/>
                  <w:vAlign w:val="center"/>
                </w:tcPr>
                <w:p>
                  <w:pPr>
                    <w:pStyle w:val="2"/>
                    <w:spacing w:line="240" w:lineRule="auto"/>
                    <w:ind w:firstLine="420" w:firstLineChars="200"/>
                    <w:jc w:val="center"/>
                    <w:rPr>
                      <w:rFonts w:hint="default" w:asciiTheme="minorHAnsi" w:hAnsiTheme="minorHAnsi" w:eastAsiaTheme="minorEastAsia" w:cstheme="minorBidi"/>
                      <w:kern w:val="2"/>
                      <w:sz w:val="21"/>
                      <w:szCs w:val="21"/>
                      <w:lang w:val="en-US" w:eastAsia="zh-CN" w:bidi="ar-SA"/>
                    </w:rPr>
                  </w:pPr>
                </w:p>
              </w:tc>
              <w:tc>
                <w:tcPr>
                  <w:tcW w:w="1620" w:type="dxa"/>
                  <w:vMerge w:val="continue"/>
                  <w:vAlign w:val="center"/>
                </w:tcPr>
                <w:p>
                  <w:pPr>
                    <w:pStyle w:val="2"/>
                    <w:spacing w:line="240" w:lineRule="auto"/>
                    <w:ind w:firstLine="420" w:firstLineChars="200"/>
                    <w:jc w:val="center"/>
                    <w:rPr>
                      <w:rFonts w:hint="default" w:asciiTheme="minorHAnsi" w:hAnsiTheme="minorHAnsi" w:eastAsiaTheme="minorEastAsia" w:cstheme="minorBidi"/>
                      <w:kern w:val="2"/>
                      <w:sz w:val="21"/>
                      <w:szCs w:val="21"/>
                      <w:lang w:val="en-US" w:eastAsia="zh-CN" w:bidi="ar-SA"/>
                    </w:rPr>
                  </w:pPr>
                </w:p>
              </w:tc>
              <w:tc>
                <w:tcPr>
                  <w:tcW w:w="1320" w:type="dxa"/>
                  <w:vMerge w:val="continue"/>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p>
              </w:tc>
              <w:tc>
                <w:tcPr>
                  <w:tcW w:w="96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频次三</w:t>
                  </w:r>
                </w:p>
              </w:tc>
              <w:tc>
                <w:tcPr>
                  <w:tcW w:w="111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4.2</w:t>
                  </w:r>
                </w:p>
              </w:tc>
              <w:tc>
                <w:tcPr>
                  <w:tcW w:w="126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10155</w:t>
                  </w:r>
                </w:p>
              </w:tc>
              <w:tc>
                <w:tcPr>
                  <w:tcW w:w="1013"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 xml:space="preserve">0.043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09" w:type="dxa"/>
                  <w:vMerge w:val="restart"/>
                  <w:vAlign w:val="center"/>
                </w:tcPr>
                <w:p>
                  <w:pPr>
                    <w:pStyle w:val="2"/>
                    <w:spacing w:line="240" w:lineRule="auto"/>
                    <w:ind w:left="0" w:leftChars="0" w:firstLine="0" w:firstLineChars="0"/>
                    <w:jc w:val="both"/>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2019.11.2</w:t>
                  </w:r>
                  <w:r>
                    <w:rPr>
                      <w:rFonts w:hint="eastAsia" w:asciiTheme="minorHAnsi" w:hAnsiTheme="minorHAnsi" w:eastAsiaTheme="minorEastAsia" w:cstheme="minorBidi"/>
                      <w:kern w:val="2"/>
                      <w:sz w:val="21"/>
                      <w:szCs w:val="21"/>
                      <w:lang w:val="en-US" w:eastAsia="zh-CN" w:bidi="ar-SA"/>
                    </w:rPr>
                    <w:t>5</w:t>
                  </w:r>
                </w:p>
              </w:tc>
              <w:tc>
                <w:tcPr>
                  <w:tcW w:w="1470" w:type="dxa"/>
                  <w:vMerge w:val="restart"/>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G1口服液、称量、混合、整粒、压片生产工序排气筒</w:t>
                  </w:r>
                </w:p>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H=15m</w:t>
                  </w:r>
                </w:p>
              </w:tc>
              <w:tc>
                <w:tcPr>
                  <w:tcW w:w="1620" w:type="dxa"/>
                  <w:vMerge w:val="restart"/>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布袋除尘+光氧催化+活性炭设备处理出口2#</w:t>
                  </w:r>
                </w:p>
                <w:p>
                  <w:pPr>
                    <w:ind w:firstLine="210" w:firstLineChars="100"/>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D=</w:t>
                  </w:r>
                  <w:r>
                    <w:rPr>
                      <w:rFonts w:hint="eastAsia" w:asciiTheme="minorHAnsi" w:hAnsiTheme="minorHAnsi" w:eastAsiaTheme="minorEastAsia" w:cstheme="minorBidi"/>
                      <w:kern w:val="2"/>
                      <w:sz w:val="21"/>
                      <w:szCs w:val="21"/>
                      <w:lang w:val="en-US" w:eastAsia="zh-CN" w:bidi="ar-SA"/>
                    </w:rPr>
                    <w:t>4</w:t>
                  </w:r>
                  <w:r>
                    <w:rPr>
                      <w:rFonts w:hint="default" w:asciiTheme="minorHAnsi" w:hAnsiTheme="minorHAnsi" w:eastAsiaTheme="minorEastAsia" w:cstheme="minorBidi"/>
                      <w:kern w:val="2"/>
                      <w:sz w:val="21"/>
                      <w:szCs w:val="21"/>
                      <w:lang w:val="en-US" w:eastAsia="zh-CN" w:bidi="ar-SA"/>
                    </w:rPr>
                    <w:t>0cm</w:t>
                  </w:r>
                </w:p>
              </w:tc>
              <w:tc>
                <w:tcPr>
                  <w:tcW w:w="1320" w:type="dxa"/>
                  <w:vMerge w:val="restart"/>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VOCs</w:t>
                  </w:r>
                </w:p>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（以NMHC计）</w:t>
                  </w:r>
                </w:p>
              </w:tc>
              <w:tc>
                <w:tcPr>
                  <w:tcW w:w="960" w:type="dxa"/>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频次一</w:t>
                  </w:r>
                </w:p>
              </w:tc>
              <w:tc>
                <w:tcPr>
                  <w:tcW w:w="111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eastAsia" w:asciiTheme="minorHAnsi" w:hAnsiTheme="minorHAnsi" w:eastAsiaTheme="minorEastAsia" w:cstheme="minorBidi"/>
                      <w:kern w:val="2"/>
                      <w:sz w:val="21"/>
                      <w:szCs w:val="21"/>
                      <w:lang w:val="en-US" w:eastAsia="zh-CN" w:bidi="ar-SA"/>
                    </w:rPr>
                    <w:t>2.60</w:t>
                  </w:r>
                </w:p>
              </w:tc>
              <w:tc>
                <w:tcPr>
                  <w:tcW w:w="126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10340</w:t>
                  </w:r>
                </w:p>
              </w:tc>
              <w:tc>
                <w:tcPr>
                  <w:tcW w:w="1013"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 xml:space="preserve">0.027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09" w:type="dxa"/>
                  <w:vMerge w:val="continue"/>
                  <w:vAlign w:val="center"/>
                </w:tcPr>
                <w:p>
                  <w:pPr>
                    <w:pStyle w:val="2"/>
                    <w:spacing w:line="240" w:lineRule="auto"/>
                    <w:ind w:firstLine="420" w:firstLineChars="200"/>
                    <w:jc w:val="center"/>
                    <w:rPr>
                      <w:rFonts w:hint="default" w:asciiTheme="minorHAnsi" w:hAnsiTheme="minorHAnsi" w:eastAsiaTheme="minorEastAsia" w:cstheme="minorBidi"/>
                      <w:kern w:val="2"/>
                      <w:sz w:val="21"/>
                      <w:szCs w:val="21"/>
                      <w:lang w:val="en-US" w:eastAsia="zh-CN" w:bidi="ar-SA"/>
                    </w:rPr>
                  </w:pPr>
                </w:p>
              </w:tc>
              <w:tc>
                <w:tcPr>
                  <w:tcW w:w="1470" w:type="dxa"/>
                  <w:vMerge w:val="continue"/>
                  <w:vAlign w:val="center"/>
                </w:tcPr>
                <w:p>
                  <w:pPr>
                    <w:pStyle w:val="2"/>
                    <w:spacing w:line="240" w:lineRule="auto"/>
                    <w:ind w:firstLine="420" w:firstLineChars="200"/>
                    <w:jc w:val="left"/>
                    <w:rPr>
                      <w:rFonts w:hint="default" w:asciiTheme="minorHAnsi" w:hAnsiTheme="minorHAnsi" w:eastAsiaTheme="minorEastAsia" w:cstheme="minorBidi"/>
                      <w:kern w:val="2"/>
                      <w:sz w:val="21"/>
                      <w:szCs w:val="21"/>
                      <w:lang w:val="en-US" w:eastAsia="zh-CN" w:bidi="ar-SA"/>
                    </w:rPr>
                  </w:pPr>
                </w:p>
              </w:tc>
              <w:tc>
                <w:tcPr>
                  <w:tcW w:w="1620" w:type="dxa"/>
                  <w:vMerge w:val="continue"/>
                  <w:vAlign w:val="center"/>
                </w:tcPr>
                <w:p>
                  <w:pPr>
                    <w:pStyle w:val="2"/>
                    <w:spacing w:line="240" w:lineRule="auto"/>
                    <w:ind w:firstLine="420" w:firstLineChars="200"/>
                    <w:jc w:val="center"/>
                    <w:rPr>
                      <w:rFonts w:hint="default" w:asciiTheme="minorHAnsi" w:hAnsiTheme="minorHAnsi" w:eastAsiaTheme="minorEastAsia" w:cstheme="minorBidi"/>
                      <w:kern w:val="2"/>
                      <w:sz w:val="21"/>
                      <w:szCs w:val="21"/>
                      <w:lang w:val="en-US" w:eastAsia="zh-CN" w:bidi="ar-SA"/>
                    </w:rPr>
                  </w:pPr>
                </w:p>
              </w:tc>
              <w:tc>
                <w:tcPr>
                  <w:tcW w:w="1320" w:type="dxa"/>
                  <w:vMerge w:val="continue"/>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p>
              </w:tc>
              <w:tc>
                <w:tcPr>
                  <w:tcW w:w="96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频次二</w:t>
                  </w:r>
                </w:p>
              </w:tc>
              <w:tc>
                <w:tcPr>
                  <w:tcW w:w="111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eastAsia" w:asciiTheme="minorHAnsi" w:hAnsiTheme="minorHAnsi" w:eastAsiaTheme="minorEastAsia" w:cstheme="minorBidi"/>
                      <w:kern w:val="2"/>
                      <w:sz w:val="21"/>
                      <w:szCs w:val="21"/>
                      <w:lang w:val="en-US" w:eastAsia="zh-CN" w:bidi="ar-SA"/>
                    </w:rPr>
                    <w:t>2.81</w:t>
                  </w:r>
                </w:p>
              </w:tc>
              <w:tc>
                <w:tcPr>
                  <w:tcW w:w="126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10177</w:t>
                  </w:r>
                </w:p>
              </w:tc>
              <w:tc>
                <w:tcPr>
                  <w:tcW w:w="1013"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 xml:space="preserve">0.029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09" w:type="dxa"/>
                  <w:vMerge w:val="continue"/>
                  <w:vAlign w:val="center"/>
                </w:tcPr>
                <w:p>
                  <w:pPr>
                    <w:pStyle w:val="2"/>
                    <w:spacing w:line="240" w:lineRule="auto"/>
                    <w:ind w:firstLine="420" w:firstLineChars="200"/>
                    <w:jc w:val="center"/>
                    <w:rPr>
                      <w:rFonts w:hint="default" w:asciiTheme="minorHAnsi" w:hAnsiTheme="minorHAnsi" w:eastAsiaTheme="minorEastAsia" w:cstheme="minorBidi"/>
                      <w:kern w:val="2"/>
                      <w:sz w:val="21"/>
                      <w:szCs w:val="21"/>
                      <w:lang w:val="en-US" w:eastAsia="zh-CN" w:bidi="ar-SA"/>
                    </w:rPr>
                  </w:pPr>
                </w:p>
              </w:tc>
              <w:tc>
                <w:tcPr>
                  <w:tcW w:w="1470" w:type="dxa"/>
                  <w:vMerge w:val="continue"/>
                  <w:vAlign w:val="center"/>
                </w:tcPr>
                <w:p>
                  <w:pPr>
                    <w:pStyle w:val="2"/>
                    <w:spacing w:line="240" w:lineRule="auto"/>
                    <w:ind w:firstLine="420" w:firstLineChars="200"/>
                    <w:jc w:val="left"/>
                    <w:rPr>
                      <w:rFonts w:hint="default" w:asciiTheme="minorHAnsi" w:hAnsiTheme="minorHAnsi" w:eastAsiaTheme="minorEastAsia" w:cstheme="minorBidi"/>
                      <w:kern w:val="2"/>
                      <w:sz w:val="21"/>
                      <w:szCs w:val="21"/>
                      <w:lang w:val="en-US" w:eastAsia="zh-CN" w:bidi="ar-SA"/>
                    </w:rPr>
                  </w:pPr>
                </w:p>
              </w:tc>
              <w:tc>
                <w:tcPr>
                  <w:tcW w:w="1620" w:type="dxa"/>
                  <w:vMerge w:val="continue"/>
                  <w:vAlign w:val="center"/>
                </w:tcPr>
                <w:p>
                  <w:pPr>
                    <w:pStyle w:val="2"/>
                    <w:spacing w:line="240" w:lineRule="auto"/>
                    <w:ind w:firstLine="420" w:firstLineChars="200"/>
                    <w:jc w:val="center"/>
                    <w:rPr>
                      <w:rFonts w:hint="default" w:asciiTheme="minorHAnsi" w:hAnsiTheme="minorHAnsi" w:eastAsiaTheme="minorEastAsia" w:cstheme="minorBidi"/>
                      <w:kern w:val="2"/>
                      <w:sz w:val="21"/>
                      <w:szCs w:val="21"/>
                      <w:lang w:val="en-US" w:eastAsia="zh-CN" w:bidi="ar-SA"/>
                    </w:rPr>
                  </w:pPr>
                </w:p>
              </w:tc>
              <w:tc>
                <w:tcPr>
                  <w:tcW w:w="1320" w:type="dxa"/>
                  <w:vMerge w:val="continue"/>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p>
              </w:tc>
              <w:tc>
                <w:tcPr>
                  <w:tcW w:w="96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频次三</w:t>
                  </w:r>
                </w:p>
              </w:tc>
              <w:tc>
                <w:tcPr>
                  <w:tcW w:w="111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eastAsia" w:asciiTheme="minorHAnsi" w:hAnsiTheme="minorHAnsi" w:eastAsiaTheme="minorEastAsia" w:cstheme="minorBidi"/>
                      <w:kern w:val="2"/>
                      <w:sz w:val="21"/>
                      <w:szCs w:val="21"/>
                      <w:lang w:val="en-US" w:eastAsia="zh-CN" w:bidi="ar-SA"/>
                    </w:rPr>
                    <w:t>3.05</w:t>
                  </w:r>
                </w:p>
              </w:tc>
              <w:tc>
                <w:tcPr>
                  <w:tcW w:w="126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10155</w:t>
                  </w:r>
                </w:p>
              </w:tc>
              <w:tc>
                <w:tcPr>
                  <w:tcW w:w="1013"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 xml:space="preserve">0.031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09" w:type="dxa"/>
                  <w:vMerge w:val="restart"/>
                  <w:vAlign w:val="center"/>
                </w:tcPr>
                <w:p>
                  <w:pPr>
                    <w:pStyle w:val="2"/>
                    <w:spacing w:line="240" w:lineRule="auto"/>
                    <w:ind w:left="0" w:leftChars="0" w:firstLine="0" w:firstLineChars="0"/>
                    <w:jc w:val="both"/>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2019.11.26</w:t>
                  </w:r>
                </w:p>
              </w:tc>
              <w:tc>
                <w:tcPr>
                  <w:tcW w:w="1470" w:type="dxa"/>
                  <w:vMerge w:val="restart"/>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G1口服液、称量、混合、整粒、压片生产工序排气筒H=15m</w:t>
                  </w:r>
                </w:p>
              </w:tc>
              <w:tc>
                <w:tcPr>
                  <w:tcW w:w="1620" w:type="dxa"/>
                  <w:vMerge w:val="restart"/>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布袋除尘+光氧催化+活性炭设备处理出口2#</w:t>
                  </w:r>
                </w:p>
                <w:p>
                  <w:pPr>
                    <w:ind w:firstLine="210" w:firstLineChars="100"/>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D=</w:t>
                  </w:r>
                  <w:r>
                    <w:rPr>
                      <w:rFonts w:hint="eastAsia" w:asciiTheme="minorHAnsi" w:hAnsiTheme="minorHAnsi" w:eastAsiaTheme="minorEastAsia" w:cstheme="minorBidi"/>
                      <w:kern w:val="2"/>
                      <w:sz w:val="21"/>
                      <w:szCs w:val="21"/>
                      <w:lang w:val="en-US" w:eastAsia="zh-CN" w:bidi="ar-SA"/>
                    </w:rPr>
                    <w:t>4</w:t>
                  </w:r>
                  <w:r>
                    <w:rPr>
                      <w:rFonts w:hint="default" w:asciiTheme="minorHAnsi" w:hAnsiTheme="minorHAnsi" w:eastAsiaTheme="minorEastAsia" w:cstheme="minorBidi"/>
                      <w:kern w:val="2"/>
                      <w:sz w:val="21"/>
                      <w:szCs w:val="21"/>
                      <w:lang w:val="en-US" w:eastAsia="zh-CN" w:bidi="ar-SA"/>
                    </w:rPr>
                    <w:t>0cm</w:t>
                  </w:r>
                </w:p>
              </w:tc>
              <w:tc>
                <w:tcPr>
                  <w:tcW w:w="1320" w:type="dxa"/>
                  <w:vMerge w:val="restart"/>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颗粒物</w:t>
                  </w:r>
                </w:p>
              </w:tc>
              <w:tc>
                <w:tcPr>
                  <w:tcW w:w="960" w:type="dxa"/>
                  <w:vAlign w:val="center"/>
                </w:tcPr>
                <w:p>
                  <w:pPr>
                    <w:pStyle w:val="2"/>
                    <w:spacing w:line="240" w:lineRule="auto"/>
                    <w:ind w:left="0" w:leftChars="0" w:firstLine="0" w:firstLineChars="0"/>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频次一</w:t>
                  </w:r>
                </w:p>
              </w:tc>
              <w:tc>
                <w:tcPr>
                  <w:tcW w:w="111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4.0</w:t>
                  </w:r>
                </w:p>
              </w:tc>
              <w:tc>
                <w:tcPr>
                  <w:tcW w:w="1260"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10071</w:t>
                  </w:r>
                </w:p>
              </w:tc>
              <w:tc>
                <w:tcPr>
                  <w:tcW w:w="1013" w:type="dxa"/>
                  <w:vAlign w:val="center"/>
                </w:tcPr>
                <w:p>
                  <w:pPr>
                    <w:spacing w:line="240" w:lineRule="auto"/>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 xml:space="preserve">0.040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09"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47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62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32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96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频次二</w:t>
                  </w:r>
                </w:p>
              </w:tc>
              <w:tc>
                <w:tcPr>
                  <w:tcW w:w="111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3.2</w:t>
                  </w:r>
                </w:p>
              </w:tc>
              <w:tc>
                <w:tcPr>
                  <w:tcW w:w="126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9910</w:t>
                  </w:r>
                </w:p>
              </w:tc>
              <w:tc>
                <w:tcPr>
                  <w:tcW w:w="1013"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 xml:space="preserve">0.032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09"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47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62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32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96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频次三</w:t>
                  </w:r>
                </w:p>
              </w:tc>
              <w:tc>
                <w:tcPr>
                  <w:tcW w:w="111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2.9</w:t>
                  </w:r>
                </w:p>
              </w:tc>
              <w:tc>
                <w:tcPr>
                  <w:tcW w:w="126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10017</w:t>
                  </w:r>
                </w:p>
              </w:tc>
              <w:tc>
                <w:tcPr>
                  <w:tcW w:w="1013"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 xml:space="preserve">0.029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09"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47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62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320" w:type="dxa"/>
                  <w:vMerge w:val="restart"/>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VOCs</w:t>
                  </w:r>
                </w:p>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（以NMHC计）</w:t>
                  </w:r>
                </w:p>
              </w:tc>
              <w:tc>
                <w:tcPr>
                  <w:tcW w:w="96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频次一</w:t>
                  </w:r>
                </w:p>
              </w:tc>
              <w:tc>
                <w:tcPr>
                  <w:tcW w:w="111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eastAsia" w:asciiTheme="minorHAnsi" w:hAnsiTheme="minorHAnsi" w:eastAsiaTheme="minorEastAsia" w:cstheme="minorBidi"/>
                      <w:kern w:val="2"/>
                      <w:sz w:val="21"/>
                      <w:szCs w:val="21"/>
                      <w:lang w:val="en-US" w:eastAsia="zh-CN" w:bidi="ar-SA"/>
                    </w:rPr>
                    <w:t>2.33</w:t>
                  </w:r>
                </w:p>
              </w:tc>
              <w:tc>
                <w:tcPr>
                  <w:tcW w:w="126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10071</w:t>
                  </w:r>
                </w:p>
              </w:tc>
              <w:tc>
                <w:tcPr>
                  <w:tcW w:w="1013"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 xml:space="preserve">0.023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09"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47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62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32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96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频次二</w:t>
                  </w:r>
                </w:p>
              </w:tc>
              <w:tc>
                <w:tcPr>
                  <w:tcW w:w="111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eastAsia" w:asciiTheme="minorHAnsi" w:hAnsiTheme="minorHAnsi" w:eastAsiaTheme="minorEastAsia" w:cstheme="minorBidi"/>
                      <w:kern w:val="2"/>
                      <w:sz w:val="21"/>
                      <w:szCs w:val="21"/>
                      <w:lang w:val="en-US" w:eastAsia="zh-CN" w:bidi="ar-SA"/>
                    </w:rPr>
                    <w:t>2.54</w:t>
                  </w:r>
                </w:p>
              </w:tc>
              <w:tc>
                <w:tcPr>
                  <w:tcW w:w="126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9910</w:t>
                  </w:r>
                </w:p>
              </w:tc>
              <w:tc>
                <w:tcPr>
                  <w:tcW w:w="1013"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 xml:space="preserve">0.025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209"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47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62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1320" w:type="dxa"/>
                  <w:vMerge w:val="continue"/>
                  <w:vAlign w:val="center"/>
                </w:tcPr>
                <w:p>
                  <w:pPr>
                    <w:jc w:val="center"/>
                    <w:rPr>
                      <w:rFonts w:hint="default" w:asciiTheme="minorHAnsi" w:hAnsiTheme="minorHAnsi" w:eastAsiaTheme="minorEastAsia" w:cstheme="minorBidi"/>
                      <w:kern w:val="2"/>
                      <w:sz w:val="21"/>
                      <w:szCs w:val="21"/>
                      <w:lang w:val="en-US" w:eastAsia="zh-CN" w:bidi="ar-SA"/>
                    </w:rPr>
                  </w:pPr>
                </w:p>
              </w:tc>
              <w:tc>
                <w:tcPr>
                  <w:tcW w:w="96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频次三</w:t>
                  </w:r>
                </w:p>
              </w:tc>
              <w:tc>
                <w:tcPr>
                  <w:tcW w:w="111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eastAsia" w:asciiTheme="minorHAnsi" w:hAnsiTheme="minorHAnsi" w:eastAsiaTheme="minorEastAsia" w:cstheme="minorBidi"/>
                      <w:kern w:val="2"/>
                      <w:sz w:val="21"/>
                      <w:szCs w:val="21"/>
                      <w:lang w:val="en-US" w:eastAsia="zh-CN" w:bidi="ar-SA"/>
                    </w:rPr>
                    <w:t>2.44</w:t>
                  </w:r>
                </w:p>
              </w:tc>
              <w:tc>
                <w:tcPr>
                  <w:tcW w:w="1260"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10017</w:t>
                  </w:r>
                </w:p>
              </w:tc>
              <w:tc>
                <w:tcPr>
                  <w:tcW w:w="1013" w:type="dxa"/>
                  <w:vAlign w:val="center"/>
                </w:tcPr>
                <w:p>
                  <w:pPr>
                    <w:jc w:val="center"/>
                    <w:rPr>
                      <w:rFonts w:hint="default" w:asciiTheme="minorHAnsi" w:hAnsiTheme="minorHAnsi" w:eastAsiaTheme="minorEastAsia" w:cstheme="minorBidi"/>
                      <w:kern w:val="2"/>
                      <w:sz w:val="21"/>
                      <w:szCs w:val="21"/>
                      <w:lang w:val="en-US" w:eastAsia="zh-CN" w:bidi="ar-SA"/>
                    </w:rPr>
                  </w:pPr>
                  <w:r>
                    <w:rPr>
                      <w:rFonts w:hint="default" w:asciiTheme="minorHAnsi" w:hAnsiTheme="minorHAnsi" w:eastAsiaTheme="minorEastAsia" w:cstheme="minorBidi"/>
                      <w:kern w:val="2"/>
                      <w:sz w:val="21"/>
                      <w:szCs w:val="21"/>
                      <w:lang w:val="en-US" w:eastAsia="zh-CN" w:bidi="ar-SA"/>
                    </w:rPr>
                    <w:t xml:space="preserve">0.024 </w:t>
                  </w:r>
                </w:p>
              </w:tc>
            </w:tr>
          </w:tbl>
          <w:p>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Theme="minorHAnsi" w:hAnsiTheme="minorHAnsi" w:eastAsiaTheme="minorEastAsia" w:cstheme="minorBidi"/>
                <w:kern w:val="2"/>
                <w:sz w:val="21"/>
                <w:szCs w:val="21"/>
                <w:lang w:val="en-US" w:eastAsia="zh-CN" w:bidi="ar-SA"/>
              </w:rPr>
            </w:pPr>
            <w:r>
              <w:rPr>
                <w:rFonts w:hint="eastAsia" w:asciiTheme="minorHAnsi" w:hAnsiTheme="minorHAnsi" w:eastAsiaTheme="minorEastAsia" w:cstheme="minorBidi"/>
                <w:kern w:val="2"/>
                <w:sz w:val="21"/>
                <w:szCs w:val="21"/>
                <w:lang w:val="en-US" w:eastAsia="zh-CN" w:bidi="ar-SA"/>
              </w:rPr>
              <w:t>表7-4</w:t>
            </w:r>
            <w:r>
              <w:rPr>
                <w:rFonts w:hint="eastAsia" w:cstheme="minorBidi"/>
                <w:kern w:val="2"/>
                <w:sz w:val="21"/>
                <w:szCs w:val="21"/>
                <w:lang w:val="en-US" w:eastAsia="zh-CN" w:bidi="ar-SA"/>
              </w:rPr>
              <w:t xml:space="preserve">  </w:t>
            </w:r>
            <w:r>
              <w:rPr>
                <w:rFonts w:hint="eastAsia" w:asciiTheme="minorHAnsi" w:hAnsiTheme="minorHAnsi" w:eastAsiaTheme="minorEastAsia" w:cstheme="minorBidi"/>
                <w:kern w:val="2"/>
                <w:sz w:val="21"/>
                <w:szCs w:val="21"/>
                <w:lang w:val="en-US" w:eastAsia="zh-CN" w:bidi="ar-SA"/>
              </w:rPr>
              <w:t>无组织废气检测期间气象参数统计</w:t>
            </w:r>
          </w:p>
          <w:tbl>
            <w:tblPr>
              <w:tblStyle w:val="29"/>
              <w:tblW w:w="10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108"/>
              <w:gridCol w:w="1081"/>
              <w:gridCol w:w="1081"/>
              <w:gridCol w:w="1276"/>
              <w:gridCol w:w="887"/>
              <w:gridCol w:w="1081"/>
              <w:gridCol w:w="1227"/>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193" w:type="dxa"/>
                  <w:vAlign w:val="center"/>
                </w:tcPr>
                <w:p>
                  <w:pPr>
                    <w:jc w:val="center"/>
                    <w:rPr>
                      <w:rFonts w:hint="default" w:ascii="Times New Roman" w:hAnsi="Times New Roman" w:cs="Times New Roman"/>
                      <w:vertAlign w:val="baseline"/>
                    </w:rPr>
                  </w:pPr>
                  <w:r>
                    <w:rPr>
                      <w:rFonts w:hint="default" w:ascii="Times New Roman" w:hAnsi="Times New Roman" w:cs="Times New Roman"/>
                      <w:szCs w:val="21"/>
                    </w:rPr>
                    <w:t>采样日期</w:t>
                  </w:r>
                </w:p>
              </w:tc>
              <w:tc>
                <w:tcPr>
                  <w:tcW w:w="1108" w:type="dxa"/>
                  <w:vAlign w:val="center"/>
                </w:tcPr>
                <w:p>
                  <w:pPr>
                    <w:jc w:val="center"/>
                    <w:rPr>
                      <w:rFonts w:hint="default" w:ascii="Times New Roman" w:hAnsi="Times New Roman" w:cs="Times New Roman"/>
                      <w:vertAlign w:val="baseline"/>
                    </w:rPr>
                  </w:pPr>
                  <w:r>
                    <w:rPr>
                      <w:rFonts w:hint="default" w:ascii="Times New Roman" w:hAnsi="Times New Roman" w:cs="Times New Roman"/>
                      <w:szCs w:val="21"/>
                      <w:lang w:eastAsia="zh-CN"/>
                    </w:rPr>
                    <w:t>检测</w:t>
                  </w:r>
                  <w:r>
                    <w:rPr>
                      <w:rFonts w:hint="default" w:ascii="Times New Roman" w:hAnsi="Times New Roman" w:cs="Times New Roman"/>
                      <w:szCs w:val="21"/>
                    </w:rPr>
                    <w:t>频次</w:t>
                  </w:r>
                </w:p>
              </w:tc>
              <w:tc>
                <w:tcPr>
                  <w:tcW w:w="1081" w:type="dxa"/>
                  <w:vAlign w:val="center"/>
                </w:tcPr>
                <w:p>
                  <w:pPr>
                    <w:jc w:val="center"/>
                    <w:rPr>
                      <w:rFonts w:hint="default" w:ascii="Times New Roman" w:hAnsi="Times New Roman" w:cs="Times New Roman"/>
                      <w:vertAlign w:val="baseline"/>
                    </w:rPr>
                  </w:pPr>
                  <w:r>
                    <w:rPr>
                      <w:rFonts w:hint="default" w:ascii="Times New Roman" w:hAnsi="Times New Roman" w:cs="Times New Roman"/>
                      <w:szCs w:val="21"/>
                    </w:rPr>
                    <w:t>气温(℃)</w:t>
                  </w:r>
                </w:p>
              </w:tc>
              <w:tc>
                <w:tcPr>
                  <w:tcW w:w="1081" w:type="dxa"/>
                  <w:vAlign w:val="center"/>
                </w:tcPr>
                <w:p>
                  <w:pPr>
                    <w:jc w:val="center"/>
                    <w:rPr>
                      <w:rFonts w:hint="default" w:ascii="Times New Roman" w:hAnsi="Times New Roman" w:cs="Times New Roman"/>
                      <w:vertAlign w:val="baseline"/>
                    </w:rPr>
                  </w:pPr>
                  <w:r>
                    <w:rPr>
                      <w:rFonts w:hint="default" w:ascii="Times New Roman" w:hAnsi="Times New Roman" w:cs="Times New Roman"/>
                      <w:szCs w:val="21"/>
                    </w:rPr>
                    <w:t>湿度（%）</w:t>
                  </w:r>
                </w:p>
              </w:tc>
              <w:tc>
                <w:tcPr>
                  <w:tcW w:w="1276" w:type="dxa"/>
                  <w:vAlign w:val="center"/>
                </w:tcPr>
                <w:p>
                  <w:pPr>
                    <w:jc w:val="center"/>
                    <w:rPr>
                      <w:rFonts w:hint="default" w:ascii="Times New Roman" w:hAnsi="Times New Roman" w:cs="Times New Roman"/>
                      <w:vertAlign w:val="baseline"/>
                    </w:rPr>
                  </w:pPr>
                  <w:r>
                    <w:rPr>
                      <w:rFonts w:hint="default" w:ascii="Times New Roman" w:hAnsi="Times New Roman" w:cs="Times New Roman"/>
                      <w:szCs w:val="21"/>
                    </w:rPr>
                    <w:t>气压(kPa)</w:t>
                  </w:r>
                </w:p>
              </w:tc>
              <w:tc>
                <w:tcPr>
                  <w:tcW w:w="887" w:type="dxa"/>
                  <w:vAlign w:val="center"/>
                </w:tcPr>
                <w:p>
                  <w:pPr>
                    <w:jc w:val="center"/>
                    <w:rPr>
                      <w:rFonts w:hint="default" w:ascii="Times New Roman" w:hAnsi="Times New Roman" w:cs="Times New Roman"/>
                      <w:vertAlign w:val="baseline"/>
                    </w:rPr>
                  </w:pPr>
                  <w:r>
                    <w:rPr>
                      <w:rFonts w:hint="default" w:ascii="Times New Roman" w:hAnsi="Times New Roman" w:cs="Times New Roman"/>
                      <w:szCs w:val="21"/>
                    </w:rPr>
                    <w:t>风向</w:t>
                  </w:r>
                </w:p>
              </w:tc>
              <w:tc>
                <w:tcPr>
                  <w:tcW w:w="108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风速(m/s)</w:t>
                  </w:r>
                </w:p>
              </w:tc>
              <w:tc>
                <w:tcPr>
                  <w:tcW w:w="1227" w:type="dxa"/>
                  <w:vAlign w:val="center"/>
                </w:tcPr>
                <w:p>
                  <w:pPr>
                    <w:jc w:val="center"/>
                    <w:rPr>
                      <w:rFonts w:hint="default" w:ascii="Times New Roman" w:hAnsi="Times New Roman" w:cs="Times New Roman"/>
                      <w:vertAlign w:val="baseline"/>
                    </w:rPr>
                  </w:pPr>
                  <w:r>
                    <w:rPr>
                      <w:rFonts w:hint="default" w:ascii="Times New Roman" w:hAnsi="Times New Roman" w:cs="Times New Roman"/>
                      <w:szCs w:val="21"/>
                    </w:rPr>
                    <w:t>总云量</w:t>
                  </w:r>
                </w:p>
              </w:tc>
              <w:tc>
                <w:tcPr>
                  <w:tcW w:w="1095" w:type="dxa"/>
                  <w:vAlign w:val="center"/>
                </w:tcPr>
                <w:p>
                  <w:pPr>
                    <w:jc w:val="center"/>
                    <w:rPr>
                      <w:rFonts w:hint="default" w:ascii="Times New Roman" w:hAnsi="Times New Roman" w:cs="Times New Roman"/>
                      <w:vertAlign w:val="baseline"/>
                    </w:rPr>
                  </w:pPr>
                  <w:r>
                    <w:rPr>
                      <w:rFonts w:hint="default" w:ascii="Times New Roman" w:hAnsi="Times New Roman" w:cs="Times New Roman"/>
                      <w:szCs w:val="21"/>
                    </w:rPr>
                    <w:t>低云量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3" w:type="dxa"/>
                  <w:vMerge w:val="restart"/>
                  <w:vAlign w:val="center"/>
                </w:tcPr>
                <w:p>
                  <w:pPr>
                    <w:jc w:val="center"/>
                    <w:rPr>
                      <w:rFonts w:hint="default" w:ascii="Times New Roman" w:hAnsi="Times New Roman" w:eastAsia="SimSun" w:cs="Times New Roman"/>
                      <w:vertAlign w:val="baseline"/>
                      <w:lang w:val="en-US" w:eastAsia="zh-CN"/>
                    </w:rPr>
                  </w:pPr>
                  <w:r>
                    <w:rPr>
                      <w:rFonts w:hint="eastAsia" w:ascii="Times New Roman" w:hAnsi="Times New Roman" w:cs="Times New Roman"/>
                      <w:vertAlign w:val="baseline"/>
                      <w:lang w:val="en-US" w:eastAsia="zh-CN"/>
                    </w:rPr>
                    <w:t>2019.11.25</w:t>
                  </w:r>
                </w:p>
              </w:tc>
              <w:tc>
                <w:tcPr>
                  <w:tcW w:w="1108" w:type="dxa"/>
                  <w:vAlign w:val="center"/>
                </w:tcPr>
                <w:p>
                  <w:pPr>
                    <w:jc w:val="center"/>
                    <w:rPr>
                      <w:rFonts w:hint="default" w:ascii="Times New Roman" w:hAnsi="Times New Roman" w:cs="Times New Roman"/>
                      <w:vertAlign w:val="baseline"/>
                    </w:rPr>
                  </w:pPr>
                  <w:r>
                    <w:rPr>
                      <w:rFonts w:hint="default" w:ascii="Times New Roman" w:hAnsi="Times New Roman" w:cs="Times New Roman"/>
                    </w:rPr>
                    <w:t>频次一</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-1.2</w:t>
                  </w:r>
                </w:p>
              </w:tc>
              <w:tc>
                <w:tcPr>
                  <w:tcW w:w="1081" w:type="dxa"/>
                  <w:vAlign w:val="center"/>
                </w:tcPr>
                <w:p>
                  <w:pPr>
                    <w:jc w:val="center"/>
                    <w:rPr>
                      <w:rFonts w:hint="default" w:ascii="Times New Roman" w:hAnsi="Times New Roman" w:eastAsia="SimSun" w:cs="Times New Roman"/>
                      <w:vertAlign w:val="baseline"/>
                      <w:lang w:val="en-US" w:eastAsia="zh-CN"/>
                    </w:rPr>
                  </w:pPr>
                  <w:r>
                    <w:rPr>
                      <w:rFonts w:hint="eastAsia" w:ascii="Times New Roman" w:hAnsi="Times New Roman" w:cs="Times New Roman"/>
                      <w:vertAlign w:val="baseline"/>
                      <w:lang w:val="en-US" w:eastAsia="zh-CN"/>
                    </w:rPr>
                    <w:t>65</w:t>
                  </w:r>
                </w:p>
              </w:tc>
              <w:tc>
                <w:tcPr>
                  <w:tcW w:w="1276" w:type="dxa"/>
                  <w:vAlign w:val="center"/>
                </w:tcPr>
                <w:p>
                  <w:pPr>
                    <w:jc w:val="center"/>
                    <w:rPr>
                      <w:rFonts w:hint="default" w:ascii="Times New Roman" w:hAnsi="Times New Roman" w:eastAsia="SimSun" w:cs="Times New Roman"/>
                      <w:vertAlign w:val="baseline"/>
                      <w:lang w:val="en-US" w:eastAsia="zh-CN"/>
                    </w:rPr>
                  </w:pPr>
                  <w:r>
                    <w:rPr>
                      <w:rFonts w:hint="eastAsia" w:ascii="Times New Roman" w:hAnsi="Times New Roman" w:cs="Times New Roman"/>
                      <w:vertAlign w:val="baseline"/>
                      <w:lang w:val="en-US" w:eastAsia="zh-CN"/>
                    </w:rPr>
                    <w:t>104.2</w:t>
                  </w:r>
                </w:p>
              </w:tc>
              <w:tc>
                <w:tcPr>
                  <w:tcW w:w="887" w:type="dxa"/>
                  <w:vAlign w:val="center"/>
                </w:tcPr>
                <w:p>
                  <w:pPr>
                    <w:jc w:val="center"/>
                    <w:rPr>
                      <w:rFonts w:hint="default" w:ascii="Times New Roman" w:hAnsi="Times New Roman" w:eastAsia="SimSun" w:cs="Times New Roman"/>
                      <w:vertAlign w:val="baseline"/>
                      <w:lang w:val="en-US" w:eastAsia="zh-CN"/>
                    </w:rPr>
                  </w:pPr>
                  <w:r>
                    <w:rPr>
                      <w:rFonts w:hint="eastAsia" w:ascii="Times New Roman" w:hAnsi="Times New Roman" w:cs="Times New Roman"/>
                      <w:vertAlign w:val="baseline"/>
                      <w:lang w:val="en-US" w:eastAsia="zh-CN"/>
                    </w:rPr>
                    <w:t>N</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1.9</w:t>
                  </w:r>
                </w:p>
              </w:tc>
              <w:tc>
                <w:tcPr>
                  <w:tcW w:w="1227" w:type="dxa"/>
                  <w:vAlign w:val="center"/>
                </w:tcPr>
                <w:p>
                  <w:pPr>
                    <w:jc w:val="center"/>
                    <w:rPr>
                      <w:rFonts w:hint="default" w:ascii="Times New Roman" w:hAnsi="Times New Roman" w:eastAsia="SimSun" w:cs="Times New Roman"/>
                      <w:vertAlign w:val="baseline"/>
                      <w:lang w:val="en-US" w:eastAsia="zh-CN"/>
                    </w:rPr>
                  </w:pPr>
                  <w:r>
                    <w:rPr>
                      <w:rFonts w:hint="eastAsia" w:ascii="Times New Roman" w:hAnsi="Times New Roman" w:cs="Times New Roman"/>
                      <w:vertAlign w:val="baseline"/>
                      <w:lang w:val="en-US" w:eastAsia="zh-CN"/>
                    </w:rPr>
                    <w:t>1</w:t>
                  </w:r>
                </w:p>
              </w:tc>
              <w:tc>
                <w:tcPr>
                  <w:tcW w:w="1095" w:type="dxa"/>
                  <w:vAlign w:val="center"/>
                </w:tcPr>
                <w:p>
                  <w:pPr>
                    <w:jc w:val="center"/>
                    <w:rPr>
                      <w:rFonts w:hint="default" w:ascii="Times New Roman" w:hAnsi="Times New Roman" w:eastAsia="SimSun" w:cs="Times New Roman"/>
                      <w:vertAlign w:val="baseline"/>
                      <w:lang w:val="en-US" w:eastAsia="zh-CN"/>
                    </w:rPr>
                  </w:pPr>
                  <w:r>
                    <w:rPr>
                      <w:rFonts w:hint="eastAsia" w:ascii="Times New Roman" w:hAnsi="Times New Roman" w:cs="Times New Roman"/>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3" w:type="dxa"/>
                  <w:vMerge w:val="continue"/>
                  <w:vAlign w:val="center"/>
                </w:tcPr>
                <w:p>
                  <w:pPr>
                    <w:jc w:val="center"/>
                    <w:rPr>
                      <w:rFonts w:hint="default" w:ascii="Times New Roman" w:hAnsi="Times New Roman" w:cs="Times New Roman"/>
                      <w:vertAlign w:val="baseline"/>
                      <w:lang w:val="en-US" w:eastAsia="zh-CN"/>
                    </w:rPr>
                  </w:pPr>
                </w:p>
              </w:tc>
              <w:tc>
                <w:tcPr>
                  <w:tcW w:w="1108" w:type="dxa"/>
                  <w:vAlign w:val="center"/>
                </w:tcPr>
                <w:p>
                  <w:pPr>
                    <w:jc w:val="center"/>
                    <w:rPr>
                      <w:rFonts w:hint="default" w:ascii="Times New Roman" w:hAnsi="Times New Roman" w:eastAsia="SimSun" w:cs="Times New Roman"/>
                      <w:vertAlign w:val="baseline"/>
                      <w:lang w:val="en-US" w:eastAsia="zh-CN"/>
                    </w:rPr>
                  </w:pPr>
                  <w:r>
                    <w:rPr>
                      <w:rFonts w:hint="default" w:ascii="Times New Roman" w:hAnsi="Times New Roman" w:cs="Times New Roman"/>
                    </w:rPr>
                    <w:t>频次</w:t>
                  </w:r>
                  <w:r>
                    <w:rPr>
                      <w:rFonts w:hint="default" w:ascii="Times New Roman" w:hAnsi="Times New Roman" w:cs="Times New Roman"/>
                      <w:lang w:eastAsia="zh-CN"/>
                    </w:rPr>
                    <w:t>二</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4.3</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57</w:t>
                  </w:r>
                </w:p>
              </w:tc>
              <w:tc>
                <w:tcPr>
                  <w:tcW w:w="1276"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102.7</w:t>
                  </w:r>
                </w:p>
              </w:tc>
              <w:tc>
                <w:tcPr>
                  <w:tcW w:w="887"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N</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1.8</w:t>
                  </w:r>
                </w:p>
              </w:tc>
              <w:tc>
                <w:tcPr>
                  <w:tcW w:w="1227"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w:t>
                  </w:r>
                </w:p>
              </w:tc>
              <w:tc>
                <w:tcPr>
                  <w:tcW w:w="1095"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3" w:type="dxa"/>
                  <w:vMerge w:val="continue"/>
                  <w:vAlign w:val="center"/>
                </w:tcPr>
                <w:p>
                  <w:pPr>
                    <w:jc w:val="center"/>
                    <w:rPr>
                      <w:rFonts w:hint="default" w:ascii="Times New Roman" w:hAnsi="Times New Roman" w:cs="Times New Roman"/>
                      <w:vertAlign w:val="baseline"/>
                      <w:lang w:val="en-US" w:eastAsia="zh-CN"/>
                    </w:rPr>
                  </w:pPr>
                </w:p>
              </w:tc>
              <w:tc>
                <w:tcPr>
                  <w:tcW w:w="1108" w:type="dxa"/>
                  <w:vAlign w:val="center"/>
                </w:tcPr>
                <w:p>
                  <w:pPr>
                    <w:jc w:val="center"/>
                    <w:rPr>
                      <w:rFonts w:hint="default" w:ascii="Times New Roman" w:hAnsi="Times New Roman" w:eastAsia="SimSun" w:cs="Times New Roman"/>
                      <w:vertAlign w:val="baseline"/>
                      <w:lang w:val="en-US" w:eastAsia="zh-CN"/>
                    </w:rPr>
                  </w:pPr>
                  <w:r>
                    <w:rPr>
                      <w:rFonts w:hint="default" w:ascii="Times New Roman" w:hAnsi="Times New Roman" w:cs="Times New Roman"/>
                    </w:rPr>
                    <w:t>频次</w:t>
                  </w:r>
                  <w:r>
                    <w:rPr>
                      <w:rFonts w:hint="default" w:ascii="Times New Roman" w:hAnsi="Times New Roman" w:cs="Times New Roman"/>
                      <w:lang w:eastAsia="zh-CN"/>
                    </w:rPr>
                    <w:t>三</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3.9</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59</w:t>
                  </w:r>
                </w:p>
              </w:tc>
              <w:tc>
                <w:tcPr>
                  <w:tcW w:w="1276"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103.8</w:t>
                  </w:r>
                </w:p>
              </w:tc>
              <w:tc>
                <w:tcPr>
                  <w:tcW w:w="887"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N</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1.7</w:t>
                  </w:r>
                </w:p>
              </w:tc>
              <w:tc>
                <w:tcPr>
                  <w:tcW w:w="1227"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p>
              </w:tc>
              <w:tc>
                <w:tcPr>
                  <w:tcW w:w="1095"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3" w:type="dxa"/>
                  <w:vMerge w:val="restart"/>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2019.11.26</w:t>
                  </w:r>
                </w:p>
              </w:tc>
              <w:tc>
                <w:tcPr>
                  <w:tcW w:w="1108" w:type="dxa"/>
                  <w:vAlign w:val="center"/>
                </w:tcPr>
                <w:p>
                  <w:pPr>
                    <w:jc w:val="center"/>
                    <w:rPr>
                      <w:rFonts w:hint="default" w:ascii="Times New Roman" w:hAnsi="Times New Roman" w:eastAsia="SimSun" w:cs="Times New Roman"/>
                      <w:kern w:val="2"/>
                      <w:sz w:val="21"/>
                      <w:szCs w:val="24"/>
                      <w:vertAlign w:val="baseline"/>
                      <w:lang w:val="en-US" w:eastAsia="zh-CN" w:bidi="ar-SA"/>
                    </w:rPr>
                  </w:pPr>
                  <w:r>
                    <w:rPr>
                      <w:rFonts w:hint="default" w:ascii="Times New Roman" w:hAnsi="Times New Roman" w:cs="Times New Roman"/>
                    </w:rPr>
                    <w:t>频次一</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1.3</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63</w:t>
                  </w:r>
                </w:p>
              </w:tc>
              <w:tc>
                <w:tcPr>
                  <w:tcW w:w="1276"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104.1</w:t>
                  </w:r>
                </w:p>
              </w:tc>
              <w:tc>
                <w:tcPr>
                  <w:tcW w:w="887" w:type="dxa"/>
                  <w:vAlign w:val="center"/>
                </w:tcPr>
                <w:p>
                  <w:pPr>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N</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2.0</w:t>
                  </w:r>
                </w:p>
              </w:tc>
              <w:tc>
                <w:tcPr>
                  <w:tcW w:w="1227"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p>
              </w:tc>
              <w:tc>
                <w:tcPr>
                  <w:tcW w:w="1095"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3" w:type="dxa"/>
                  <w:vMerge w:val="continue"/>
                  <w:vAlign w:val="center"/>
                </w:tcPr>
                <w:p>
                  <w:pPr>
                    <w:jc w:val="center"/>
                    <w:rPr>
                      <w:rFonts w:hint="default" w:ascii="Times New Roman" w:hAnsi="Times New Roman" w:cs="Times New Roman"/>
                      <w:vertAlign w:val="baseline"/>
                      <w:lang w:val="en-US" w:eastAsia="zh-CN"/>
                    </w:rPr>
                  </w:pPr>
                </w:p>
              </w:tc>
              <w:tc>
                <w:tcPr>
                  <w:tcW w:w="1108" w:type="dxa"/>
                  <w:vAlign w:val="center"/>
                </w:tcPr>
                <w:p>
                  <w:pPr>
                    <w:jc w:val="center"/>
                    <w:rPr>
                      <w:rFonts w:hint="default" w:ascii="Times New Roman" w:hAnsi="Times New Roman" w:eastAsia="SimSun" w:cs="Times New Roman"/>
                      <w:kern w:val="2"/>
                      <w:sz w:val="21"/>
                      <w:szCs w:val="24"/>
                      <w:vertAlign w:val="baseline"/>
                      <w:lang w:val="en-US" w:eastAsia="zh-CN" w:bidi="ar-SA"/>
                    </w:rPr>
                  </w:pPr>
                  <w:r>
                    <w:rPr>
                      <w:rFonts w:hint="default" w:ascii="Times New Roman" w:hAnsi="Times New Roman" w:cs="Times New Roman"/>
                    </w:rPr>
                    <w:t>频次</w:t>
                  </w:r>
                  <w:r>
                    <w:rPr>
                      <w:rFonts w:hint="default" w:ascii="Times New Roman" w:hAnsi="Times New Roman" w:cs="Times New Roman"/>
                      <w:lang w:eastAsia="zh-CN"/>
                    </w:rPr>
                    <w:t>二</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7.1</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53</w:t>
                  </w:r>
                </w:p>
              </w:tc>
              <w:tc>
                <w:tcPr>
                  <w:tcW w:w="1276"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102.9</w:t>
                  </w:r>
                </w:p>
              </w:tc>
              <w:tc>
                <w:tcPr>
                  <w:tcW w:w="887"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N</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1.9</w:t>
                  </w:r>
                </w:p>
              </w:tc>
              <w:tc>
                <w:tcPr>
                  <w:tcW w:w="1227"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p>
              </w:tc>
              <w:tc>
                <w:tcPr>
                  <w:tcW w:w="1095"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93" w:type="dxa"/>
                  <w:vMerge w:val="continue"/>
                  <w:vAlign w:val="center"/>
                </w:tcPr>
                <w:p>
                  <w:pPr>
                    <w:jc w:val="center"/>
                    <w:rPr>
                      <w:rFonts w:hint="default" w:ascii="Times New Roman" w:hAnsi="Times New Roman" w:cs="Times New Roman"/>
                      <w:vertAlign w:val="baseline"/>
                      <w:lang w:val="en-US" w:eastAsia="zh-CN"/>
                    </w:rPr>
                  </w:pPr>
                </w:p>
              </w:tc>
              <w:tc>
                <w:tcPr>
                  <w:tcW w:w="1108" w:type="dxa"/>
                  <w:vAlign w:val="center"/>
                </w:tcPr>
                <w:p>
                  <w:pPr>
                    <w:jc w:val="center"/>
                    <w:rPr>
                      <w:rFonts w:hint="default" w:ascii="Times New Roman" w:hAnsi="Times New Roman" w:eastAsia="SimSun" w:cs="Times New Roman"/>
                      <w:kern w:val="2"/>
                      <w:sz w:val="21"/>
                      <w:szCs w:val="24"/>
                      <w:vertAlign w:val="baseline"/>
                      <w:lang w:val="en-US" w:eastAsia="zh-CN" w:bidi="ar-SA"/>
                    </w:rPr>
                  </w:pPr>
                  <w:r>
                    <w:rPr>
                      <w:rFonts w:hint="default" w:ascii="Times New Roman" w:hAnsi="Times New Roman" w:cs="Times New Roman"/>
                    </w:rPr>
                    <w:t>频次</w:t>
                  </w:r>
                  <w:r>
                    <w:rPr>
                      <w:rFonts w:hint="default" w:ascii="Times New Roman" w:hAnsi="Times New Roman" w:cs="Times New Roman"/>
                      <w:lang w:eastAsia="zh-CN"/>
                    </w:rPr>
                    <w:t>三</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6.8</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57</w:t>
                  </w:r>
                </w:p>
              </w:tc>
              <w:tc>
                <w:tcPr>
                  <w:tcW w:w="1276"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103.7</w:t>
                  </w:r>
                </w:p>
              </w:tc>
              <w:tc>
                <w:tcPr>
                  <w:tcW w:w="887"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N</w:t>
                  </w:r>
                </w:p>
              </w:tc>
              <w:tc>
                <w:tcPr>
                  <w:tcW w:w="1081"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1.7</w:t>
                  </w:r>
                </w:p>
              </w:tc>
              <w:tc>
                <w:tcPr>
                  <w:tcW w:w="1227"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p>
              </w:tc>
              <w:tc>
                <w:tcPr>
                  <w:tcW w:w="1095" w:type="dxa"/>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t>表</w:t>
            </w:r>
            <w:r>
              <w:rPr>
                <w:rFonts w:hint="eastAsia"/>
              </w:rPr>
              <w:t xml:space="preserve">7-3 </w:t>
            </w:r>
            <w:r>
              <w:t>无组织废气检测结果</w:t>
            </w:r>
          </w:p>
          <w:tbl>
            <w:tblPr>
              <w:tblStyle w:val="29"/>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2"/>
              <w:gridCol w:w="1992"/>
              <w:gridCol w:w="1992"/>
              <w:gridCol w:w="1992"/>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blHeader/>
              </w:trPr>
              <w:tc>
                <w:tcPr>
                  <w:tcW w:w="1992" w:type="dxa"/>
                  <w:vMerge w:val="restart"/>
                  <w:vAlign w:val="center"/>
                </w:tcPr>
                <w:p>
                  <w:pPr>
                    <w:numPr>
                      <w:ilvl w:val="0"/>
                      <w:numId w:val="0"/>
                    </w:numPr>
                    <w:spacing w:line="240" w:lineRule="auto"/>
                    <w:ind w:left="0" w:leftChars="0" w:firstLine="0" w:firstLineChars="0"/>
                    <w:jc w:val="center"/>
                    <w:rPr>
                      <w:rFonts w:hint="default"/>
                      <w:lang w:eastAsia="zh-CN"/>
                    </w:rPr>
                  </w:pPr>
                  <w:r>
                    <w:rPr>
                      <w:rFonts w:hint="default"/>
                      <w:lang w:val="en-US" w:eastAsia="zh-CN"/>
                    </w:rPr>
                    <w:t>采样日期</w:t>
                  </w:r>
                </w:p>
              </w:tc>
              <w:tc>
                <w:tcPr>
                  <w:tcW w:w="1992" w:type="dxa"/>
                  <w:vMerge w:val="restart"/>
                  <w:vAlign w:val="center"/>
                </w:tcPr>
                <w:p>
                  <w:pPr>
                    <w:numPr>
                      <w:ilvl w:val="0"/>
                      <w:numId w:val="0"/>
                    </w:numPr>
                    <w:spacing w:line="240" w:lineRule="auto"/>
                    <w:ind w:left="0" w:leftChars="0" w:firstLine="0" w:firstLineChars="0"/>
                    <w:jc w:val="center"/>
                    <w:rPr>
                      <w:rFonts w:hint="default"/>
                      <w:lang w:eastAsia="zh-CN"/>
                    </w:rPr>
                  </w:pPr>
                  <w:r>
                    <w:rPr>
                      <w:rFonts w:hint="default"/>
                      <w:lang w:val="en-US" w:eastAsia="zh-CN"/>
                    </w:rPr>
                    <w:t>采样点位</w:t>
                  </w:r>
                </w:p>
              </w:tc>
              <w:tc>
                <w:tcPr>
                  <w:tcW w:w="1992" w:type="dxa"/>
                  <w:vMerge w:val="restart"/>
                  <w:vAlign w:val="center"/>
                </w:tcPr>
                <w:p>
                  <w:pPr>
                    <w:numPr>
                      <w:ilvl w:val="0"/>
                      <w:numId w:val="0"/>
                    </w:numPr>
                    <w:spacing w:line="240" w:lineRule="auto"/>
                    <w:ind w:left="0" w:leftChars="0" w:firstLine="0" w:firstLineChars="0"/>
                    <w:jc w:val="center"/>
                    <w:rPr>
                      <w:rFonts w:hint="default"/>
                      <w:lang w:eastAsia="zh-CN"/>
                    </w:rPr>
                  </w:pPr>
                  <w:r>
                    <w:rPr>
                      <w:rFonts w:hint="default"/>
                      <w:lang w:val="en-US" w:eastAsia="zh-CN"/>
                    </w:rPr>
                    <w:t>采样频次</w:t>
                  </w:r>
                </w:p>
              </w:tc>
              <w:tc>
                <w:tcPr>
                  <w:tcW w:w="3986" w:type="dxa"/>
                  <w:gridSpan w:val="2"/>
                  <w:vAlign w:val="center"/>
                </w:tcPr>
                <w:p>
                  <w:pPr>
                    <w:numPr>
                      <w:ilvl w:val="0"/>
                      <w:numId w:val="0"/>
                    </w:numPr>
                    <w:spacing w:line="240" w:lineRule="auto"/>
                    <w:jc w:val="center"/>
                    <w:rPr>
                      <w:rFonts w:hint="default"/>
                      <w:lang w:eastAsia="zh-CN"/>
                    </w:rPr>
                  </w:pPr>
                  <w:r>
                    <w:rPr>
                      <w:rFonts w:hint="default"/>
                      <w:lang w:val="en-US" w:eastAsia="zh-CN"/>
                    </w:rPr>
                    <w:t>检测结果</w:t>
                  </w:r>
                  <w:r>
                    <w:rPr>
                      <w:rFonts w:hint="eastAsia"/>
                      <w:lang w:val="en-US" w:eastAsia="zh-CN"/>
                    </w:rPr>
                    <w:t>（</w:t>
                  </w:r>
                  <w:r>
                    <w:rPr>
                      <w:rFonts w:hint="default"/>
                      <w:lang w:val="en-US" w:eastAsia="zh-CN"/>
                    </w:rPr>
                    <w:t>mg/m3</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blHeader/>
              </w:trPr>
              <w:tc>
                <w:tcPr>
                  <w:tcW w:w="1992" w:type="dxa"/>
                  <w:vMerge w:val="continue"/>
                  <w:vAlign w:val="center"/>
                </w:tcPr>
                <w:p>
                  <w:pPr>
                    <w:numPr>
                      <w:ilvl w:val="0"/>
                      <w:numId w:val="0"/>
                    </w:numPr>
                    <w:spacing w:line="240" w:lineRule="auto"/>
                    <w:ind w:left="0" w:leftChars="0" w:firstLine="0" w:firstLineChars="0"/>
                    <w:jc w:val="both"/>
                    <w:rPr>
                      <w:rFonts w:hint="default"/>
                      <w:lang w:eastAsia="zh-CN"/>
                    </w:rPr>
                  </w:pPr>
                </w:p>
              </w:tc>
              <w:tc>
                <w:tcPr>
                  <w:tcW w:w="1992" w:type="dxa"/>
                  <w:vMerge w:val="continue"/>
                  <w:vAlign w:val="center"/>
                </w:tcPr>
                <w:p>
                  <w:pPr>
                    <w:numPr>
                      <w:ilvl w:val="0"/>
                      <w:numId w:val="0"/>
                    </w:numPr>
                    <w:spacing w:line="240" w:lineRule="auto"/>
                    <w:ind w:left="0" w:leftChars="0" w:firstLine="0" w:firstLineChars="0"/>
                    <w:jc w:val="both"/>
                    <w:rPr>
                      <w:rFonts w:hint="default"/>
                      <w:lang w:eastAsia="zh-CN"/>
                    </w:rPr>
                  </w:pPr>
                </w:p>
              </w:tc>
              <w:tc>
                <w:tcPr>
                  <w:tcW w:w="1992" w:type="dxa"/>
                  <w:vMerge w:val="continue"/>
                  <w:vAlign w:val="center"/>
                </w:tcPr>
                <w:p>
                  <w:pPr>
                    <w:numPr>
                      <w:ilvl w:val="0"/>
                      <w:numId w:val="0"/>
                    </w:numPr>
                    <w:spacing w:line="240" w:lineRule="auto"/>
                    <w:ind w:left="0" w:leftChars="0" w:firstLine="0" w:firstLineChars="0"/>
                    <w:jc w:val="both"/>
                    <w:rPr>
                      <w:rFonts w:hint="default"/>
                      <w:lang w:eastAsia="zh-CN"/>
                    </w:rPr>
                  </w:pPr>
                </w:p>
              </w:tc>
              <w:tc>
                <w:tcPr>
                  <w:tcW w:w="1992" w:type="dxa"/>
                  <w:vAlign w:val="center"/>
                </w:tcPr>
                <w:p>
                  <w:pPr>
                    <w:jc w:val="center"/>
                    <w:rPr>
                      <w:rFonts w:hint="eastAsia"/>
                      <w:lang w:val="en-US" w:eastAsia="zh-CN"/>
                    </w:rPr>
                  </w:pPr>
                  <w:r>
                    <w:rPr>
                      <w:rFonts w:hint="eastAsia"/>
                      <w:lang w:val="en-US" w:eastAsia="zh-CN"/>
                    </w:rPr>
                    <w:t>VOCs</w:t>
                  </w:r>
                </w:p>
                <w:p>
                  <w:pPr>
                    <w:numPr>
                      <w:ilvl w:val="0"/>
                      <w:numId w:val="0"/>
                    </w:numPr>
                    <w:spacing w:line="240" w:lineRule="auto"/>
                    <w:ind w:left="0" w:leftChars="0" w:firstLine="0" w:firstLineChars="0"/>
                    <w:jc w:val="center"/>
                    <w:rPr>
                      <w:rFonts w:hint="default"/>
                      <w:lang w:val="en-US" w:eastAsia="zh-CN"/>
                    </w:rPr>
                  </w:pPr>
                  <w:r>
                    <w:rPr>
                      <w:rFonts w:hint="eastAsia"/>
                      <w:lang w:val="en-US" w:eastAsia="zh-CN"/>
                    </w:rPr>
                    <w:t>（以NMHC计）</w:t>
                  </w:r>
                </w:p>
              </w:tc>
              <w:tc>
                <w:tcPr>
                  <w:tcW w:w="1994" w:type="dxa"/>
                  <w:vAlign w:val="center"/>
                </w:tcPr>
                <w:p>
                  <w:pPr>
                    <w:numPr>
                      <w:ilvl w:val="0"/>
                      <w:numId w:val="0"/>
                    </w:numPr>
                    <w:spacing w:line="240" w:lineRule="auto"/>
                    <w:ind w:left="0" w:leftChars="0" w:firstLine="0" w:firstLineChars="0"/>
                    <w:jc w:val="center"/>
                    <w:rPr>
                      <w:rFonts w:hint="default"/>
                      <w:lang w:val="en-US" w:eastAsia="zh-CN"/>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restart"/>
                  <w:vAlign w:val="center"/>
                </w:tcPr>
                <w:p>
                  <w:pPr>
                    <w:jc w:val="center"/>
                    <w:rPr>
                      <w:rFonts w:hint="default"/>
                      <w:lang w:val="en-US" w:eastAsia="zh-CN"/>
                    </w:rPr>
                  </w:pPr>
                </w:p>
                <w:p>
                  <w:pPr>
                    <w:jc w:val="center"/>
                    <w:rPr>
                      <w:rFonts w:hint="default"/>
                      <w:lang w:val="en-US" w:eastAsia="zh-CN"/>
                    </w:rPr>
                  </w:pPr>
                  <w:r>
                    <w:rPr>
                      <w:rFonts w:hint="eastAsia"/>
                      <w:lang w:val="en-US" w:eastAsia="zh-CN"/>
                    </w:rPr>
                    <w:t>2019.11.25</w:t>
                  </w:r>
                </w:p>
                <w:p>
                  <w:pPr>
                    <w:numPr>
                      <w:ilvl w:val="0"/>
                      <w:numId w:val="0"/>
                    </w:numPr>
                    <w:ind w:left="0" w:leftChars="0" w:firstLine="0" w:firstLineChars="0"/>
                    <w:jc w:val="both"/>
                    <w:rPr>
                      <w:rFonts w:hint="default"/>
                      <w:lang w:eastAsia="zh-CN"/>
                    </w:rPr>
                  </w:pPr>
                </w:p>
              </w:tc>
              <w:tc>
                <w:tcPr>
                  <w:tcW w:w="1992" w:type="dxa"/>
                  <w:vMerge w:val="restart"/>
                  <w:vAlign w:val="center"/>
                </w:tcPr>
                <w:p>
                  <w:pPr>
                    <w:numPr>
                      <w:ilvl w:val="0"/>
                      <w:numId w:val="0"/>
                    </w:numPr>
                    <w:ind w:left="0" w:leftChars="0" w:firstLine="0" w:firstLineChars="0"/>
                    <w:jc w:val="center"/>
                    <w:rPr>
                      <w:rFonts w:hint="default"/>
                      <w:lang w:eastAsia="zh-CN"/>
                    </w:rPr>
                  </w:pPr>
                  <w:r>
                    <w:rPr>
                      <w:rFonts w:hint="default"/>
                      <w:lang w:val="en-US" w:eastAsia="zh-CN"/>
                    </w:rPr>
                    <w:t>1#</w:t>
                  </w:r>
                  <w:r>
                    <w:rPr>
                      <w:rFonts w:hint="eastAsia"/>
                      <w:lang w:val="en-US" w:eastAsia="zh-CN"/>
                    </w:rPr>
                    <w:t>厂界上风向</w:t>
                  </w: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频次一</w:t>
                  </w:r>
                </w:p>
              </w:tc>
              <w:tc>
                <w:tcPr>
                  <w:tcW w:w="1992" w:type="dxa"/>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0.55</w:t>
                  </w:r>
                </w:p>
              </w:tc>
              <w:tc>
                <w:tcPr>
                  <w:tcW w:w="1994" w:type="dxa"/>
                  <w:vAlign w:val="center"/>
                </w:tcPr>
                <w:p>
                  <w:pPr>
                    <w:keepNext w:val="0"/>
                    <w:keepLines w:val="0"/>
                    <w:widowControl/>
                    <w:suppressLineNumbers w:val="0"/>
                    <w:jc w:val="center"/>
                    <w:textAlignment w:val="center"/>
                    <w:rPr>
                      <w:rFonts w:hint="default"/>
                      <w:lang w:val="en-US" w:eastAsia="zh-CN"/>
                    </w:rPr>
                  </w:pPr>
                  <w:r>
                    <w:rPr>
                      <w:rFonts w:hint="default"/>
                      <w:lang w:val="en-US" w:eastAsia="zh-CN"/>
                    </w:rPr>
                    <w:t xml:space="preserve">0.258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continue"/>
                  <w:vAlign w:val="center"/>
                </w:tcPr>
                <w:p>
                  <w:pPr>
                    <w:numPr>
                      <w:ilvl w:val="0"/>
                      <w:numId w:val="0"/>
                    </w:numPr>
                    <w:ind w:left="0" w:leftChars="0" w:firstLine="0" w:firstLineChars="0"/>
                    <w:jc w:val="both"/>
                    <w:rPr>
                      <w:rFonts w:hint="default"/>
                      <w:lang w:eastAsia="zh-CN"/>
                    </w:rPr>
                  </w:pPr>
                </w:p>
              </w:tc>
              <w:tc>
                <w:tcPr>
                  <w:tcW w:w="1992" w:type="dxa"/>
                  <w:vMerge w:val="continue"/>
                  <w:vAlign w:val="center"/>
                </w:tcPr>
                <w:p>
                  <w:pPr>
                    <w:numPr>
                      <w:ilvl w:val="0"/>
                      <w:numId w:val="0"/>
                    </w:numPr>
                    <w:ind w:left="0" w:leftChars="0" w:firstLine="0" w:firstLineChars="0"/>
                    <w:jc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频次二</w:t>
                  </w:r>
                </w:p>
              </w:tc>
              <w:tc>
                <w:tcPr>
                  <w:tcW w:w="1992" w:type="dxa"/>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0.59</w:t>
                  </w:r>
                </w:p>
              </w:tc>
              <w:tc>
                <w:tcPr>
                  <w:tcW w:w="1994" w:type="dxa"/>
                  <w:vAlign w:val="center"/>
                </w:tcPr>
                <w:p>
                  <w:pPr>
                    <w:keepNext w:val="0"/>
                    <w:keepLines w:val="0"/>
                    <w:widowControl/>
                    <w:suppressLineNumbers w:val="0"/>
                    <w:jc w:val="center"/>
                    <w:textAlignment w:val="center"/>
                    <w:rPr>
                      <w:rFonts w:hint="default"/>
                      <w:lang w:val="en-US" w:eastAsia="zh-CN"/>
                    </w:rPr>
                  </w:pPr>
                  <w:r>
                    <w:rPr>
                      <w:rFonts w:hint="default"/>
                      <w:lang w:val="en-US" w:eastAsia="zh-CN"/>
                    </w:rPr>
                    <w:t xml:space="preserve">0.233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continue"/>
                  <w:vAlign w:val="center"/>
                </w:tcPr>
                <w:p>
                  <w:pPr>
                    <w:numPr>
                      <w:ilvl w:val="0"/>
                      <w:numId w:val="0"/>
                    </w:numPr>
                    <w:ind w:left="0" w:leftChars="0" w:firstLine="0" w:firstLineChars="0"/>
                    <w:jc w:val="both"/>
                    <w:rPr>
                      <w:rFonts w:hint="default"/>
                      <w:lang w:eastAsia="zh-CN"/>
                    </w:rPr>
                  </w:pPr>
                </w:p>
              </w:tc>
              <w:tc>
                <w:tcPr>
                  <w:tcW w:w="1992" w:type="dxa"/>
                  <w:vMerge w:val="continue"/>
                  <w:vAlign w:val="center"/>
                </w:tcPr>
                <w:p>
                  <w:pPr>
                    <w:numPr>
                      <w:ilvl w:val="0"/>
                      <w:numId w:val="0"/>
                    </w:numPr>
                    <w:ind w:left="0" w:leftChars="0" w:firstLine="0" w:firstLineChars="0"/>
                    <w:jc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频次三</w:t>
                  </w:r>
                </w:p>
              </w:tc>
              <w:tc>
                <w:tcPr>
                  <w:tcW w:w="1992" w:type="dxa"/>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0.62</w:t>
                  </w:r>
                </w:p>
              </w:tc>
              <w:tc>
                <w:tcPr>
                  <w:tcW w:w="1994" w:type="dxa"/>
                  <w:vAlign w:val="center"/>
                </w:tcPr>
                <w:p>
                  <w:pPr>
                    <w:keepNext w:val="0"/>
                    <w:keepLines w:val="0"/>
                    <w:widowControl/>
                    <w:suppressLineNumbers w:val="0"/>
                    <w:jc w:val="center"/>
                    <w:textAlignment w:val="center"/>
                    <w:rPr>
                      <w:rFonts w:hint="default"/>
                      <w:lang w:val="en-US" w:eastAsia="zh-CN"/>
                    </w:rPr>
                  </w:pPr>
                  <w:r>
                    <w:rPr>
                      <w:rFonts w:hint="default"/>
                      <w:lang w:val="en-US" w:eastAsia="zh-CN"/>
                    </w:rPr>
                    <w:t xml:space="preserve">0.213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continue"/>
                  <w:vAlign w:val="center"/>
                </w:tcPr>
                <w:p>
                  <w:pPr>
                    <w:numPr>
                      <w:ilvl w:val="0"/>
                      <w:numId w:val="0"/>
                    </w:numPr>
                    <w:ind w:left="0" w:leftChars="0" w:firstLine="0" w:firstLineChars="0"/>
                    <w:jc w:val="both"/>
                    <w:rPr>
                      <w:rFonts w:hint="default"/>
                      <w:lang w:eastAsia="zh-CN"/>
                    </w:rPr>
                  </w:pPr>
                </w:p>
              </w:tc>
              <w:tc>
                <w:tcPr>
                  <w:tcW w:w="1992" w:type="dxa"/>
                  <w:vMerge w:val="restart"/>
                  <w:vAlign w:val="center"/>
                </w:tcPr>
                <w:p>
                  <w:pPr>
                    <w:numPr>
                      <w:ilvl w:val="0"/>
                      <w:numId w:val="0"/>
                    </w:numPr>
                    <w:ind w:left="0" w:leftChars="0" w:firstLine="0" w:firstLineChars="0"/>
                    <w:jc w:val="center"/>
                    <w:rPr>
                      <w:rFonts w:hint="default"/>
                      <w:lang w:eastAsia="zh-CN"/>
                    </w:rPr>
                  </w:pPr>
                  <w:r>
                    <w:rPr>
                      <w:rFonts w:hint="default"/>
                      <w:lang w:val="en-US" w:eastAsia="zh-CN"/>
                    </w:rPr>
                    <w:t>2#</w:t>
                  </w:r>
                  <w:r>
                    <w:rPr>
                      <w:rFonts w:hint="eastAsia"/>
                      <w:lang w:val="en-US" w:eastAsia="zh-CN"/>
                    </w:rPr>
                    <w:t>厂界下风向</w:t>
                  </w: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频次一</w:t>
                  </w:r>
                </w:p>
              </w:tc>
              <w:tc>
                <w:tcPr>
                  <w:tcW w:w="1992" w:type="dxa"/>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0.68</w:t>
                  </w:r>
                </w:p>
              </w:tc>
              <w:tc>
                <w:tcPr>
                  <w:tcW w:w="1994" w:type="dxa"/>
                  <w:vAlign w:val="center"/>
                </w:tcPr>
                <w:p>
                  <w:pPr>
                    <w:keepNext w:val="0"/>
                    <w:keepLines w:val="0"/>
                    <w:widowControl/>
                    <w:suppressLineNumbers w:val="0"/>
                    <w:jc w:val="center"/>
                    <w:textAlignment w:val="center"/>
                    <w:rPr>
                      <w:rFonts w:hint="default"/>
                      <w:lang w:val="en-US" w:eastAsia="zh-CN"/>
                    </w:rPr>
                  </w:pPr>
                  <w:r>
                    <w:rPr>
                      <w:rFonts w:hint="default"/>
                      <w:lang w:val="en-US" w:eastAsia="zh-CN"/>
                    </w:rPr>
                    <w:t xml:space="preserve">0.355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continue"/>
                  <w:vAlign w:val="center"/>
                </w:tcPr>
                <w:p>
                  <w:pPr>
                    <w:numPr>
                      <w:ilvl w:val="0"/>
                      <w:numId w:val="0"/>
                    </w:numPr>
                    <w:ind w:left="0" w:leftChars="0" w:firstLine="0" w:firstLineChars="0"/>
                    <w:jc w:val="both"/>
                    <w:rPr>
                      <w:rFonts w:hint="default"/>
                      <w:lang w:eastAsia="zh-CN"/>
                    </w:rPr>
                  </w:pPr>
                </w:p>
              </w:tc>
              <w:tc>
                <w:tcPr>
                  <w:tcW w:w="1992" w:type="dxa"/>
                  <w:vMerge w:val="continue"/>
                  <w:vAlign w:val="center"/>
                </w:tcPr>
                <w:p>
                  <w:pPr>
                    <w:numPr>
                      <w:ilvl w:val="0"/>
                      <w:numId w:val="0"/>
                    </w:numPr>
                    <w:ind w:left="0" w:leftChars="0" w:firstLine="0" w:firstLineChars="0"/>
                    <w:jc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频次二</w:t>
                  </w:r>
                </w:p>
              </w:tc>
              <w:tc>
                <w:tcPr>
                  <w:tcW w:w="1992" w:type="dxa"/>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0.71</w:t>
                  </w:r>
                </w:p>
              </w:tc>
              <w:tc>
                <w:tcPr>
                  <w:tcW w:w="1994" w:type="dxa"/>
                  <w:vAlign w:val="center"/>
                </w:tcPr>
                <w:p>
                  <w:pPr>
                    <w:keepNext w:val="0"/>
                    <w:keepLines w:val="0"/>
                    <w:widowControl/>
                    <w:suppressLineNumbers w:val="0"/>
                    <w:jc w:val="center"/>
                    <w:textAlignment w:val="center"/>
                    <w:rPr>
                      <w:rFonts w:hint="default"/>
                      <w:lang w:val="en-US" w:eastAsia="zh-CN"/>
                    </w:rPr>
                  </w:pPr>
                  <w:r>
                    <w:rPr>
                      <w:rFonts w:hint="default"/>
                      <w:lang w:val="en-US" w:eastAsia="zh-CN"/>
                    </w:rPr>
                    <w:t xml:space="preserve">0.333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continue"/>
                  <w:vAlign w:val="center"/>
                </w:tcPr>
                <w:p>
                  <w:pPr>
                    <w:numPr>
                      <w:ilvl w:val="0"/>
                      <w:numId w:val="0"/>
                    </w:numPr>
                    <w:ind w:left="0" w:leftChars="0" w:firstLine="0" w:firstLineChars="0"/>
                    <w:jc w:val="both"/>
                    <w:rPr>
                      <w:rFonts w:hint="default"/>
                      <w:lang w:eastAsia="zh-CN"/>
                    </w:rPr>
                  </w:pPr>
                </w:p>
              </w:tc>
              <w:tc>
                <w:tcPr>
                  <w:tcW w:w="1992" w:type="dxa"/>
                  <w:vMerge w:val="continue"/>
                  <w:vAlign w:val="center"/>
                </w:tcPr>
                <w:p>
                  <w:pPr>
                    <w:numPr>
                      <w:ilvl w:val="0"/>
                      <w:numId w:val="0"/>
                    </w:numPr>
                    <w:ind w:left="0" w:leftChars="0" w:firstLine="0" w:firstLineChars="0"/>
                    <w:jc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频次三</w:t>
                  </w:r>
                </w:p>
              </w:tc>
              <w:tc>
                <w:tcPr>
                  <w:tcW w:w="1992" w:type="dxa"/>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0.74</w:t>
                  </w:r>
                </w:p>
              </w:tc>
              <w:tc>
                <w:tcPr>
                  <w:tcW w:w="1994" w:type="dxa"/>
                  <w:vAlign w:val="center"/>
                </w:tcPr>
                <w:p>
                  <w:pPr>
                    <w:keepNext w:val="0"/>
                    <w:keepLines w:val="0"/>
                    <w:widowControl/>
                    <w:suppressLineNumbers w:val="0"/>
                    <w:jc w:val="center"/>
                    <w:textAlignment w:val="center"/>
                    <w:rPr>
                      <w:rFonts w:hint="default"/>
                      <w:lang w:val="en-US" w:eastAsia="zh-CN"/>
                    </w:rPr>
                  </w:pPr>
                  <w:r>
                    <w:rPr>
                      <w:rFonts w:hint="default"/>
                      <w:lang w:val="en-US" w:eastAsia="zh-CN"/>
                    </w:rPr>
                    <w:t xml:space="preserve">0.361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continue"/>
                  <w:vAlign w:val="center"/>
                </w:tcPr>
                <w:p>
                  <w:pPr>
                    <w:jc w:val="center"/>
                    <w:rPr>
                      <w:rFonts w:hint="default"/>
                      <w:lang w:val="en-US" w:eastAsia="zh-CN"/>
                    </w:rPr>
                  </w:pPr>
                </w:p>
              </w:tc>
              <w:tc>
                <w:tcPr>
                  <w:tcW w:w="1992" w:type="dxa"/>
                  <w:vMerge w:val="restart"/>
                  <w:vAlign w:val="center"/>
                </w:tcPr>
                <w:p>
                  <w:pPr>
                    <w:numPr>
                      <w:ilvl w:val="0"/>
                      <w:numId w:val="0"/>
                    </w:numPr>
                    <w:ind w:left="0" w:leftChars="0" w:firstLine="0" w:firstLineChars="0"/>
                    <w:jc w:val="center"/>
                    <w:rPr>
                      <w:rFonts w:hint="default"/>
                      <w:lang w:eastAsia="zh-CN"/>
                    </w:rPr>
                  </w:pPr>
                  <w:r>
                    <w:rPr>
                      <w:rFonts w:hint="default"/>
                      <w:lang w:val="en-US" w:eastAsia="zh-CN"/>
                    </w:rPr>
                    <w:t>3#</w:t>
                  </w:r>
                  <w:r>
                    <w:rPr>
                      <w:rFonts w:hint="eastAsia"/>
                      <w:lang w:val="en-US" w:eastAsia="zh-CN"/>
                    </w:rPr>
                    <w:t>厂界下风向</w:t>
                  </w: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频次一</w:t>
                  </w:r>
                </w:p>
              </w:tc>
              <w:tc>
                <w:tcPr>
                  <w:tcW w:w="1992" w:type="dxa"/>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0.83</w:t>
                  </w:r>
                </w:p>
              </w:tc>
              <w:tc>
                <w:tcPr>
                  <w:tcW w:w="1994" w:type="dxa"/>
                  <w:vAlign w:val="center"/>
                </w:tcPr>
                <w:p>
                  <w:pPr>
                    <w:keepNext w:val="0"/>
                    <w:keepLines w:val="0"/>
                    <w:widowControl/>
                    <w:suppressLineNumbers w:val="0"/>
                    <w:jc w:val="center"/>
                    <w:textAlignment w:val="center"/>
                    <w:rPr>
                      <w:rFonts w:hint="default"/>
                      <w:lang w:val="en-US" w:eastAsia="zh-CN"/>
                    </w:rPr>
                  </w:pPr>
                  <w:r>
                    <w:rPr>
                      <w:rFonts w:hint="default"/>
                      <w:lang w:val="en-US" w:eastAsia="zh-CN"/>
                    </w:rPr>
                    <w:t xml:space="preserve">0.339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continue"/>
                  <w:vAlign w:val="center"/>
                </w:tcPr>
                <w:p>
                  <w:pPr>
                    <w:numPr>
                      <w:ilvl w:val="0"/>
                      <w:numId w:val="0"/>
                    </w:numPr>
                    <w:ind w:left="0" w:leftChars="0" w:firstLine="0" w:firstLineChars="0"/>
                    <w:jc w:val="both"/>
                    <w:rPr>
                      <w:rFonts w:hint="default"/>
                      <w:lang w:eastAsia="zh-CN"/>
                    </w:rPr>
                  </w:pPr>
                </w:p>
              </w:tc>
              <w:tc>
                <w:tcPr>
                  <w:tcW w:w="1992" w:type="dxa"/>
                  <w:vMerge w:val="continue"/>
                  <w:vAlign w:val="center"/>
                </w:tcPr>
                <w:p>
                  <w:pPr>
                    <w:numPr>
                      <w:ilvl w:val="0"/>
                      <w:numId w:val="0"/>
                    </w:numPr>
                    <w:ind w:left="0" w:leftChars="0" w:firstLine="0" w:firstLineChars="0"/>
                    <w:jc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频次二</w:t>
                  </w:r>
                </w:p>
              </w:tc>
              <w:tc>
                <w:tcPr>
                  <w:tcW w:w="1992" w:type="dxa"/>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0.80</w:t>
                  </w:r>
                </w:p>
              </w:tc>
              <w:tc>
                <w:tcPr>
                  <w:tcW w:w="1994" w:type="dxa"/>
                  <w:vAlign w:val="center"/>
                </w:tcPr>
                <w:p>
                  <w:pPr>
                    <w:keepNext w:val="0"/>
                    <w:keepLines w:val="0"/>
                    <w:widowControl/>
                    <w:suppressLineNumbers w:val="0"/>
                    <w:jc w:val="center"/>
                    <w:textAlignment w:val="center"/>
                    <w:rPr>
                      <w:rFonts w:hint="default"/>
                      <w:lang w:val="en-US" w:eastAsia="zh-CN"/>
                    </w:rPr>
                  </w:pPr>
                  <w:r>
                    <w:rPr>
                      <w:rFonts w:hint="default"/>
                      <w:lang w:val="en-US" w:eastAsia="zh-CN"/>
                    </w:rPr>
                    <w:t xml:space="preserve">0.367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continue"/>
                  <w:vAlign w:val="center"/>
                </w:tcPr>
                <w:p>
                  <w:pPr>
                    <w:numPr>
                      <w:ilvl w:val="0"/>
                      <w:numId w:val="0"/>
                    </w:numPr>
                    <w:ind w:left="0" w:leftChars="0" w:firstLine="0" w:firstLineChars="0"/>
                    <w:jc w:val="both"/>
                    <w:rPr>
                      <w:rFonts w:hint="default"/>
                      <w:lang w:eastAsia="zh-CN"/>
                    </w:rPr>
                  </w:pPr>
                </w:p>
              </w:tc>
              <w:tc>
                <w:tcPr>
                  <w:tcW w:w="1992" w:type="dxa"/>
                  <w:vMerge w:val="continue"/>
                  <w:vAlign w:val="center"/>
                </w:tcPr>
                <w:p>
                  <w:pPr>
                    <w:numPr>
                      <w:ilvl w:val="0"/>
                      <w:numId w:val="0"/>
                    </w:numPr>
                    <w:ind w:left="0" w:leftChars="0" w:firstLine="0" w:firstLineChars="0"/>
                    <w:jc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频次三</w:t>
                  </w:r>
                </w:p>
              </w:tc>
              <w:tc>
                <w:tcPr>
                  <w:tcW w:w="1992" w:type="dxa"/>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0.77</w:t>
                  </w:r>
                </w:p>
              </w:tc>
              <w:tc>
                <w:tcPr>
                  <w:tcW w:w="1994" w:type="dxa"/>
                  <w:vAlign w:val="center"/>
                </w:tcPr>
                <w:p>
                  <w:pPr>
                    <w:keepNext w:val="0"/>
                    <w:keepLines w:val="0"/>
                    <w:widowControl/>
                    <w:suppressLineNumbers w:val="0"/>
                    <w:jc w:val="center"/>
                    <w:textAlignment w:val="center"/>
                    <w:rPr>
                      <w:rFonts w:hint="default"/>
                      <w:lang w:val="en-US" w:eastAsia="zh-CN"/>
                    </w:rPr>
                  </w:pPr>
                  <w:r>
                    <w:rPr>
                      <w:rFonts w:hint="default"/>
                      <w:lang w:val="en-US" w:eastAsia="zh-CN"/>
                    </w:rPr>
                    <w:t xml:space="preserve">0.328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continue"/>
                  <w:vAlign w:val="center"/>
                </w:tcPr>
                <w:p>
                  <w:pPr>
                    <w:numPr>
                      <w:ilvl w:val="0"/>
                      <w:numId w:val="0"/>
                    </w:numPr>
                    <w:ind w:left="0" w:leftChars="0" w:firstLine="0" w:firstLineChars="0"/>
                    <w:jc w:val="center"/>
                    <w:rPr>
                      <w:rFonts w:hint="default"/>
                      <w:lang w:val="en-US" w:eastAsia="zh-CN"/>
                    </w:rPr>
                  </w:pPr>
                </w:p>
              </w:tc>
              <w:tc>
                <w:tcPr>
                  <w:tcW w:w="1992" w:type="dxa"/>
                  <w:vMerge w:val="restart"/>
                  <w:vAlign w:val="center"/>
                </w:tcPr>
                <w:p>
                  <w:pPr>
                    <w:numPr>
                      <w:ilvl w:val="0"/>
                      <w:numId w:val="0"/>
                    </w:numPr>
                    <w:ind w:left="0" w:leftChars="0" w:firstLine="0" w:firstLineChars="0"/>
                    <w:jc w:val="center"/>
                    <w:rPr>
                      <w:rFonts w:hint="default"/>
                      <w:lang w:eastAsia="zh-CN"/>
                    </w:rPr>
                  </w:pPr>
                  <w:r>
                    <w:rPr>
                      <w:rFonts w:hint="default"/>
                      <w:lang w:val="en-US" w:eastAsia="zh-CN"/>
                    </w:rPr>
                    <w:t>4#</w:t>
                  </w:r>
                  <w:r>
                    <w:rPr>
                      <w:rFonts w:hint="eastAsia"/>
                      <w:lang w:val="en-US" w:eastAsia="zh-CN"/>
                    </w:rPr>
                    <w:t>厂界下风向</w:t>
                  </w: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频次一</w:t>
                  </w:r>
                </w:p>
              </w:tc>
              <w:tc>
                <w:tcPr>
                  <w:tcW w:w="1992" w:type="dxa"/>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0.89</w:t>
                  </w:r>
                </w:p>
              </w:tc>
              <w:tc>
                <w:tcPr>
                  <w:tcW w:w="1994" w:type="dxa"/>
                  <w:vAlign w:val="center"/>
                </w:tcPr>
                <w:p>
                  <w:pPr>
                    <w:keepNext w:val="0"/>
                    <w:keepLines w:val="0"/>
                    <w:widowControl/>
                    <w:suppressLineNumbers w:val="0"/>
                    <w:jc w:val="center"/>
                    <w:textAlignment w:val="center"/>
                    <w:rPr>
                      <w:rFonts w:hint="default"/>
                      <w:lang w:val="en-US" w:eastAsia="zh-CN"/>
                    </w:rPr>
                  </w:pPr>
                  <w:r>
                    <w:rPr>
                      <w:rFonts w:hint="default"/>
                      <w:lang w:val="en-US" w:eastAsia="zh-CN"/>
                    </w:rPr>
                    <w:t xml:space="preserve">0.355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continue"/>
                  <w:vAlign w:val="center"/>
                </w:tcPr>
                <w:p>
                  <w:pPr>
                    <w:numPr>
                      <w:ilvl w:val="0"/>
                      <w:numId w:val="0"/>
                    </w:numPr>
                    <w:ind w:left="0" w:leftChars="0" w:firstLine="0" w:firstLineChars="0"/>
                    <w:jc w:val="both"/>
                    <w:rPr>
                      <w:rFonts w:hint="default"/>
                      <w:lang w:eastAsia="zh-CN"/>
                    </w:rPr>
                  </w:pPr>
                </w:p>
              </w:tc>
              <w:tc>
                <w:tcPr>
                  <w:tcW w:w="1992" w:type="dxa"/>
                  <w:vMerge w:val="continue"/>
                  <w:vAlign w:val="center"/>
                </w:tcPr>
                <w:p>
                  <w:pPr>
                    <w:numPr>
                      <w:ilvl w:val="0"/>
                      <w:numId w:val="0"/>
                    </w:numPr>
                    <w:ind w:left="0" w:leftChars="0" w:firstLine="0" w:firstLineChars="0"/>
                    <w:jc w:val="both"/>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频次二</w:t>
                  </w:r>
                </w:p>
              </w:tc>
              <w:tc>
                <w:tcPr>
                  <w:tcW w:w="1992" w:type="dxa"/>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0.87</w:t>
                  </w:r>
                </w:p>
              </w:tc>
              <w:tc>
                <w:tcPr>
                  <w:tcW w:w="1994" w:type="dxa"/>
                  <w:vAlign w:val="center"/>
                </w:tcPr>
                <w:p>
                  <w:pPr>
                    <w:keepNext w:val="0"/>
                    <w:keepLines w:val="0"/>
                    <w:widowControl/>
                    <w:suppressLineNumbers w:val="0"/>
                    <w:jc w:val="center"/>
                    <w:textAlignment w:val="center"/>
                    <w:rPr>
                      <w:rFonts w:hint="default"/>
                      <w:lang w:val="en-US" w:eastAsia="zh-CN"/>
                    </w:rPr>
                  </w:pPr>
                  <w:r>
                    <w:rPr>
                      <w:rFonts w:hint="default"/>
                      <w:lang w:val="en-US" w:eastAsia="zh-CN"/>
                    </w:rPr>
                    <w:t xml:space="preserve">0.317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continue"/>
                  <w:vAlign w:val="center"/>
                </w:tcPr>
                <w:p>
                  <w:pPr>
                    <w:numPr>
                      <w:ilvl w:val="0"/>
                      <w:numId w:val="0"/>
                    </w:numPr>
                    <w:ind w:left="0" w:leftChars="0" w:firstLine="0" w:firstLineChars="0"/>
                    <w:jc w:val="both"/>
                    <w:rPr>
                      <w:rFonts w:hint="default"/>
                      <w:lang w:eastAsia="zh-CN"/>
                    </w:rPr>
                  </w:pPr>
                </w:p>
              </w:tc>
              <w:tc>
                <w:tcPr>
                  <w:tcW w:w="1992" w:type="dxa"/>
                  <w:vMerge w:val="continue"/>
                  <w:vAlign w:val="center"/>
                </w:tcPr>
                <w:p>
                  <w:pPr>
                    <w:numPr>
                      <w:ilvl w:val="0"/>
                      <w:numId w:val="0"/>
                    </w:numPr>
                    <w:ind w:left="0" w:leftChars="0" w:firstLine="0" w:firstLineChars="0"/>
                    <w:jc w:val="both"/>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频次三</w:t>
                  </w:r>
                </w:p>
              </w:tc>
              <w:tc>
                <w:tcPr>
                  <w:tcW w:w="1992" w:type="dxa"/>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0.83</w:t>
                  </w:r>
                </w:p>
              </w:tc>
              <w:tc>
                <w:tcPr>
                  <w:tcW w:w="1994" w:type="dxa"/>
                  <w:vAlign w:val="center"/>
                </w:tcPr>
                <w:p>
                  <w:pPr>
                    <w:keepNext w:val="0"/>
                    <w:keepLines w:val="0"/>
                    <w:widowControl/>
                    <w:suppressLineNumbers w:val="0"/>
                    <w:jc w:val="center"/>
                    <w:textAlignment w:val="center"/>
                    <w:rPr>
                      <w:rFonts w:hint="default"/>
                      <w:lang w:val="en-US" w:eastAsia="zh-CN"/>
                    </w:rPr>
                  </w:pPr>
                  <w:r>
                    <w:rPr>
                      <w:rFonts w:hint="default"/>
                      <w:lang w:val="en-US" w:eastAsia="zh-CN"/>
                    </w:rPr>
                    <w:t xml:space="preserve">0.361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restart"/>
                  <w:vAlign w:val="center"/>
                </w:tcPr>
                <w:p>
                  <w:pPr>
                    <w:numPr>
                      <w:ilvl w:val="0"/>
                      <w:numId w:val="0"/>
                    </w:numPr>
                    <w:ind w:left="0" w:leftChars="0" w:firstLine="0" w:firstLineChars="0"/>
                    <w:jc w:val="center"/>
                    <w:rPr>
                      <w:rFonts w:hint="default"/>
                      <w:lang w:val="en-US" w:eastAsia="zh-CN"/>
                    </w:rPr>
                  </w:pPr>
                  <w:r>
                    <w:rPr>
                      <w:rFonts w:hint="eastAsia"/>
                      <w:lang w:val="en-US" w:eastAsia="zh-CN"/>
                    </w:rPr>
                    <w:t>2019.11.26</w:t>
                  </w:r>
                </w:p>
              </w:tc>
              <w:tc>
                <w:tcPr>
                  <w:tcW w:w="1992" w:type="dxa"/>
                  <w:vMerge w:val="restart"/>
                  <w:vAlign w:val="center"/>
                </w:tcPr>
                <w:p>
                  <w:pPr>
                    <w:numPr>
                      <w:ilvl w:val="0"/>
                      <w:numId w:val="0"/>
                    </w:numPr>
                    <w:ind w:left="0" w:leftChars="0" w:firstLine="0" w:firstLineChars="0"/>
                    <w:jc w:val="center"/>
                    <w:rPr>
                      <w:rFonts w:hint="default"/>
                      <w:lang w:val="en-US" w:eastAsia="zh-CN"/>
                    </w:rPr>
                  </w:pPr>
                  <w:r>
                    <w:rPr>
                      <w:rFonts w:hint="default"/>
                      <w:lang w:val="en-US" w:eastAsia="zh-CN"/>
                    </w:rPr>
                    <w:t>1#</w:t>
                  </w:r>
                  <w:r>
                    <w:rPr>
                      <w:rFonts w:hint="eastAsia"/>
                      <w:lang w:val="en-US" w:eastAsia="zh-CN"/>
                    </w:rPr>
                    <w:t>厂界上风向</w:t>
                  </w:r>
                </w:p>
                <w:p>
                  <w:pPr>
                    <w:numPr>
                      <w:ilvl w:val="0"/>
                      <w:numId w:val="0"/>
                    </w:numPr>
                    <w:ind w:left="0" w:leftChars="0" w:firstLine="0" w:firstLineChars="0"/>
                    <w:jc w:val="both"/>
                    <w:rPr>
                      <w:rFonts w:hint="default"/>
                      <w:lang w:eastAsia="zh-CN"/>
                    </w:rPr>
                  </w:pPr>
                </w:p>
              </w:tc>
              <w:tc>
                <w:tcPr>
                  <w:tcW w:w="1992" w:type="dxa"/>
                  <w:vAlign w:val="center"/>
                </w:tcPr>
                <w:p>
                  <w:pPr>
                    <w:numPr>
                      <w:ilvl w:val="0"/>
                      <w:numId w:val="0"/>
                    </w:numPr>
                    <w:ind w:left="0" w:leftChars="0" w:firstLine="0" w:firstLineChars="0"/>
                    <w:jc w:val="center"/>
                    <w:rPr>
                      <w:rFonts w:hint="default"/>
                      <w:lang w:val="en-US" w:eastAsia="zh-CN"/>
                    </w:rPr>
                  </w:pPr>
                  <w:r>
                    <w:rPr>
                      <w:rFonts w:hint="default"/>
                      <w:lang w:val="en-US" w:eastAsia="zh-CN"/>
                    </w:rPr>
                    <w:t>频次一</w:t>
                  </w:r>
                </w:p>
              </w:tc>
              <w:tc>
                <w:tcPr>
                  <w:tcW w:w="1992" w:type="dxa"/>
                  <w:vAlign w:val="center"/>
                </w:tcPr>
                <w:p>
                  <w:pPr>
                    <w:keepNext w:val="0"/>
                    <w:keepLines w:val="0"/>
                    <w:widowControl/>
                    <w:suppressLineNumbers w:val="0"/>
                    <w:jc w:val="center"/>
                    <w:textAlignment w:val="center"/>
                    <w:rPr>
                      <w:rFonts w:hint="eastAsia"/>
                      <w:lang w:val="en-US" w:eastAsia="zh-CN"/>
                    </w:rPr>
                  </w:pPr>
                  <w:r>
                    <w:rPr>
                      <w:rFonts w:hint="eastAsia"/>
                      <w:lang w:val="en-US" w:eastAsia="zh-CN"/>
                    </w:rPr>
                    <w:t>0.55</w:t>
                  </w:r>
                </w:p>
              </w:tc>
              <w:tc>
                <w:tcPr>
                  <w:tcW w:w="1994" w:type="dxa"/>
                  <w:vAlign w:val="center"/>
                </w:tcPr>
                <w:p>
                  <w:pPr>
                    <w:keepNext w:val="0"/>
                    <w:keepLines w:val="0"/>
                    <w:widowControl/>
                    <w:suppressLineNumbers w:val="0"/>
                    <w:jc w:val="center"/>
                    <w:textAlignment w:val="center"/>
                    <w:rPr>
                      <w:rFonts w:hint="eastAsia"/>
                      <w:lang w:val="en-US" w:eastAsia="zh-CN"/>
                    </w:rPr>
                  </w:pPr>
                  <w:r>
                    <w:rPr>
                      <w:rFonts w:hint="default"/>
                      <w:lang w:val="en-US" w:eastAsia="zh-CN"/>
                    </w:rPr>
                    <w:t xml:space="preserve">0.246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频次二</w:t>
                  </w:r>
                </w:p>
              </w:tc>
              <w:tc>
                <w:tcPr>
                  <w:tcW w:w="1992" w:type="dxa"/>
                  <w:vAlign w:val="center"/>
                </w:tcPr>
                <w:p>
                  <w:pPr>
                    <w:keepNext w:val="0"/>
                    <w:keepLines w:val="0"/>
                    <w:widowControl/>
                    <w:suppressLineNumbers w:val="0"/>
                    <w:jc w:val="center"/>
                    <w:textAlignment w:val="center"/>
                    <w:rPr>
                      <w:rFonts w:hint="default"/>
                      <w:lang w:eastAsia="zh-CN"/>
                    </w:rPr>
                  </w:pPr>
                  <w:r>
                    <w:rPr>
                      <w:rFonts w:hint="eastAsia"/>
                      <w:lang w:val="en-US" w:eastAsia="zh-CN"/>
                    </w:rPr>
                    <w:t>0.66</w:t>
                  </w:r>
                </w:p>
              </w:tc>
              <w:tc>
                <w:tcPr>
                  <w:tcW w:w="1994" w:type="dxa"/>
                  <w:vAlign w:val="center"/>
                </w:tcPr>
                <w:p>
                  <w:pPr>
                    <w:keepNext w:val="0"/>
                    <w:keepLines w:val="0"/>
                    <w:widowControl/>
                    <w:suppressLineNumbers w:val="0"/>
                    <w:jc w:val="center"/>
                    <w:textAlignment w:val="center"/>
                    <w:rPr>
                      <w:rFonts w:hint="default"/>
                      <w:lang w:eastAsia="zh-CN"/>
                    </w:rPr>
                  </w:pPr>
                  <w:r>
                    <w:rPr>
                      <w:rFonts w:hint="default"/>
                      <w:lang w:val="en-US" w:eastAsia="zh-CN"/>
                    </w:rPr>
                    <w:t xml:space="preserve">0.220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频次三</w:t>
                  </w:r>
                </w:p>
              </w:tc>
              <w:tc>
                <w:tcPr>
                  <w:tcW w:w="1992" w:type="dxa"/>
                  <w:vAlign w:val="center"/>
                </w:tcPr>
                <w:p>
                  <w:pPr>
                    <w:keepNext w:val="0"/>
                    <w:keepLines w:val="0"/>
                    <w:widowControl/>
                    <w:suppressLineNumbers w:val="0"/>
                    <w:jc w:val="center"/>
                    <w:textAlignment w:val="center"/>
                    <w:rPr>
                      <w:rFonts w:hint="default"/>
                      <w:lang w:eastAsia="zh-CN"/>
                    </w:rPr>
                  </w:pPr>
                  <w:r>
                    <w:rPr>
                      <w:rFonts w:hint="eastAsia"/>
                      <w:lang w:val="en-US" w:eastAsia="zh-CN"/>
                    </w:rPr>
                    <w:t>0.63</w:t>
                  </w:r>
                </w:p>
              </w:tc>
              <w:tc>
                <w:tcPr>
                  <w:tcW w:w="1994" w:type="dxa"/>
                  <w:vAlign w:val="center"/>
                </w:tcPr>
                <w:p>
                  <w:pPr>
                    <w:keepNext w:val="0"/>
                    <w:keepLines w:val="0"/>
                    <w:widowControl/>
                    <w:suppressLineNumbers w:val="0"/>
                    <w:jc w:val="center"/>
                    <w:textAlignment w:val="center"/>
                    <w:rPr>
                      <w:rFonts w:hint="default"/>
                      <w:lang w:eastAsia="zh-CN"/>
                    </w:rPr>
                  </w:pPr>
                  <w:r>
                    <w:rPr>
                      <w:rFonts w:hint="default"/>
                      <w:lang w:val="en-US" w:eastAsia="zh-CN"/>
                    </w:rPr>
                    <w:t xml:space="preserve">0.233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Merge w:val="restart"/>
                  <w:vAlign w:val="center"/>
                </w:tcPr>
                <w:p>
                  <w:pPr>
                    <w:numPr>
                      <w:ilvl w:val="0"/>
                      <w:numId w:val="0"/>
                    </w:numPr>
                    <w:ind w:left="0" w:leftChars="0" w:firstLine="0" w:firstLineChars="0"/>
                    <w:jc w:val="center"/>
                    <w:rPr>
                      <w:rFonts w:hint="default"/>
                      <w:lang w:val="en-US" w:eastAsia="zh-CN"/>
                    </w:rPr>
                  </w:pPr>
                  <w:r>
                    <w:rPr>
                      <w:rFonts w:hint="default"/>
                      <w:lang w:val="en-US" w:eastAsia="zh-CN"/>
                    </w:rPr>
                    <w:t>2#</w:t>
                  </w:r>
                  <w:r>
                    <w:rPr>
                      <w:rFonts w:hint="eastAsia"/>
                      <w:lang w:val="en-US" w:eastAsia="zh-CN"/>
                    </w:rPr>
                    <w:t>厂界下风向</w:t>
                  </w:r>
                </w:p>
                <w:p>
                  <w:pPr>
                    <w:keepNext w:val="0"/>
                    <w:keepLines w:val="0"/>
                    <w:widowControl/>
                    <w:suppressLineNumbers w:val="0"/>
                    <w:jc w:val="center"/>
                    <w:textAlignment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频次一</w:t>
                  </w:r>
                </w:p>
              </w:tc>
              <w:tc>
                <w:tcPr>
                  <w:tcW w:w="1992" w:type="dxa"/>
                  <w:vAlign w:val="center"/>
                </w:tcPr>
                <w:p>
                  <w:pPr>
                    <w:keepNext w:val="0"/>
                    <w:keepLines w:val="0"/>
                    <w:widowControl/>
                    <w:suppressLineNumbers w:val="0"/>
                    <w:jc w:val="center"/>
                    <w:textAlignment w:val="center"/>
                    <w:rPr>
                      <w:rFonts w:hint="default"/>
                      <w:lang w:eastAsia="zh-CN"/>
                    </w:rPr>
                  </w:pPr>
                  <w:r>
                    <w:rPr>
                      <w:rFonts w:hint="eastAsia"/>
                      <w:lang w:val="en-US" w:eastAsia="zh-CN"/>
                    </w:rPr>
                    <w:t>0.69</w:t>
                  </w:r>
                </w:p>
              </w:tc>
              <w:tc>
                <w:tcPr>
                  <w:tcW w:w="1994" w:type="dxa"/>
                  <w:vAlign w:val="center"/>
                </w:tcPr>
                <w:p>
                  <w:pPr>
                    <w:keepNext w:val="0"/>
                    <w:keepLines w:val="0"/>
                    <w:widowControl/>
                    <w:suppressLineNumbers w:val="0"/>
                    <w:jc w:val="center"/>
                    <w:textAlignment w:val="center"/>
                    <w:rPr>
                      <w:rFonts w:hint="default"/>
                      <w:lang w:eastAsia="zh-CN"/>
                    </w:rPr>
                  </w:pPr>
                  <w:r>
                    <w:rPr>
                      <w:rFonts w:hint="default"/>
                      <w:lang w:val="en-US" w:eastAsia="zh-CN"/>
                    </w:rPr>
                    <w:t xml:space="preserve">0.344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频次二</w:t>
                  </w:r>
                </w:p>
              </w:tc>
              <w:tc>
                <w:tcPr>
                  <w:tcW w:w="1992" w:type="dxa"/>
                  <w:vAlign w:val="center"/>
                </w:tcPr>
                <w:p>
                  <w:pPr>
                    <w:keepNext w:val="0"/>
                    <w:keepLines w:val="0"/>
                    <w:widowControl/>
                    <w:suppressLineNumbers w:val="0"/>
                    <w:jc w:val="center"/>
                    <w:textAlignment w:val="center"/>
                    <w:rPr>
                      <w:rFonts w:hint="default"/>
                      <w:lang w:eastAsia="zh-CN"/>
                    </w:rPr>
                  </w:pPr>
                  <w:r>
                    <w:rPr>
                      <w:rFonts w:hint="eastAsia"/>
                      <w:lang w:val="en-US" w:eastAsia="zh-CN"/>
                    </w:rPr>
                    <w:t>0.74</w:t>
                  </w:r>
                </w:p>
              </w:tc>
              <w:tc>
                <w:tcPr>
                  <w:tcW w:w="1994" w:type="dxa"/>
                  <w:vAlign w:val="center"/>
                </w:tcPr>
                <w:p>
                  <w:pPr>
                    <w:keepNext w:val="0"/>
                    <w:keepLines w:val="0"/>
                    <w:widowControl/>
                    <w:suppressLineNumbers w:val="0"/>
                    <w:jc w:val="center"/>
                    <w:textAlignment w:val="center"/>
                    <w:rPr>
                      <w:rFonts w:hint="default"/>
                      <w:lang w:eastAsia="zh-CN"/>
                    </w:rPr>
                  </w:pPr>
                  <w:r>
                    <w:rPr>
                      <w:rFonts w:hint="default"/>
                      <w:lang w:val="en-US" w:eastAsia="zh-CN"/>
                    </w:rPr>
                    <w:t xml:space="preserve">0.339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频次三</w:t>
                  </w:r>
                </w:p>
              </w:tc>
              <w:tc>
                <w:tcPr>
                  <w:tcW w:w="1992" w:type="dxa"/>
                  <w:vAlign w:val="center"/>
                </w:tcPr>
                <w:p>
                  <w:pPr>
                    <w:keepNext w:val="0"/>
                    <w:keepLines w:val="0"/>
                    <w:widowControl/>
                    <w:suppressLineNumbers w:val="0"/>
                    <w:jc w:val="center"/>
                    <w:textAlignment w:val="center"/>
                    <w:rPr>
                      <w:rFonts w:hint="default"/>
                      <w:lang w:eastAsia="zh-CN"/>
                    </w:rPr>
                  </w:pPr>
                  <w:r>
                    <w:rPr>
                      <w:rFonts w:hint="eastAsia"/>
                      <w:lang w:val="en-US" w:eastAsia="zh-CN"/>
                    </w:rPr>
                    <w:t>0.70</w:t>
                  </w:r>
                </w:p>
              </w:tc>
              <w:tc>
                <w:tcPr>
                  <w:tcW w:w="1994" w:type="dxa"/>
                  <w:vAlign w:val="center"/>
                </w:tcPr>
                <w:p>
                  <w:pPr>
                    <w:keepNext w:val="0"/>
                    <w:keepLines w:val="0"/>
                    <w:widowControl/>
                    <w:suppressLineNumbers w:val="0"/>
                    <w:jc w:val="center"/>
                    <w:textAlignment w:val="center"/>
                    <w:rPr>
                      <w:rFonts w:hint="default"/>
                      <w:lang w:eastAsia="zh-CN"/>
                    </w:rPr>
                  </w:pPr>
                  <w:r>
                    <w:rPr>
                      <w:rFonts w:hint="default"/>
                      <w:lang w:val="en-US" w:eastAsia="zh-CN"/>
                    </w:rPr>
                    <w:t xml:space="preserve">0.317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992" w:type="dxa"/>
                  <w:vMerge w:val="restart"/>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2019.11.26</w:t>
                  </w:r>
                </w:p>
              </w:tc>
              <w:tc>
                <w:tcPr>
                  <w:tcW w:w="1992" w:type="dxa"/>
                  <w:vMerge w:val="restart"/>
                  <w:vAlign w:val="center"/>
                </w:tcPr>
                <w:p>
                  <w:pPr>
                    <w:numPr>
                      <w:ilvl w:val="0"/>
                      <w:numId w:val="0"/>
                    </w:numPr>
                    <w:ind w:left="0" w:leftChars="0" w:firstLine="0" w:firstLineChars="0"/>
                    <w:jc w:val="center"/>
                    <w:rPr>
                      <w:rFonts w:hint="default"/>
                      <w:lang w:val="en-US" w:eastAsia="zh-CN"/>
                    </w:rPr>
                  </w:pPr>
                  <w:r>
                    <w:rPr>
                      <w:rFonts w:hint="default"/>
                      <w:lang w:val="en-US" w:eastAsia="zh-CN"/>
                    </w:rPr>
                    <w:t>3#</w:t>
                  </w:r>
                  <w:r>
                    <w:rPr>
                      <w:rFonts w:hint="eastAsia"/>
                      <w:lang w:val="en-US" w:eastAsia="zh-CN"/>
                    </w:rPr>
                    <w:t>厂界下风向</w:t>
                  </w:r>
                </w:p>
                <w:p>
                  <w:pPr>
                    <w:keepNext w:val="0"/>
                    <w:keepLines w:val="0"/>
                    <w:widowControl/>
                    <w:suppressLineNumbers w:val="0"/>
                    <w:jc w:val="center"/>
                    <w:textAlignment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频次一</w:t>
                  </w:r>
                </w:p>
              </w:tc>
              <w:tc>
                <w:tcPr>
                  <w:tcW w:w="1992" w:type="dxa"/>
                  <w:vAlign w:val="center"/>
                </w:tcPr>
                <w:p>
                  <w:pPr>
                    <w:keepNext w:val="0"/>
                    <w:keepLines w:val="0"/>
                    <w:widowControl/>
                    <w:suppressLineNumbers w:val="0"/>
                    <w:jc w:val="center"/>
                    <w:textAlignment w:val="center"/>
                    <w:rPr>
                      <w:rFonts w:hint="default"/>
                      <w:lang w:eastAsia="zh-CN"/>
                    </w:rPr>
                  </w:pPr>
                  <w:r>
                    <w:rPr>
                      <w:rFonts w:hint="eastAsia"/>
                      <w:lang w:val="en-US" w:eastAsia="zh-CN"/>
                    </w:rPr>
                    <w:t>0.77</w:t>
                  </w:r>
                </w:p>
              </w:tc>
              <w:tc>
                <w:tcPr>
                  <w:tcW w:w="1994" w:type="dxa"/>
                  <w:vAlign w:val="center"/>
                </w:tcPr>
                <w:p>
                  <w:pPr>
                    <w:keepNext w:val="0"/>
                    <w:keepLines w:val="0"/>
                    <w:widowControl/>
                    <w:suppressLineNumbers w:val="0"/>
                    <w:jc w:val="center"/>
                    <w:textAlignment w:val="center"/>
                    <w:rPr>
                      <w:rFonts w:hint="default"/>
                      <w:lang w:eastAsia="zh-CN"/>
                    </w:rPr>
                  </w:pPr>
                  <w:r>
                    <w:rPr>
                      <w:rFonts w:hint="default"/>
                      <w:lang w:val="en-US" w:eastAsia="zh-CN"/>
                    </w:rPr>
                    <w:t xml:space="preserve">0.344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频次二</w:t>
                  </w:r>
                </w:p>
              </w:tc>
              <w:tc>
                <w:tcPr>
                  <w:tcW w:w="1992" w:type="dxa"/>
                  <w:vAlign w:val="center"/>
                </w:tcPr>
                <w:p>
                  <w:pPr>
                    <w:keepNext w:val="0"/>
                    <w:keepLines w:val="0"/>
                    <w:widowControl/>
                    <w:suppressLineNumbers w:val="0"/>
                    <w:jc w:val="center"/>
                    <w:textAlignment w:val="center"/>
                    <w:rPr>
                      <w:rFonts w:hint="default"/>
                      <w:lang w:eastAsia="zh-CN"/>
                    </w:rPr>
                  </w:pPr>
                  <w:r>
                    <w:rPr>
                      <w:rFonts w:hint="eastAsia"/>
                      <w:lang w:val="en-US" w:eastAsia="zh-CN"/>
                    </w:rPr>
                    <w:t>0.81</w:t>
                  </w:r>
                </w:p>
              </w:tc>
              <w:tc>
                <w:tcPr>
                  <w:tcW w:w="1994" w:type="dxa"/>
                  <w:vAlign w:val="center"/>
                </w:tcPr>
                <w:p>
                  <w:pPr>
                    <w:keepNext w:val="0"/>
                    <w:keepLines w:val="0"/>
                    <w:widowControl/>
                    <w:suppressLineNumbers w:val="0"/>
                    <w:jc w:val="center"/>
                    <w:textAlignment w:val="center"/>
                    <w:rPr>
                      <w:rFonts w:hint="default"/>
                      <w:lang w:eastAsia="zh-CN"/>
                    </w:rPr>
                  </w:pPr>
                  <w:r>
                    <w:rPr>
                      <w:rFonts w:hint="default"/>
                      <w:lang w:val="en-US" w:eastAsia="zh-CN"/>
                    </w:rPr>
                    <w:t xml:space="preserve">0.356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频次三</w:t>
                  </w:r>
                </w:p>
              </w:tc>
              <w:tc>
                <w:tcPr>
                  <w:tcW w:w="1992" w:type="dxa"/>
                  <w:vAlign w:val="center"/>
                </w:tcPr>
                <w:p>
                  <w:pPr>
                    <w:keepNext w:val="0"/>
                    <w:keepLines w:val="0"/>
                    <w:widowControl/>
                    <w:suppressLineNumbers w:val="0"/>
                    <w:jc w:val="center"/>
                    <w:textAlignment w:val="center"/>
                    <w:rPr>
                      <w:rFonts w:hint="default"/>
                      <w:lang w:eastAsia="zh-CN"/>
                    </w:rPr>
                  </w:pPr>
                  <w:r>
                    <w:rPr>
                      <w:rFonts w:hint="eastAsia"/>
                      <w:lang w:val="en-US" w:eastAsia="zh-CN"/>
                    </w:rPr>
                    <w:t>0.75</w:t>
                  </w:r>
                </w:p>
              </w:tc>
              <w:tc>
                <w:tcPr>
                  <w:tcW w:w="1994" w:type="dxa"/>
                  <w:vAlign w:val="center"/>
                </w:tcPr>
                <w:p>
                  <w:pPr>
                    <w:keepNext w:val="0"/>
                    <w:keepLines w:val="0"/>
                    <w:widowControl/>
                    <w:suppressLineNumbers w:val="0"/>
                    <w:jc w:val="center"/>
                    <w:textAlignment w:val="center"/>
                    <w:rPr>
                      <w:rFonts w:hint="default"/>
                      <w:lang w:eastAsia="zh-CN"/>
                    </w:rPr>
                  </w:pPr>
                  <w:r>
                    <w:rPr>
                      <w:rFonts w:hint="default"/>
                      <w:lang w:val="en-US" w:eastAsia="zh-CN"/>
                    </w:rPr>
                    <w:t xml:space="preserve">0.333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Merge w:val="restart"/>
                  <w:vAlign w:val="center"/>
                </w:tcPr>
                <w:p>
                  <w:pPr>
                    <w:numPr>
                      <w:ilvl w:val="0"/>
                      <w:numId w:val="0"/>
                    </w:numPr>
                    <w:ind w:left="0" w:leftChars="0" w:firstLine="0" w:firstLineChars="0"/>
                    <w:jc w:val="center"/>
                    <w:rPr>
                      <w:rFonts w:hint="default"/>
                      <w:lang w:val="en-US" w:eastAsia="zh-CN"/>
                    </w:rPr>
                  </w:pPr>
                  <w:r>
                    <w:rPr>
                      <w:rFonts w:hint="default"/>
                      <w:lang w:val="en-US" w:eastAsia="zh-CN"/>
                    </w:rPr>
                    <w:t>4#</w:t>
                  </w:r>
                  <w:r>
                    <w:rPr>
                      <w:rFonts w:hint="eastAsia"/>
                      <w:lang w:val="en-US" w:eastAsia="zh-CN"/>
                    </w:rPr>
                    <w:t>厂界下风向</w:t>
                  </w: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频次一</w:t>
                  </w:r>
                </w:p>
              </w:tc>
              <w:tc>
                <w:tcPr>
                  <w:tcW w:w="1992" w:type="dxa"/>
                  <w:vAlign w:val="center"/>
                </w:tcPr>
                <w:p>
                  <w:pPr>
                    <w:keepNext w:val="0"/>
                    <w:keepLines w:val="0"/>
                    <w:widowControl/>
                    <w:suppressLineNumbers w:val="0"/>
                    <w:jc w:val="center"/>
                    <w:textAlignment w:val="center"/>
                    <w:rPr>
                      <w:rFonts w:hint="default"/>
                      <w:lang w:eastAsia="zh-CN"/>
                    </w:rPr>
                  </w:pPr>
                  <w:r>
                    <w:rPr>
                      <w:rFonts w:hint="eastAsia"/>
                      <w:lang w:val="en-US" w:eastAsia="zh-CN"/>
                    </w:rPr>
                    <w:t>0.80</w:t>
                  </w:r>
                </w:p>
              </w:tc>
              <w:tc>
                <w:tcPr>
                  <w:tcW w:w="1994" w:type="dxa"/>
                  <w:vAlign w:val="center"/>
                </w:tcPr>
                <w:p>
                  <w:pPr>
                    <w:keepNext w:val="0"/>
                    <w:keepLines w:val="0"/>
                    <w:widowControl/>
                    <w:suppressLineNumbers w:val="0"/>
                    <w:jc w:val="center"/>
                    <w:textAlignment w:val="center"/>
                    <w:rPr>
                      <w:rFonts w:hint="default"/>
                      <w:lang w:eastAsia="zh-CN"/>
                    </w:rPr>
                  </w:pPr>
                  <w:r>
                    <w:rPr>
                      <w:rFonts w:hint="default"/>
                      <w:lang w:val="en-US" w:eastAsia="zh-CN"/>
                    </w:rPr>
                    <w:t xml:space="preserve">0.328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频次二</w:t>
                  </w:r>
                </w:p>
              </w:tc>
              <w:tc>
                <w:tcPr>
                  <w:tcW w:w="1992" w:type="dxa"/>
                  <w:vAlign w:val="center"/>
                </w:tcPr>
                <w:p>
                  <w:pPr>
                    <w:keepNext w:val="0"/>
                    <w:keepLines w:val="0"/>
                    <w:widowControl/>
                    <w:suppressLineNumbers w:val="0"/>
                    <w:jc w:val="center"/>
                    <w:textAlignment w:val="center"/>
                    <w:rPr>
                      <w:rFonts w:hint="default"/>
                      <w:lang w:eastAsia="zh-CN"/>
                    </w:rPr>
                  </w:pPr>
                  <w:r>
                    <w:rPr>
                      <w:rFonts w:hint="eastAsia"/>
                      <w:lang w:val="en-US" w:eastAsia="zh-CN"/>
                    </w:rPr>
                    <w:t>0.89</w:t>
                  </w:r>
                </w:p>
              </w:tc>
              <w:tc>
                <w:tcPr>
                  <w:tcW w:w="1994" w:type="dxa"/>
                  <w:vAlign w:val="center"/>
                </w:tcPr>
                <w:p>
                  <w:pPr>
                    <w:keepNext w:val="0"/>
                    <w:keepLines w:val="0"/>
                    <w:widowControl/>
                    <w:suppressLineNumbers w:val="0"/>
                    <w:jc w:val="center"/>
                    <w:textAlignment w:val="center"/>
                    <w:rPr>
                      <w:rFonts w:hint="default"/>
                      <w:lang w:eastAsia="zh-CN"/>
                    </w:rPr>
                  </w:pPr>
                  <w:r>
                    <w:rPr>
                      <w:rFonts w:hint="default"/>
                      <w:lang w:val="en-US" w:eastAsia="zh-CN"/>
                    </w:rPr>
                    <w:t xml:space="preserve">0.322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Merge w:val="continue"/>
                  <w:vAlign w:val="center"/>
                </w:tcPr>
                <w:p>
                  <w:pPr>
                    <w:keepNext w:val="0"/>
                    <w:keepLines w:val="0"/>
                    <w:widowControl/>
                    <w:suppressLineNumbers w:val="0"/>
                    <w:jc w:val="center"/>
                    <w:textAlignment w:val="center"/>
                    <w:rPr>
                      <w:rFonts w:hint="default"/>
                      <w:lang w:eastAsia="zh-CN"/>
                    </w:rPr>
                  </w:pPr>
                </w:p>
              </w:tc>
              <w:tc>
                <w:tcPr>
                  <w:tcW w:w="1992" w:type="dxa"/>
                  <w:vAlign w:val="center"/>
                </w:tcPr>
                <w:p>
                  <w:pPr>
                    <w:numPr>
                      <w:ilvl w:val="0"/>
                      <w:numId w:val="0"/>
                    </w:numPr>
                    <w:ind w:left="0" w:leftChars="0" w:firstLine="0" w:firstLineChars="0"/>
                    <w:jc w:val="center"/>
                    <w:rPr>
                      <w:rFonts w:hint="default"/>
                      <w:lang w:eastAsia="zh-CN"/>
                    </w:rPr>
                  </w:pPr>
                  <w:r>
                    <w:rPr>
                      <w:rFonts w:hint="default"/>
                      <w:lang w:val="en-US" w:eastAsia="zh-CN"/>
                    </w:rPr>
                    <w:t>频次三</w:t>
                  </w:r>
                </w:p>
              </w:tc>
              <w:tc>
                <w:tcPr>
                  <w:tcW w:w="1992" w:type="dxa"/>
                  <w:vAlign w:val="center"/>
                </w:tcPr>
                <w:p>
                  <w:pPr>
                    <w:keepNext w:val="0"/>
                    <w:keepLines w:val="0"/>
                    <w:widowControl/>
                    <w:suppressLineNumbers w:val="0"/>
                    <w:jc w:val="center"/>
                    <w:textAlignment w:val="center"/>
                    <w:rPr>
                      <w:rFonts w:hint="default"/>
                      <w:lang w:eastAsia="zh-CN"/>
                    </w:rPr>
                  </w:pPr>
                  <w:r>
                    <w:rPr>
                      <w:rFonts w:hint="eastAsia"/>
                      <w:lang w:val="en-US" w:eastAsia="zh-CN"/>
                    </w:rPr>
                    <w:t>0.85</w:t>
                  </w:r>
                </w:p>
              </w:tc>
              <w:tc>
                <w:tcPr>
                  <w:tcW w:w="1994" w:type="dxa"/>
                  <w:vAlign w:val="center"/>
                </w:tcPr>
                <w:p>
                  <w:pPr>
                    <w:keepNext w:val="0"/>
                    <w:keepLines w:val="0"/>
                    <w:widowControl/>
                    <w:suppressLineNumbers w:val="0"/>
                    <w:jc w:val="center"/>
                    <w:textAlignment w:val="center"/>
                    <w:rPr>
                      <w:rFonts w:hint="default"/>
                      <w:lang w:eastAsia="zh-CN"/>
                    </w:rPr>
                  </w:pPr>
                  <w:r>
                    <w:rPr>
                      <w:rFonts w:hint="default"/>
                      <w:lang w:val="en-US" w:eastAsia="zh-CN"/>
                    </w:rPr>
                    <w:t xml:space="preserve">0.350 </w:t>
                  </w:r>
                </w:p>
              </w:tc>
            </w:tr>
          </w:tbl>
          <w:p>
            <w:pPr>
              <w:pStyle w:val="43"/>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rPr>
              <w:t>有组织废气监测结果评价：验收监测期间，</w:t>
            </w:r>
            <w:r>
              <w:rPr>
                <w:rFonts w:hint="eastAsia"/>
                <w:sz w:val="24"/>
                <w:szCs w:val="24"/>
                <w:lang w:val="en-US" w:eastAsia="zh-CN"/>
              </w:rPr>
              <w:t>G</w:t>
            </w:r>
            <w:r>
              <w:rPr>
                <w:rFonts w:hint="default"/>
                <w:sz w:val="24"/>
                <w:szCs w:val="24"/>
                <w:lang w:val="en-US" w:eastAsia="zh-CN"/>
              </w:rPr>
              <w:t>1</w:t>
            </w:r>
            <w:r>
              <w:rPr>
                <w:rFonts w:hint="eastAsia"/>
                <w:sz w:val="24"/>
                <w:szCs w:val="24"/>
                <w:lang w:val="en-US" w:eastAsia="zh-CN"/>
              </w:rPr>
              <w:t>排气筒出口</w:t>
            </w:r>
            <w:r>
              <w:rPr>
                <w:rFonts w:hint="eastAsia"/>
                <w:sz w:val="24"/>
                <w:szCs w:val="24"/>
              </w:rPr>
              <w:t>颗粒物</w:t>
            </w:r>
            <w:r>
              <w:rPr>
                <w:rFonts w:hint="eastAsia"/>
                <w:sz w:val="24"/>
                <w:szCs w:val="24"/>
                <w:lang w:eastAsia="zh-CN"/>
              </w:rPr>
              <w:t>、</w:t>
            </w:r>
            <w:r>
              <w:rPr>
                <w:rFonts w:hint="eastAsia"/>
                <w:sz w:val="24"/>
                <w:szCs w:val="24"/>
                <w:lang w:val="en-US" w:eastAsia="zh-CN"/>
              </w:rPr>
              <w:t>VOCs</w:t>
            </w:r>
            <w:r>
              <w:rPr>
                <w:rFonts w:hint="eastAsia"/>
                <w:sz w:val="24"/>
                <w:szCs w:val="24"/>
              </w:rPr>
              <w:t>最大排放浓度</w:t>
            </w:r>
            <w:r>
              <w:rPr>
                <w:rFonts w:hint="eastAsia"/>
                <w:sz w:val="24"/>
                <w:szCs w:val="24"/>
                <w:lang w:eastAsia="zh-CN"/>
              </w:rPr>
              <w:t>分别</w:t>
            </w:r>
            <w:r>
              <w:rPr>
                <w:rFonts w:hint="eastAsia"/>
                <w:sz w:val="24"/>
                <w:szCs w:val="24"/>
              </w:rPr>
              <w:t>为</w:t>
            </w:r>
            <w:r>
              <w:rPr>
                <w:rFonts w:hint="eastAsia"/>
                <w:sz w:val="24"/>
                <w:szCs w:val="24"/>
                <w:lang w:val="en-US" w:eastAsia="zh-CN"/>
              </w:rPr>
              <w:t>4.2</w:t>
            </w:r>
            <w:r>
              <w:rPr>
                <w:sz w:val="24"/>
                <w:szCs w:val="24"/>
              </w:rPr>
              <w:t>mg/m3</w:t>
            </w:r>
            <w:r>
              <w:rPr>
                <w:rFonts w:hint="eastAsia"/>
                <w:sz w:val="24"/>
                <w:szCs w:val="24"/>
                <w:lang w:eastAsia="zh-CN"/>
              </w:rPr>
              <w:t>、</w:t>
            </w:r>
            <w:r>
              <w:rPr>
                <w:rFonts w:hint="eastAsia"/>
                <w:sz w:val="24"/>
                <w:szCs w:val="24"/>
                <w:lang w:val="en-US" w:eastAsia="zh-CN"/>
              </w:rPr>
              <w:t>3.05</w:t>
            </w:r>
            <w:r>
              <w:rPr>
                <w:sz w:val="24"/>
                <w:szCs w:val="24"/>
              </w:rPr>
              <w:t>mg/m3</w:t>
            </w:r>
            <w:r>
              <w:rPr>
                <w:rFonts w:hint="eastAsia"/>
                <w:sz w:val="24"/>
                <w:szCs w:val="24"/>
                <w:lang w:eastAsia="zh-CN"/>
              </w:rPr>
              <w:t>，</w:t>
            </w:r>
            <w:r>
              <w:rPr>
                <w:rFonts w:hint="eastAsia"/>
                <w:sz w:val="24"/>
                <w:szCs w:val="24"/>
              </w:rPr>
              <w:t>最大排放速率</w:t>
            </w:r>
            <w:r>
              <w:rPr>
                <w:rFonts w:hint="eastAsia"/>
                <w:sz w:val="24"/>
                <w:szCs w:val="24"/>
                <w:lang w:eastAsia="zh-CN"/>
              </w:rPr>
              <w:t>分别</w:t>
            </w:r>
            <w:r>
              <w:rPr>
                <w:rFonts w:hint="eastAsia"/>
                <w:sz w:val="24"/>
                <w:szCs w:val="24"/>
              </w:rPr>
              <w:t>为</w:t>
            </w:r>
            <w:r>
              <w:rPr>
                <w:rFonts w:hint="eastAsia"/>
                <w:sz w:val="24"/>
                <w:szCs w:val="24"/>
                <w:lang w:val="en-US" w:eastAsia="zh-CN"/>
              </w:rPr>
              <w:t>0.043</w:t>
            </w:r>
            <w:r>
              <w:rPr>
                <w:rFonts w:hint="default"/>
                <w:sz w:val="24"/>
                <w:szCs w:val="24"/>
              </w:rPr>
              <w:t>kg</w:t>
            </w:r>
            <w:r>
              <w:rPr>
                <w:sz w:val="24"/>
                <w:szCs w:val="24"/>
              </w:rPr>
              <w:t>/h</w:t>
            </w:r>
            <w:r>
              <w:rPr>
                <w:rFonts w:hint="eastAsia"/>
                <w:sz w:val="24"/>
                <w:szCs w:val="24"/>
                <w:lang w:eastAsia="zh-CN"/>
              </w:rPr>
              <w:t>、</w:t>
            </w:r>
            <w:r>
              <w:rPr>
                <w:rFonts w:hint="eastAsia"/>
                <w:sz w:val="24"/>
                <w:szCs w:val="24"/>
                <w:lang w:val="en-US" w:eastAsia="zh-CN"/>
              </w:rPr>
              <w:t>0.031</w:t>
            </w:r>
            <w:r>
              <w:rPr>
                <w:rFonts w:hint="default"/>
                <w:sz w:val="24"/>
                <w:szCs w:val="24"/>
              </w:rPr>
              <w:t>kg</w:t>
            </w:r>
            <w:r>
              <w:rPr>
                <w:sz w:val="24"/>
                <w:szCs w:val="24"/>
              </w:rPr>
              <w:t>/h</w:t>
            </w:r>
            <w:r>
              <w:rPr>
                <w:rFonts w:hint="eastAsia"/>
                <w:sz w:val="24"/>
                <w:szCs w:val="24"/>
                <w:lang w:eastAsia="zh-CN"/>
              </w:rPr>
              <w:t>，</w:t>
            </w:r>
            <w:r>
              <w:rPr>
                <w:rFonts w:hint="eastAsia"/>
                <w:sz w:val="24"/>
                <w:szCs w:val="24"/>
              </w:rPr>
              <w:t>能够</w:t>
            </w:r>
            <w:r>
              <w:rPr>
                <w:rFonts w:hint="eastAsia"/>
                <w:sz w:val="24"/>
                <w:szCs w:val="24"/>
                <w:lang w:eastAsia="zh-CN"/>
              </w:rPr>
              <w:t>分别</w:t>
            </w:r>
            <w:r>
              <w:rPr>
                <w:rFonts w:hint="eastAsia"/>
                <w:sz w:val="24"/>
                <w:szCs w:val="24"/>
              </w:rPr>
              <w:t>满足</w:t>
            </w:r>
            <w:r>
              <w:rPr>
                <w:rFonts w:hint="eastAsia"/>
                <w:sz w:val="24"/>
                <w:szCs w:val="24"/>
                <w:lang w:val="en-US" w:eastAsia="zh-CN"/>
              </w:rPr>
              <w:t>《区域性大气污染物综合排放标准》（DB37/2376-2019)表1重点控制区标准要求和《大气污染物综合排放标准》（GB16297-1996)表2标准要求；《挥发性有机物排放标准 第6部分：有机化工行业》（DB37/2801.6-2018）表1标准的要求。</w:t>
            </w:r>
          </w:p>
          <w:p>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24"/>
              </w:rPr>
              <w:t>厂界颗粒物</w:t>
            </w:r>
            <w:r>
              <w:rPr>
                <w:sz w:val="24"/>
                <w:szCs w:val="24"/>
              </w:rPr>
              <w:t>的最大浓度为</w:t>
            </w:r>
            <w:r>
              <w:rPr>
                <w:rFonts w:hint="eastAsia"/>
                <w:sz w:val="24"/>
                <w:szCs w:val="24"/>
                <w:lang w:val="en-US" w:eastAsia="zh-CN"/>
              </w:rPr>
              <w:t>0.367</w:t>
            </w:r>
            <w:r>
              <w:rPr>
                <w:sz w:val="24"/>
                <w:szCs w:val="24"/>
              </w:rPr>
              <w:t>mg/m3</w:t>
            </w:r>
            <w:r>
              <w:rPr>
                <w:rFonts w:hint="eastAsia"/>
                <w:sz w:val="24"/>
                <w:szCs w:val="24"/>
                <w:lang w:eastAsia="zh-CN"/>
              </w:rPr>
              <w:t>，</w:t>
            </w:r>
            <w:r>
              <w:rPr>
                <w:sz w:val="24"/>
                <w:szCs w:val="24"/>
              </w:rPr>
              <w:t>能够满足</w:t>
            </w:r>
            <w:r>
              <w:rPr>
                <w:rFonts w:hint="eastAsia"/>
                <w:sz w:val="24"/>
                <w:szCs w:val="24"/>
                <w:lang w:eastAsia="zh-CN"/>
              </w:rPr>
              <w:t>《</w:t>
            </w:r>
            <w:r>
              <w:rPr>
                <w:rFonts w:hint="eastAsia"/>
                <w:sz w:val="24"/>
                <w:szCs w:val="24"/>
                <w:lang w:val="en-US" w:eastAsia="zh-CN"/>
              </w:rPr>
              <w:t>大气污染物综合排放标准</w:t>
            </w:r>
            <w:r>
              <w:rPr>
                <w:rFonts w:hint="eastAsia"/>
                <w:sz w:val="24"/>
                <w:szCs w:val="24"/>
                <w:lang w:eastAsia="zh-CN"/>
              </w:rPr>
              <w:t>》</w:t>
            </w:r>
            <w:r>
              <w:rPr>
                <w:rFonts w:hint="eastAsia"/>
                <w:sz w:val="24"/>
                <w:szCs w:val="24"/>
              </w:rPr>
              <w:t>（</w:t>
            </w:r>
            <w:r>
              <w:rPr>
                <w:rFonts w:hint="eastAsia"/>
                <w:sz w:val="24"/>
                <w:szCs w:val="24"/>
                <w:lang w:val="en-US" w:eastAsia="zh-CN"/>
              </w:rPr>
              <w:t>G</w:t>
            </w:r>
            <w:r>
              <w:rPr>
                <w:sz w:val="24"/>
                <w:szCs w:val="24"/>
              </w:rPr>
              <w:t>B</w:t>
            </w:r>
            <w:r>
              <w:rPr>
                <w:rFonts w:hint="eastAsia"/>
                <w:sz w:val="24"/>
                <w:szCs w:val="24"/>
                <w:lang w:val="en-US" w:eastAsia="zh-CN"/>
              </w:rPr>
              <w:t>16297-1996</w:t>
            </w:r>
            <w:r>
              <w:rPr>
                <w:rFonts w:hint="eastAsia"/>
                <w:sz w:val="24"/>
                <w:szCs w:val="24"/>
              </w:rPr>
              <w:t>）表</w:t>
            </w:r>
            <w:r>
              <w:rPr>
                <w:rFonts w:hint="eastAsia"/>
                <w:sz w:val="24"/>
                <w:szCs w:val="24"/>
                <w:lang w:val="en-US" w:eastAsia="zh-CN"/>
              </w:rPr>
              <w:t>2中颗粒物厂界周围外浓度限值其他行业的限值要求；厂界</w:t>
            </w:r>
            <w:r>
              <w:rPr>
                <w:rFonts w:hint="default"/>
                <w:sz w:val="24"/>
                <w:szCs w:val="24"/>
                <w:lang w:val="en-US" w:eastAsia="zh-CN"/>
              </w:rPr>
              <w:t>VOCs</w:t>
            </w:r>
            <w:r>
              <w:rPr>
                <w:rFonts w:hint="eastAsia"/>
                <w:sz w:val="24"/>
                <w:szCs w:val="24"/>
                <w:lang w:val="en-US" w:eastAsia="zh-CN"/>
              </w:rPr>
              <w:t>排放</w:t>
            </w:r>
            <w:r>
              <w:rPr>
                <w:sz w:val="24"/>
                <w:szCs w:val="24"/>
              </w:rPr>
              <w:t>最大浓度</w:t>
            </w:r>
            <w:r>
              <w:rPr>
                <w:rFonts w:hint="eastAsia"/>
                <w:sz w:val="24"/>
                <w:szCs w:val="24"/>
                <w:lang w:val="en-US" w:eastAsia="zh-CN"/>
              </w:rPr>
              <w:t>分别</w:t>
            </w:r>
            <w:r>
              <w:rPr>
                <w:sz w:val="24"/>
                <w:szCs w:val="24"/>
              </w:rPr>
              <w:t>为</w:t>
            </w:r>
            <w:r>
              <w:rPr>
                <w:rFonts w:hint="default"/>
                <w:sz w:val="24"/>
                <w:szCs w:val="24"/>
                <w:lang w:val="en-US" w:eastAsia="zh-CN"/>
              </w:rPr>
              <w:t>0.</w:t>
            </w:r>
            <w:r>
              <w:rPr>
                <w:rFonts w:hint="eastAsia"/>
                <w:sz w:val="24"/>
                <w:szCs w:val="24"/>
                <w:lang w:val="en-US" w:eastAsia="zh-CN"/>
              </w:rPr>
              <w:t>89</w:t>
            </w:r>
            <w:r>
              <w:rPr>
                <w:sz w:val="24"/>
                <w:szCs w:val="24"/>
              </w:rPr>
              <w:t>mg/m3能够满足</w:t>
            </w:r>
            <w:r>
              <w:rPr>
                <w:rFonts w:hint="eastAsia"/>
                <w:sz w:val="24"/>
                <w:szCs w:val="24"/>
                <w:lang w:val="en-US" w:eastAsia="zh-CN"/>
              </w:rPr>
              <w:t>《挥发性有机物排放标准 第6部分：有机化工行业》</w:t>
            </w:r>
            <w:r>
              <w:rPr>
                <w:rFonts w:hint="default"/>
                <w:sz w:val="24"/>
                <w:szCs w:val="24"/>
                <w:lang w:val="en-US" w:eastAsia="zh-CN"/>
              </w:rPr>
              <w:t>（DB37/2801.</w:t>
            </w:r>
            <w:r>
              <w:rPr>
                <w:rFonts w:hint="eastAsia"/>
                <w:sz w:val="24"/>
                <w:szCs w:val="24"/>
                <w:lang w:val="en-US" w:eastAsia="zh-CN"/>
              </w:rPr>
              <w:t>6</w:t>
            </w:r>
            <w:r>
              <w:rPr>
                <w:rFonts w:hint="default"/>
                <w:sz w:val="24"/>
                <w:szCs w:val="24"/>
                <w:lang w:val="en-US" w:eastAsia="zh-CN"/>
              </w:rPr>
              <w:t>-201</w:t>
            </w:r>
            <w:r>
              <w:rPr>
                <w:rFonts w:hint="eastAsia"/>
                <w:sz w:val="24"/>
                <w:szCs w:val="24"/>
                <w:lang w:val="en-US" w:eastAsia="zh-CN"/>
              </w:rPr>
              <w:t>8</w:t>
            </w:r>
            <w:r>
              <w:rPr>
                <w:rFonts w:hint="default"/>
                <w:sz w:val="24"/>
                <w:szCs w:val="24"/>
                <w:lang w:val="en-US" w:eastAsia="zh-CN"/>
              </w:rPr>
              <w:t>）</w:t>
            </w:r>
            <w:r>
              <w:rPr>
                <w:sz w:val="24"/>
                <w:szCs w:val="24"/>
              </w:rPr>
              <w:t>表</w:t>
            </w:r>
            <w:r>
              <w:rPr>
                <w:rFonts w:hint="default"/>
                <w:sz w:val="24"/>
                <w:szCs w:val="24"/>
                <w:lang w:val="en-US" w:eastAsia="zh-CN"/>
              </w:rPr>
              <w:t>3</w:t>
            </w:r>
            <w:r>
              <w:rPr>
                <w:rFonts w:hint="eastAsia"/>
                <w:sz w:val="24"/>
                <w:szCs w:val="24"/>
                <w:lang w:val="en-US" w:eastAsia="zh-CN"/>
              </w:rPr>
              <w:t>中厂界监控点浓度限值要求。</w:t>
            </w:r>
          </w:p>
          <w:p>
            <w:pPr>
              <w:pStyle w:val="43"/>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sz w:val="24"/>
                <w:szCs w:val="24"/>
              </w:rPr>
            </w:pPr>
            <w:r>
              <w:rPr>
                <w:rFonts w:hint="eastAsia"/>
                <w:sz w:val="24"/>
                <w:szCs w:val="24"/>
                <w:lang w:val="en-US" w:eastAsia="zh-CN"/>
              </w:rPr>
              <w:t>2、</w:t>
            </w:r>
            <w:r>
              <w:rPr>
                <w:rFonts w:hint="eastAsia"/>
                <w:sz w:val="24"/>
                <w:szCs w:val="24"/>
              </w:rPr>
              <w:t xml:space="preserve">噪声监测结果及评价        </w:t>
            </w:r>
          </w:p>
          <w:p>
            <w:pPr>
              <w:keepNext w:val="0"/>
              <w:keepLines w:val="0"/>
              <w:pageBreakBefore w:val="0"/>
              <w:widowControl w:val="0"/>
              <w:kinsoku/>
              <w:wordWrap/>
              <w:overflowPunct/>
              <w:topLinePunct w:val="0"/>
              <w:autoSpaceDE/>
              <w:autoSpaceDN/>
              <w:bidi w:val="0"/>
              <w:adjustRightInd/>
              <w:snapToGrid/>
              <w:spacing w:beforeLines="20" w:line="360" w:lineRule="auto"/>
              <w:ind w:firstLine="480" w:firstLineChars="200"/>
              <w:textAlignment w:val="auto"/>
              <w:rPr>
                <w:rFonts w:hint="eastAsia"/>
                <w:sz w:val="24"/>
                <w:szCs w:val="24"/>
              </w:rPr>
            </w:pPr>
            <w:r>
              <w:rPr>
                <w:rFonts w:hint="default"/>
                <w:sz w:val="24"/>
                <w:szCs w:val="24"/>
              </w:rPr>
              <w:t>（1）</w:t>
            </w:r>
            <w:r>
              <w:rPr>
                <w:sz w:val="24"/>
                <w:szCs w:val="24"/>
              </w:rPr>
              <w:t>本次验收监测厂界噪声情况见表7-</w:t>
            </w:r>
            <w:r>
              <w:rPr>
                <w:rFonts w:hint="eastAsia"/>
                <w:sz w:val="24"/>
                <w:szCs w:val="24"/>
                <w:lang w:val="en-US" w:eastAsia="zh-CN"/>
              </w:rPr>
              <w:t>5</w:t>
            </w:r>
            <w:r>
              <w:rPr>
                <w:sz w:val="24"/>
                <w:szCs w:val="24"/>
              </w:rPr>
              <w:t>。</w:t>
            </w:r>
          </w:p>
          <w:p>
            <w:pPr>
              <w:keepNext/>
              <w:keepLines/>
              <w:widowControl/>
              <w:numPr>
                <w:ilvl w:val="2"/>
                <w:numId w:val="0"/>
              </w:numPr>
              <w:spacing w:line="360" w:lineRule="auto"/>
              <w:jc w:val="center"/>
            </w:pPr>
            <w:r>
              <w:rPr>
                <w:rFonts w:hint="eastAsia"/>
              </w:rPr>
              <w:t>表</w:t>
            </w:r>
            <w:r>
              <w:t>7-</w:t>
            </w:r>
            <w:r>
              <w:rPr>
                <w:rFonts w:hint="eastAsia"/>
                <w:lang w:val="en-US" w:eastAsia="zh-CN"/>
              </w:rPr>
              <w:t>5</w:t>
            </w:r>
            <w:r>
              <w:t>项目厂界噪声监测结果一览表</w:t>
            </w:r>
          </w:p>
          <w:tbl>
            <w:tblPr>
              <w:tblStyle w:val="29"/>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675"/>
              <w:gridCol w:w="930"/>
              <w:gridCol w:w="1305"/>
              <w:gridCol w:w="1590"/>
              <w:gridCol w:w="1067"/>
              <w:gridCol w:w="1067"/>
              <w:gridCol w:w="1067"/>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4" w:type="dxa"/>
                  <w:vMerge w:val="restart"/>
                  <w:vAlign w:val="center"/>
                </w:tcPr>
                <w:p>
                  <w:pPr>
                    <w:numPr>
                      <w:ilvl w:val="0"/>
                      <w:numId w:val="0"/>
                    </w:numPr>
                    <w:jc w:val="center"/>
                    <w:rPr>
                      <w:rFonts w:hint="default"/>
                      <w:lang w:val="en-US" w:eastAsia="zh-CN"/>
                    </w:rPr>
                  </w:pPr>
                  <w:r>
                    <w:rPr>
                      <w:rFonts w:hint="default"/>
                      <w:lang w:val="en-US" w:eastAsia="zh-CN"/>
                    </w:rPr>
                    <w:t>采样日期</w:t>
                  </w:r>
                </w:p>
              </w:tc>
              <w:tc>
                <w:tcPr>
                  <w:tcW w:w="1605" w:type="dxa"/>
                  <w:gridSpan w:val="2"/>
                  <w:vMerge w:val="restart"/>
                  <w:vAlign w:val="center"/>
                </w:tcPr>
                <w:p>
                  <w:pPr>
                    <w:numPr>
                      <w:ilvl w:val="0"/>
                      <w:numId w:val="0"/>
                    </w:numPr>
                    <w:jc w:val="both"/>
                    <w:rPr>
                      <w:rFonts w:hint="default"/>
                      <w:lang w:val="en-US" w:eastAsia="zh-CN"/>
                    </w:rPr>
                  </w:pPr>
                  <w:r>
                    <w:rPr>
                      <w:rFonts w:hint="default"/>
                      <w:lang w:val="en-US" w:eastAsia="zh-CN"/>
                    </w:rPr>
                    <w:t>采样时间</w:t>
                  </w:r>
                </w:p>
              </w:tc>
              <w:tc>
                <w:tcPr>
                  <w:tcW w:w="1305" w:type="dxa"/>
                  <w:vMerge w:val="restart"/>
                  <w:vAlign w:val="center"/>
                </w:tcPr>
                <w:p>
                  <w:pPr>
                    <w:numPr>
                      <w:ilvl w:val="0"/>
                      <w:numId w:val="0"/>
                    </w:numPr>
                    <w:jc w:val="center"/>
                    <w:rPr>
                      <w:rFonts w:hint="default"/>
                      <w:lang w:val="en-US" w:eastAsia="zh-CN"/>
                    </w:rPr>
                  </w:pPr>
                  <w:r>
                    <w:rPr>
                      <w:rFonts w:hint="default"/>
                      <w:lang w:val="en-US" w:eastAsia="zh-CN"/>
                    </w:rPr>
                    <w:t>主要声源</w:t>
                  </w:r>
                </w:p>
              </w:tc>
              <w:tc>
                <w:tcPr>
                  <w:tcW w:w="1590" w:type="dxa"/>
                  <w:vMerge w:val="restart"/>
                  <w:vAlign w:val="center"/>
                </w:tcPr>
                <w:p>
                  <w:pPr>
                    <w:numPr>
                      <w:ilvl w:val="0"/>
                      <w:numId w:val="0"/>
                    </w:numPr>
                    <w:jc w:val="center"/>
                    <w:rPr>
                      <w:rFonts w:hint="default"/>
                      <w:lang w:val="en-US" w:eastAsia="zh-CN"/>
                    </w:rPr>
                  </w:pPr>
                  <w:r>
                    <w:rPr>
                      <w:rFonts w:hint="default"/>
                      <w:lang w:val="en-US" w:eastAsia="zh-CN"/>
                    </w:rPr>
                    <w:t>检测项目</w:t>
                  </w:r>
                </w:p>
              </w:tc>
              <w:tc>
                <w:tcPr>
                  <w:tcW w:w="4268" w:type="dxa"/>
                  <w:gridSpan w:val="4"/>
                  <w:vAlign w:val="center"/>
                </w:tcPr>
                <w:p>
                  <w:pPr>
                    <w:numPr>
                      <w:ilvl w:val="0"/>
                      <w:numId w:val="0"/>
                    </w:numPr>
                    <w:jc w:val="center"/>
                    <w:rPr>
                      <w:rFonts w:hint="default"/>
                      <w:lang w:val="en-US" w:eastAsia="zh-CN"/>
                    </w:rPr>
                  </w:pPr>
                  <w:r>
                    <w:rPr>
                      <w:rFonts w:hint="default"/>
                      <w:lang w:val="en-US" w:eastAsia="zh-CN"/>
                    </w:rPr>
                    <w:t>采样点位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4" w:type="dxa"/>
                  <w:vMerge w:val="continue"/>
                  <w:vAlign w:val="center"/>
                </w:tcPr>
                <w:p>
                  <w:pPr>
                    <w:jc w:val="center"/>
                    <w:rPr>
                      <w:rFonts w:hint="default"/>
                    </w:rPr>
                  </w:pPr>
                </w:p>
              </w:tc>
              <w:tc>
                <w:tcPr>
                  <w:tcW w:w="1605" w:type="dxa"/>
                  <w:gridSpan w:val="2"/>
                  <w:vMerge w:val="continue"/>
                  <w:vAlign w:val="center"/>
                </w:tcPr>
                <w:p>
                  <w:pPr>
                    <w:jc w:val="both"/>
                    <w:rPr>
                      <w:rFonts w:hint="default"/>
                    </w:rPr>
                  </w:pPr>
                </w:p>
              </w:tc>
              <w:tc>
                <w:tcPr>
                  <w:tcW w:w="1305" w:type="dxa"/>
                  <w:vMerge w:val="continue"/>
                  <w:vAlign w:val="center"/>
                </w:tcPr>
                <w:p>
                  <w:pPr>
                    <w:jc w:val="center"/>
                    <w:rPr>
                      <w:rFonts w:hint="default"/>
                    </w:rPr>
                  </w:pPr>
                </w:p>
              </w:tc>
              <w:tc>
                <w:tcPr>
                  <w:tcW w:w="1590" w:type="dxa"/>
                  <w:vMerge w:val="continue"/>
                  <w:vAlign w:val="center"/>
                </w:tcPr>
                <w:p>
                  <w:pPr>
                    <w:numPr>
                      <w:ilvl w:val="0"/>
                      <w:numId w:val="0"/>
                    </w:numPr>
                    <w:jc w:val="center"/>
                    <w:rPr>
                      <w:rFonts w:hint="default"/>
                      <w:lang w:val="en-US" w:eastAsia="zh-CN"/>
                    </w:rPr>
                  </w:pPr>
                </w:p>
              </w:tc>
              <w:tc>
                <w:tcPr>
                  <w:tcW w:w="1067" w:type="dxa"/>
                  <w:vAlign w:val="center"/>
                </w:tcPr>
                <w:p>
                  <w:pPr>
                    <w:numPr>
                      <w:ilvl w:val="0"/>
                      <w:numId w:val="0"/>
                    </w:numPr>
                    <w:jc w:val="center"/>
                    <w:rPr>
                      <w:rFonts w:hint="default"/>
                    </w:rPr>
                  </w:pPr>
                  <w:r>
                    <w:rPr>
                      <w:rFonts w:hint="default"/>
                      <w:lang w:val="en-US" w:eastAsia="zh-CN"/>
                    </w:rPr>
                    <w:t>1#东厂界</w:t>
                  </w:r>
                </w:p>
              </w:tc>
              <w:tc>
                <w:tcPr>
                  <w:tcW w:w="1067" w:type="dxa"/>
                  <w:vAlign w:val="center"/>
                </w:tcPr>
                <w:p>
                  <w:pPr>
                    <w:numPr>
                      <w:ilvl w:val="0"/>
                      <w:numId w:val="0"/>
                    </w:numPr>
                    <w:jc w:val="center"/>
                    <w:rPr>
                      <w:rFonts w:hint="default"/>
                    </w:rPr>
                  </w:pPr>
                  <w:r>
                    <w:rPr>
                      <w:rFonts w:hint="eastAsia"/>
                      <w:lang w:val="en-US" w:eastAsia="zh-CN"/>
                    </w:rPr>
                    <w:t>2</w:t>
                  </w:r>
                  <w:r>
                    <w:rPr>
                      <w:rFonts w:hint="default"/>
                      <w:lang w:val="en-US" w:eastAsia="zh-CN"/>
                    </w:rPr>
                    <w:t>#</w:t>
                  </w:r>
                  <w:r>
                    <w:rPr>
                      <w:rFonts w:hint="eastAsia"/>
                      <w:lang w:val="en-US" w:eastAsia="zh-CN"/>
                    </w:rPr>
                    <w:t>南</w:t>
                  </w:r>
                  <w:r>
                    <w:rPr>
                      <w:rFonts w:hint="default"/>
                      <w:lang w:val="en-US" w:eastAsia="zh-CN"/>
                    </w:rPr>
                    <w:t>厂界</w:t>
                  </w:r>
                </w:p>
              </w:tc>
              <w:tc>
                <w:tcPr>
                  <w:tcW w:w="1067" w:type="dxa"/>
                  <w:vAlign w:val="center"/>
                </w:tcPr>
                <w:p>
                  <w:pPr>
                    <w:numPr>
                      <w:ilvl w:val="0"/>
                      <w:numId w:val="0"/>
                    </w:numPr>
                    <w:jc w:val="center"/>
                    <w:rPr>
                      <w:rFonts w:hint="default"/>
                      <w:lang w:val="en-US" w:eastAsia="zh-CN"/>
                    </w:rPr>
                  </w:pPr>
                  <w:r>
                    <w:rPr>
                      <w:rFonts w:hint="eastAsia"/>
                      <w:lang w:val="en-US" w:eastAsia="zh-CN"/>
                    </w:rPr>
                    <w:t>3#西厂界</w:t>
                  </w:r>
                </w:p>
              </w:tc>
              <w:tc>
                <w:tcPr>
                  <w:tcW w:w="1067" w:type="dxa"/>
                  <w:vAlign w:val="center"/>
                </w:tcPr>
                <w:p>
                  <w:pPr>
                    <w:numPr>
                      <w:ilvl w:val="0"/>
                      <w:numId w:val="0"/>
                    </w:numPr>
                    <w:jc w:val="left"/>
                    <w:rPr>
                      <w:rFonts w:hint="eastAsia"/>
                      <w:lang w:val="en-US" w:eastAsia="zh-CN"/>
                    </w:rPr>
                  </w:pPr>
                  <w:r>
                    <w:rPr>
                      <w:rFonts w:hint="eastAsia"/>
                      <w:lang w:val="en-US" w:eastAsia="zh-CN"/>
                    </w:rPr>
                    <w:t>4#北厂界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4" w:type="dxa"/>
                  <w:vMerge w:val="restart"/>
                  <w:vAlign w:val="center"/>
                </w:tcPr>
                <w:p>
                  <w:pPr>
                    <w:jc w:val="center"/>
                    <w:rPr>
                      <w:rFonts w:hint="default"/>
                      <w:lang w:val="en-US" w:eastAsia="zh-CN"/>
                    </w:rPr>
                  </w:pPr>
                  <w:r>
                    <w:rPr>
                      <w:rFonts w:hint="eastAsia"/>
                      <w:lang w:val="en-US" w:eastAsia="zh-CN"/>
                    </w:rPr>
                    <w:t>2019.11.25</w:t>
                  </w:r>
                </w:p>
              </w:tc>
              <w:tc>
                <w:tcPr>
                  <w:tcW w:w="675" w:type="dxa"/>
                  <w:vMerge w:val="restart"/>
                  <w:vAlign w:val="center"/>
                </w:tcPr>
                <w:p>
                  <w:pPr>
                    <w:numPr>
                      <w:ilvl w:val="0"/>
                      <w:numId w:val="0"/>
                    </w:numPr>
                    <w:ind w:left="0" w:leftChars="0" w:firstLine="0" w:firstLineChars="0"/>
                    <w:jc w:val="center"/>
                    <w:rPr>
                      <w:rFonts w:hint="default"/>
                    </w:rPr>
                  </w:pPr>
                  <w:r>
                    <w:rPr>
                      <w:rFonts w:hint="default"/>
                      <w:lang w:val="en-US" w:eastAsia="zh-CN"/>
                    </w:rPr>
                    <w:t>昼间</w:t>
                  </w:r>
                </w:p>
              </w:tc>
              <w:tc>
                <w:tcPr>
                  <w:tcW w:w="930"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上午</w:t>
                  </w:r>
                </w:p>
              </w:tc>
              <w:tc>
                <w:tcPr>
                  <w:tcW w:w="1305" w:type="dxa"/>
                  <w:vMerge w:val="restart"/>
                  <w:vAlign w:val="center"/>
                </w:tcPr>
                <w:p>
                  <w:pPr>
                    <w:jc w:val="center"/>
                    <w:rPr>
                      <w:rFonts w:hint="default"/>
                    </w:rPr>
                  </w:pPr>
                  <w:r>
                    <w:rPr>
                      <w:rFonts w:hint="eastAsia"/>
                    </w:rPr>
                    <w:t>工业噪声</w:t>
                  </w:r>
                </w:p>
              </w:tc>
              <w:tc>
                <w:tcPr>
                  <w:tcW w:w="1590" w:type="dxa"/>
                  <w:vMerge w:val="restart"/>
                  <w:vAlign w:val="center"/>
                </w:tcPr>
                <w:p>
                  <w:pPr>
                    <w:jc w:val="center"/>
                    <w:rPr>
                      <w:rFonts w:hint="default"/>
                    </w:rPr>
                  </w:pPr>
                  <w:r>
                    <w:rPr>
                      <w:rFonts w:hint="default"/>
                    </w:rPr>
                    <w:t>工业企业厂界噪声</w:t>
                  </w:r>
                </w:p>
                <w:p>
                  <w:pPr>
                    <w:numPr>
                      <w:ilvl w:val="0"/>
                      <w:numId w:val="0"/>
                    </w:numPr>
                    <w:jc w:val="center"/>
                    <w:rPr>
                      <w:rFonts w:hint="default"/>
                      <w:lang w:val="en-US" w:eastAsia="zh-CN"/>
                    </w:rPr>
                  </w:pPr>
                  <w:r>
                    <w:rPr>
                      <w:rFonts w:hint="default"/>
                    </w:rPr>
                    <w:t>Leq（dB（A））</w:t>
                  </w:r>
                </w:p>
              </w:tc>
              <w:tc>
                <w:tcPr>
                  <w:tcW w:w="1067" w:type="dxa"/>
                  <w:vAlign w:val="center"/>
                </w:tcPr>
                <w:p>
                  <w:pPr>
                    <w:numPr>
                      <w:ilvl w:val="0"/>
                      <w:numId w:val="0"/>
                    </w:numPr>
                    <w:jc w:val="center"/>
                    <w:rPr>
                      <w:rFonts w:hint="default"/>
                      <w:lang w:val="en-US" w:eastAsia="zh-CN"/>
                    </w:rPr>
                  </w:pPr>
                  <w:r>
                    <w:rPr>
                      <w:rFonts w:hint="eastAsia"/>
                      <w:lang w:val="en-US" w:eastAsia="zh-CN"/>
                    </w:rPr>
                    <w:t>54.8</w:t>
                  </w:r>
                </w:p>
              </w:tc>
              <w:tc>
                <w:tcPr>
                  <w:tcW w:w="1067" w:type="dxa"/>
                  <w:vAlign w:val="center"/>
                </w:tcPr>
                <w:p>
                  <w:pPr>
                    <w:numPr>
                      <w:ilvl w:val="0"/>
                      <w:numId w:val="0"/>
                    </w:numPr>
                    <w:jc w:val="center"/>
                    <w:rPr>
                      <w:rFonts w:hint="default"/>
                      <w:lang w:val="en-US" w:eastAsia="zh-CN"/>
                    </w:rPr>
                  </w:pPr>
                  <w:r>
                    <w:rPr>
                      <w:rFonts w:hint="eastAsia"/>
                      <w:lang w:val="en-US" w:eastAsia="zh-CN"/>
                    </w:rPr>
                    <w:t>53.7</w:t>
                  </w:r>
                </w:p>
              </w:tc>
              <w:tc>
                <w:tcPr>
                  <w:tcW w:w="1067" w:type="dxa"/>
                  <w:vAlign w:val="center"/>
                </w:tcPr>
                <w:p>
                  <w:pPr>
                    <w:numPr>
                      <w:ilvl w:val="0"/>
                      <w:numId w:val="0"/>
                    </w:numPr>
                    <w:jc w:val="center"/>
                    <w:rPr>
                      <w:rFonts w:hint="default"/>
                      <w:lang w:val="en-US" w:eastAsia="zh-CN"/>
                    </w:rPr>
                  </w:pPr>
                  <w:r>
                    <w:rPr>
                      <w:rFonts w:hint="eastAsia"/>
                      <w:lang w:val="en-US" w:eastAsia="zh-CN"/>
                    </w:rPr>
                    <w:t>53.2</w:t>
                  </w:r>
                </w:p>
              </w:tc>
              <w:tc>
                <w:tcPr>
                  <w:tcW w:w="1067" w:type="dxa"/>
                  <w:vAlign w:val="center"/>
                </w:tcPr>
                <w:p>
                  <w:pPr>
                    <w:numPr>
                      <w:ilvl w:val="0"/>
                      <w:numId w:val="0"/>
                    </w:numPr>
                    <w:jc w:val="center"/>
                    <w:rPr>
                      <w:rFonts w:hint="default"/>
                      <w:lang w:val="en-US" w:eastAsia="zh-CN"/>
                    </w:rPr>
                  </w:pPr>
                  <w:r>
                    <w:rPr>
                      <w:rFonts w:hint="eastAsia"/>
                      <w:lang w:val="en-US" w:eastAsia="zh-CN"/>
                    </w:rPr>
                    <w:t>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4" w:type="dxa"/>
                  <w:vMerge w:val="continue"/>
                  <w:vAlign w:val="center"/>
                </w:tcPr>
                <w:p>
                  <w:pPr>
                    <w:jc w:val="center"/>
                    <w:rPr>
                      <w:rFonts w:hint="default"/>
                      <w:lang w:val="en-US" w:eastAsia="zh-CN"/>
                    </w:rPr>
                  </w:pPr>
                </w:p>
              </w:tc>
              <w:tc>
                <w:tcPr>
                  <w:tcW w:w="675" w:type="dxa"/>
                  <w:vMerge w:val="continue"/>
                  <w:vAlign w:val="center"/>
                </w:tcPr>
                <w:p>
                  <w:pPr>
                    <w:numPr>
                      <w:ilvl w:val="0"/>
                      <w:numId w:val="0"/>
                    </w:numPr>
                    <w:ind w:left="0" w:leftChars="0" w:firstLine="0" w:firstLineChars="0"/>
                    <w:jc w:val="center"/>
                    <w:rPr>
                      <w:rFonts w:hint="default"/>
                      <w:lang w:val="en-US" w:eastAsia="zh-CN"/>
                    </w:rPr>
                  </w:pPr>
                </w:p>
              </w:tc>
              <w:tc>
                <w:tcPr>
                  <w:tcW w:w="930"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下午</w:t>
                  </w:r>
                </w:p>
              </w:tc>
              <w:tc>
                <w:tcPr>
                  <w:tcW w:w="1305" w:type="dxa"/>
                  <w:vMerge w:val="continue"/>
                  <w:vAlign w:val="center"/>
                </w:tcPr>
                <w:p>
                  <w:pPr>
                    <w:jc w:val="center"/>
                    <w:rPr>
                      <w:rFonts w:hint="eastAsia"/>
                    </w:rPr>
                  </w:pPr>
                </w:p>
              </w:tc>
              <w:tc>
                <w:tcPr>
                  <w:tcW w:w="1590" w:type="dxa"/>
                  <w:vMerge w:val="continue"/>
                  <w:vAlign w:val="center"/>
                </w:tcPr>
                <w:p>
                  <w:pPr>
                    <w:numPr>
                      <w:ilvl w:val="0"/>
                      <w:numId w:val="0"/>
                    </w:numPr>
                    <w:jc w:val="center"/>
                    <w:rPr>
                      <w:rFonts w:hint="default"/>
                    </w:rPr>
                  </w:pPr>
                </w:p>
              </w:tc>
              <w:tc>
                <w:tcPr>
                  <w:tcW w:w="1067"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53.9</w:t>
                  </w:r>
                </w:p>
              </w:tc>
              <w:tc>
                <w:tcPr>
                  <w:tcW w:w="1067"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54.1</w:t>
                  </w:r>
                </w:p>
              </w:tc>
              <w:tc>
                <w:tcPr>
                  <w:tcW w:w="1067"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53.2</w:t>
                  </w:r>
                </w:p>
              </w:tc>
              <w:tc>
                <w:tcPr>
                  <w:tcW w:w="1067"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4" w:type="dxa"/>
                  <w:vMerge w:val="restart"/>
                  <w:vAlign w:val="center"/>
                </w:tcPr>
                <w:p>
                  <w:pPr>
                    <w:jc w:val="center"/>
                    <w:rPr>
                      <w:rFonts w:hint="eastAsia"/>
                      <w:lang w:val="en-US" w:eastAsia="zh-CN"/>
                    </w:rPr>
                  </w:pPr>
                  <w:r>
                    <w:rPr>
                      <w:rFonts w:hint="eastAsia"/>
                      <w:lang w:val="en-US" w:eastAsia="zh-CN"/>
                    </w:rPr>
                    <w:t>2019.11.26</w:t>
                  </w:r>
                </w:p>
              </w:tc>
              <w:tc>
                <w:tcPr>
                  <w:tcW w:w="675" w:type="dxa"/>
                  <w:vMerge w:val="restart"/>
                  <w:vAlign w:val="center"/>
                </w:tcPr>
                <w:p>
                  <w:pPr>
                    <w:numPr>
                      <w:ilvl w:val="0"/>
                      <w:numId w:val="0"/>
                    </w:numPr>
                    <w:ind w:left="0" w:leftChars="0" w:firstLine="0" w:firstLineChars="0"/>
                    <w:jc w:val="center"/>
                    <w:rPr>
                      <w:rFonts w:hint="default"/>
                      <w:lang w:val="en-US" w:eastAsia="zh-CN"/>
                    </w:rPr>
                  </w:pPr>
                  <w:r>
                    <w:rPr>
                      <w:rFonts w:hint="default"/>
                      <w:lang w:val="en-US" w:eastAsia="zh-CN"/>
                    </w:rPr>
                    <w:t>昼间</w:t>
                  </w:r>
                </w:p>
                <w:p>
                  <w:pPr>
                    <w:numPr>
                      <w:ilvl w:val="0"/>
                      <w:numId w:val="0"/>
                    </w:numPr>
                    <w:ind w:left="0" w:leftChars="0" w:firstLine="0" w:firstLineChars="0"/>
                    <w:jc w:val="center"/>
                    <w:rPr>
                      <w:rFonts w:hint="default"/>
                      <w:lang w:val="en-US" w:eastAsia="zh-CN"/>
                    </w:rPr>
                  </w:pPr>
                </w:p>
              </w:tc>
              <w:tc>
                <w:tcPr>
                  <w:tcW w:w="930"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上午</w:t>
                  </w:r>
                </w:p>
              </w:tc>
              <w:tc>
                <w:tcPr>
                  <w:tcW w:w="1305" w:type="dxa"/>
                  <w:vMerge w:val="restart"/>
                  <w:vAlign w:val="center"/>
                </w:tcPr>
                <w:p>
                  <w:pPr>
                    <w:jc w:val="center"/>
                    <w:rPr>
                      <w:rFonts w:hint="eastAsia"/>
                      <w:lang w:val="en-US" w:eastAsia="zh-CN"/>
                    </w:rPr>
                  </w:pPr>
                  <w:r>
                    <w:rPr>
                      <w:rFonts w:hint="eastAsia"/>
                    </w:rPr>
                    <w:t>工业噪声</w:t>
                  </w:r>
                </w:p>
              </w:tc>
              <w:tc>
                <w:tcPr>
                  <w:tcW w:w="1590" w:type="dxa"/>
                  <w:vMerge w:val="restart"/>
                  <w:vAlign w:val="center"/>
                </w:tcPr>
                <w:p>
                  <w:pPr>
                    <w:jc w:val="center"/>
                    <w:rPr>
                      <w:rFonts w:hint="default"/>
                    </w:rPr>
                  </w:pPr>
                  <w:r>
                    <w:rPr>
                      <w:rFonts w:hint="default"/>
                    </w:rPr>
                    <w:t>工业企业厂界噪声</w:t>
                  </w:r>
                </w:p>
                <w:p>
                  <w:pPr>
                    <w:numPr>
                      <w:ilvl w:val="0"/>
                      <w:numId w:val="0"/>
                    </w:numPr>
                    <w:ind w:left="0" w:leftChars="0" w:firstLine="0" w:firstLineChars="0"/>
                    <w:jc w:val="center"/>
                    <w:rPr>
                      <w:rFonts w:hint="default"/>
                      <w:lang w:val="en-US" w:eastAsia="zh-CN"/>
                    </w:rPr>
                  </w:pPr>
                  <w:r>
                    <w:rPr>
                      <w:rFonts w:hint="default"/>
                    </w:rPr>
                    <w:t>Leq（dB（A））</w:t>
                  </w:r>
                </w:p>
              </w:tc>
              <w:tc>
                <w:tcPr>
                  <w:tcW w:w="1067"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55.2</w:t>
                  </w:r>
                </w:p>
              </w:tc>
              <w:tc>
                <w:tcPr>
                  <w:tcW w:w="1067"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54.8</w:t>
                  </w:r>
                </w:p>
              </w:tc>
              <w:tc>
                <w:tcPr>
                  <w:tcW w:w="1067"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54.3</w:t>
                  </w:r>
                </w:p>
              </w:tc>
              <w:tc>
                <w:tcPr>
                  <w:tcW w:w="1067"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4" w:type="dxa"/>
                  <w:vMerge w:val="continue"/>
                  <w:vAlign w:val="center"/>
                </w:tcPr>
                <w:p>
                  <w:pPr>
                    <w:jc w:val="center"/>
                    <w:rPr>
                      <w:rFonts w:hint="eastAsia"/>
                      <w:lang w:val="en-US" w:eastAsia="zh-CN"/>
                    </w:rPr>
                  </w:pPr>
                </w:p>
              </w:tc>
              <w:tc>
                <w:tcPr>
                  <w:tcW w:w="675" w:type="dxa"/>
                  <w:vMerge w:val="continue"/>
                  <w:vAlign w:val="center"/>
                </w:tcPr>
                <w:p>
                  <w:pPr>
                    <w:numPr>
                      <w:ilvl w:val="0"/>
                      <w:numId w:val="0"/>
                    </w:numPr>
                    <w:ind w:left="0" w:leftChars="0" w:firstLine="0" w:firstLineChars="0"/>
                    <w:jc w:val="center"/>
                    <w:rPr>
                      <w:rFonts w:hint="default"/>
                      <w:lang w:val="en-US" w:eastAsia="zh-CN"/>
                    </w:rPr>
                  </w:pPr>
                </w:p>
              </w:tc>
              <w:tc>
                <w:tcPr>
                  <w:tcW w:w="930"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下午</w:t>
                  </w:r>
                </w:p>
              </w:tc>
              <w:tc>
                <w:tcPr>
                  <w:tcW w:w="1305" w:type="dxa"/>
                  <w:vMerge w:val="continue"/>
                  <w:vAlign w:val="center"/>
                </w:tcPr>
                <w:p>
                  <w:pPr>
                    <w:jc w:val="center"/>
                    <w:rPr>
                      <w:rFonts w:hint="eastAsia"/>
                    </w:rPr>
                  </w:pPr>
                </w:p>
              </w:tc>
              <w:tc>
                <w:tcPr>
                  <w:tcW w:w="1590" w:type="dxa"/>
                  <w:vMerge w:val="continue"/>
                  <w:vAlign w:val="center"/>
                </w:tcPr>
                <w:p>
                  <w:pPr>
                    <w:numPr>
                      <w:ilvl w:val="0"/>
                      <w:numId w:val="0"/>
                    </w:numPr>
                    <w:jc w:val="center"/>
                    <w:rPr>
                      <w:rFonts w:hint="default"/>
                    </w:rPr>
                  </w:pPr>
                </w:p>
              </w:tc>
              <w:tc>
                <w:tcPr>
                  <w:tcW w:w="1067"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53.1</w:t>
                  </w:r>
                </w:p>
              </w:tc>
              <w:tc>
                <w:tcPr>
                  <w:tcW w:w="1067"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55.1</w:t>
                  </w:r>
                </w:p>
              </w:tc>
              <w:tc>
                <w:tcPr>
                  <w:tcW w:w="1067"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53.9</w:t>
                  </w:r>
                </w:p>
              </w:tc>
              <w:tc>
                <w:tcPr>
                  <w:tcW w:w="1067" w:type="dxa"/>
                  <w:vAlign w:val="center"/>
                </w:tcPr>
                <w:p>
                  <w:pPr>
                    <w:numPr>
                      <w:ilvl w:val="0"/>
                      <w:numId w:val="0"/>
                    </w:numPr>
                    <w:ind w:left="0" w:leftChars="0" w:firstLine="0" w:firstLineChars="0"/>
                    <w:jc w:val="center"/>
                    <w:rPr>
                      <w:rFonts w:hint="default"/>
                      <w:lang w:val="en-US" w:eastAsia="zh-CN"/>
                    </w:rPr>
                  </w:pPr>
                  <w:r>
                    <w:rPr>
                      <w:rFonts w:hint="eastAsia"/>
                      <w:lang w:val="en-US" w:eastAsia="zh-CN"/>
                    </w:rPr>
                    <w:t>56.1</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Lines="20" w:line="360" w:lineRule="auto"/>
              <w:ind w:firstLine="480" w:firstLineChars="200"/>
              <w:textAlignment w:val="auto"/>
              <w:rPr>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sz w:val="24"/>
                <w:szCs w:val="24"/>
              </w:rPr>
              <w:t>噪声监测结果评价</w:t>
            </w:r>
            <w:r>
              <w:rPr>
                <w:rFonts w:hint="eastAsia"/>
                <w:sz w:val="24"/>
                <w:szCs w:val="24"/>
              </w:rPr>
              <w:t>：</w:t>
            </w:r>
            <w:r>
              <w:rPr>
                <w:sz w:val="24"/>
                <w:szCs w:val="24"/>
              </w:rPr>
              <w:t>验收监测期间，厂界</w:t>
            </w:r>
            <w:r>
              <w:rPr>
                <w:rFonts w:hint="eastAsia"/>
                <w:sz w:val="24"/>
                <w:szCs w:val="24"/>
                <w:lang w:eastAsia="zh-CN"/>
              </w:rPr>
              <w:t>昼间</w:t>
            </w:r>
            <w:r>
              <w:rPr>
                <w:sz w:val="24"/>
                <w:szCs w:val="24"/>
              </w:rPr>
              <w:t>噪声值范围在</w:t>
            </w:r>
            <w:r>
              <w:rPr>
                <w:rFonts w:hint="eastAsia"/>
                <w:sz w:val="24"/>
                <w:szCs w:val="24"/>
                <w:lang w:val="en-US" w:eastAsia="zh-CN"/>
              </w:rPr>
              <w:t>53.1</w:t>
            </w:r>
            <w:r>
              <w:rPr>
                <w:sz w:val="24"/>
                <w:szCs w:val="24"/>
              </w:rPr>
              <w:t>~</w:t>
            </w:r>
            <w:r>
              <w:rPr>
                <w:rFonts w:hint="eastAsia"/>
                <w:sz w:val="24"/>
                <w:szCs w:val="24"/>
                <w:lang w:val="en-US" w:eastAsia="zh-CN"/>
              </w:rPr>
              <w:t>56.1</w:t>
            </w:r>
            <w:r>
              <w:rPr>
                <w:sz w:val="24"/>
                <w:szCs w:val="24"/>
              </w:rPr>
              <w:t>dB（A）之间，能够满足《工业企业厂界环境噪声排放标准》（GB12348-2008）中的</w:t>
            </w:r>
            <w:r>
              <w:rPr>
                <w:rFonts w:hint="eastAsia"/>
                <w:sz w:val="24"/>
                <w:szCs w:val="24"/>
              </w:rPr>
              <w:t>2</w:t>
            </w:r>
            <w:r>
              <w:rPr>
                <w:sz w:val="24"/>
                <w:szCs w:val="24"/>
              </w:rPr>
              <w:t>类标准要求。</w:t>
            </w:r>
          </w:p>
          <w:p>
            <w:pPr>
              <w:pStyle w:val="2"/>
              <w:ind w:left="0" w:leftChars="0" w:firstLine="0" w:firstLineChars="0"/>
              <w:rPr>
                <w:sz w:val="24"/>
                <w:szCs w:val="24"/>
              </w:rPr>
            </w:pPr>
            <w:r>
              <w:rPr>
                <w:rFonts w:hint="eastAsia" w:asciiTheme="minorHAnsi" w:hAnsiTheme="minorHAnsi" w:eastAsiaTheme="minorEastAsia" w:cstheme="minorBidi"/>
                <w:kern w:val="2"/>
                <w:sz w:val="24"/>
                <w:szCs w:val="24"/>
                <w:lang w:val="en-US" w:eastAsia="zh-CN" w:bidi="ar-SA"/>
              </w:rPr>
              <w:t xml:space="preserve">3、废水监测结果及评价  </w:t>
            </w:r>
            <w:r>
              <w:rPr>
                <w:rFonts w:hint="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beforeLines="20" w:line="360" w:lineRule="auto"/>
              <w:ind w:firstLine="480" w:firstLineChars="200"/>
              <w:textAlignment w:val="auto"/>
              <w:rPr>
                <w:sz w:val="24"/>
                <w:szCs w:val="24"/>
              </w:rPr>
            </w:pPr>
            <w:r>
              <w:rPr>
                <w:rFonts w:hint="default"/>
                <w:sz w:val="24"/>
                <w:szCs w:val="24"/>
              </w:rPr>
              <w:t>（1）</w:t>
            </w:r>
            <w:r>
              <w:rPr>
                <w:sz w:val="24"/>
                <w:szCs w:val="24"/>
              </w:rPr>
              <w:t>本次验收监测厂界噪声情况见表7-</w:t>
            </w:r>
            <w:r>
              <w:rPr>
                <w:rFonts w:hint="eastAsia"/>
                <w:sz w:val="24"/>
                <w:szCs w:val="24"/>
                <w:lang w:val="en-US" w:eastAsia="zh-CN"/>
              </w:rPr>
              <w:t>6</w:t>
            </w:r>
            <w:r>
              <w:rPr>
                <w:sz w:val="24"/>
                <w:szCs w:val="24"/>
              </w:rPr>
              <w:t>。</w:t>
            </w:r>
          </w:p>
          <w:p>
            <w:pPr>
              <w:pStyle w:val="2"/>
              <w:jc w:val="center"/>
              <w:rPr>
                <w:rFonts w:asciiTheme="minorHAnsi" w:hAnsiTheme="minorHAnsi" w:eastAsiaTheme="minorEastAsia" w:cstheme="minorBidi"/>
                <w:kern w:val="2"/>
                <w:sz w:val="21"/>
                <w:szCs w:val="21"/>
                <w:lang w:val="en-US" w:eastAsia="zh-CN" w:bidi="ar-SA"/>
              </w:rPr>
            </w:pPr>
            <w:r>
              <w:rPr>
                <w:rFonts w:hint="eastAsia" w:asciiTheme="minorHAnsi" w:hAnsiTheme="minorHAnsi" w:eastAsiaTheme="minorEastAsia" w:cstheme="minorBidi"/>
                <w:kern w:val="2"/>
                <w:sz w:val="21"/>
                <w:szCs w:val="21"/>
                <w:lang w:val="en-US" w:eastAsia="zh-CN" w:bidi="ar-SA"/>
              </w:rPr>
              <w:t>表</w:t>
            </w:r>
            <w:r>
              <w:rPr>
                <w:rFonts w:asciiTheme="minorHAnsi" w:hAnsiTheme="minorHAnsi" w:eastAsiaTheme="minorEastAsia" w:cstheme="minorBidi"/>
                <w:kern w:val="2"/>
                <w:sz w:val="21"/>
                <w:szCs w:val="21"/>
                <w:lang w:val="en-US" w:eastAsia="zh-CN" w:bidi="ar-SA"/>
              </w:rPr>
              <w:t>7-</w:t>
            </w:r>
            <w:r>
              <w:rPr>
                <w:rFonts w:hint="eastAsia" w:asciiTheme="minorHAnsi" w:hAnsiTheme="minorHAnsi" w:eastAsiaTheme="minorEastAsia" w:cstheme="minorBidi"/>
                <w:kern w:val="2"/>
                <w:sz w:val="21"/>
                <w:szCs w:val="21"/>
                <w:lang w:val="en-US" w:eastAsia="zh-CN" w:bidi="ar-SA"/>
              </w:rPr>
              <w:t xml:space="preserve">6 </w:t>
            </w:r>
            <w:r>
              <w:rPr>
                <w:rFonts w:asciiTheme="minorHAnsi" w:hAnsiTheme="minorHAnsi" w:eastAsiaTheme="minorEastAsia" w:cstheme="minorBidi"/>
                <w:kern w:val="2"/>
                <w:sz w:val="21"/>
                <w:szCs w:val="21"/>
                <w:lang w:val="en-US" w:eastAsia="zh-CN" w:bidi="ar-SA"/>
              </w:rPr>
              <w:t>项目</w:t>
            </w:r>
            <w:r>
              <w:rPr>
                <w:rFonts w:hint="eastAsia" w:asciiTheme="minorHAnsi" w:hAnsiTheme="minorHAnsi" w:eastAsiaTheme="minorEastAsia" w:cstheme="minorBidi"/>
                <w:kern w:val="2"/>
                <w:sz w:val="21"/>
                <w:szCs w:val="21"/>
                <w:lang w:val="en-US" w:eastAsia="zh-CN" w:bidi="ar-SA"/>
              </w:rPr>
              <w:t>废水</w:t>
            </w:r>
            <w:r>
              <w:rPr>
                <w:rFonts w:asciiTheme="minorHAnsi" w:hAnsiTheme="minorHAnsi" w:eastAsiaTheme="minorEastAsia" w:cstheme="minorBidi"/>
                <w:kern w:val="2"/>
                <w:sz w:val="21"/>
                <w:szCs w:val="21"/>
                <w:lang w:val="en-US" w:eastAsia="zh-CN" w:bidi="ar-SA"/>
              </w:rPr>
              <w:t>监测结果一览表</w:t>
            </w:r>
          </w:p>
          <w:tbl>
            <w:tblPr>
              <w:tblStyle w:val="29"/>
              <w:tblW w:w="99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425"/>
              <w:gridCol w:w="1440"/>
              <w:gridCol w:w="1455"/>
              <w:gridCol w:w="1455"/>
              <w:gridCol w:w="1455"/>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209" w:type="dxa"/>
                  <w:vMerge w:val="restart"/>
                  <w:vAlign w:val="center"/>
                </w:tcPr>
                <w:p>
                  <w:pPr>
                    <w:numPr>
                      <w:ilvl w:val="0"/>
                      <w:numId w:val="0"/>
                    </w:numPr>
                    <w:spacing w:line="240" w:lineRule="auto"/>
                    <w:ind w:left="0" w:leftChars="0" w:firstLine="0" w:firstLineChars="0"/>
                    <w:jc w:val="center"/>
                    <w:rPr>
                      <w:rFonts w:hint="default" w:ascii="Times New Roman" w:hAnsi="Times New Roman" w:cs="Times New Roman"/>
                      <w:b/>
                      <w:bCs/>
                      <w:sz w:val="21"/>
                      <w:szCs w:val="21"/>
                      <w:vertAlign w:val="baseline"/>
                      <w:lang w:eastAsia="zh-CN"/>
                    </w:rPr>
                  </w:pPr>
                  <w:r>
                    <w:rPr>
                      <w:rFonts w:hint="default" w:ascii="Times New Roman" w:hAnsi="Times New Roman" w:cs="Times New Roman"/>
                      <w:sz w:val="21"/>
                      <w:szCs w:val="21"/>
                      <w:vertAlign w:val="baseline"/>
                      <w:lang w:val="en-US" w:eastAsia="zh-CN"/>
                    </w:rPr>
                    <w:t>采样日期</w:t>
                  </w:r>
                </w:p>
              </w:tc>
              <w:tc>
                <w:tcPr>
                  <w:tcW w:w="1425" w:type="dxa"/>
                  <w:vMerge w:val="restart"/>
                  <w:vAlign w:val="center"/>
                </w:tcPr>
                <w:p>
                  <w:pPr>
                    <w:numPr>
                      <w:ilvl w:val="0"/>
                      <w:numId w:val="0"/>
                    </w:numPr>
                    <w:spacing w:line="240" w:lineRule="auto"/>
                    <w:ind w:left="0" w:leftChars="0" w:firstLine="0" w:firstLineChars="0"/>
                    <w:jc w:val="center"/>
                    <w:rPr>
                      <w:rFonts w:hint="default" w:ascii="Times New Roman" w:hAnsi="Times New Roman" w:cs="Times New Roman"/>
                      <w:b/>
                      <w:bCs/>
                      <w:sz w:val="21"/>
                      <w:szCs w:val="21"/>
                      <w:vertAlign w:val="baseline"/>
                      <w:lang w:eastAsia="zh-CN"/>
                    </w:rPr>
                  </w:pPr>
                  <w:r>
                    <w:rPr>
                      <w:rFonts w:hint="default" w:ascii="Times New Roman" w:hAnsi="Times New Roman" w:cs="Times New Roman"/>
                      <w:sz w:val="21"/>
                      <w:szCs w:val="21"/>
                      <w:vertAlign w:val="baseline"/>
                      <w:lang w:val="en-US" w:eastAsia="zh-CN"/>
                    </w:rPr>
                    <w:t>采样点位</w:t>
                  </w:r>
                </w:p>
              </w:tc>
              <w:tc>
                <w:tcPr>
                  <w:tcW w:w="1440" w:type="dxa"/>
                  <w:vMerge w:val="restart"/>
                  <w:vAlign w:val="center"/>
                </w:tcPr>
                <w:p>
                  <w:pPr>
                    <w:numPr>
                      <w:ilvl w:val="0"/>
                      <w:numId w:val="0"/>
                    </w:numPr>
                    <w:spacing w:line="240" w:lineRule="auto"/>
                    <w:ind w:left="0" w:leftChars="0" w:firstLine="0" w:firstLineChars="0"/>
                    <w:jc w:val="center"/>
                    <w:rPr>
                      <w:rFonts w:hint="default" w:ascii="Times New Roman" w:hAnsi="Times New Roman" w:cs="Times New Roman"/>
                      <w:b/>
                      <w:bCs/>
                      <w:sz w:val="21"/>
                      <w:szCs w:val="21"/>
                      <w:vertAlign w:val="baseline"/>
                      <w:lang w:eastAsia="zh-CN"/>
                    </w:rPr>
                  </w:pPr>
                  <w:r>
                    <w:rPr>
                      <w:rFonts w:hint="default" w:ascii="Times New Roman" w:hAnsi="Times New Roman" w:cs="Times New Roman"/>
                      <w:sz w:val="21"/>
                      <w:szCs w:val="21"/>
                      <w:vertAlign w:val="baseline"/>
                      <w:lang w:val="en-US" w:eastAsia="zh-CN"/>
                    </w:rPr>
                    <w:t>检测项目</w:t>
                  </w:r>
                </w:p>
              </w:tc>
              <w:tc>
                <w:tcPr>
                  <w:tcW w:w="4365" w:type="dxa"/>
                  <w:gridSpan w:val="3"/>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检测结果</w:t>
                  </w:r>
                </w:p>
              </w:tc>
              <w:tc>
                <w:tcPr>
                  <w:tcW w:w="1476" w:type="dxa"/>
                  <w:vMerge w:val="restart"/>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209" w:type="dxa"/>
                  <w:vMerge w:val="continue"/>
                  <w:vAlign w:val="center"/>
                </w:tcPr>
                <w:p>
                  <w:pPr>
                    <w:spacing w:line="240" w:lineRule="auto"/>
                    <w:ind w:left="0" w:leftChars="0" w:firstLine="0" w:firstLineChars="0"/>
                    <w:jc w:val="center"/>
                  </w:pPr>
                </w:p>
              </w:tc>
              <w:tc>
                <w:tcPr>
                  <w:tcW w:w="1425" w:type="dxa"/>
                  <w:vMerge w:val="continue"/>
                  <w:vAlign w:val="center"/>
                </w:tcPr>
                <w:p>
                  <w:pPr>
                    <w:spacing w:line="240" w:lineRule="auto"/>
                    <w:ind w:left="0" w:leftChars="0" w:firstLine="0" w:firstLineChars="0"/>
                    <w:jc w:val="center"/>
                  </w:pPr>
                </w:p>
              </w:tc>
              <w:tc>
                <w:tcPr>
                  <w:tcW w:w="1440" w:type="dxa"/>
                  <w:vMerge w:val="continue"/>
                  <w:vAlign w:val="center"/>
                </w:tcPr>
                <w:p>
                  <w:pPr>
                    <w:spacing w:line="240" w:lineRule="auto"/>
                    <w:ind w:left="0" w:leftChars="0" w:firstLine="0" w:firstLineChars="0"/>
                    <w:jc w:val="center"/>
                  </w:pPr>
                </w:p>
              </w:tc>
              <w:tc>
                <w:tcPr>
                  <w:tcW w:w="1455" w:type="dxa"/>
                  <w:vAlign w:val="center"/>
                </w:tcPr>
                <w:p>
                  <w:pPr>
                    <w:numPr>
                      <w:ilvl w:val="0"/>
                      <w:numId w:val="0"/>
                    </w:numPr>
                    <w:spacing w:line="240" w:lineRule="auto"/>
                    <w:ind w:left="0" w:leftChars="0" w:firstLine="0" w:firstLineChars="0"/>
                    <w:jc w:val="center"/>
                    <w:rPr>
                      <w:rFonts w:hint="eastAsia" w:ascii="Times New Roman" w:hAnsi="Times New Roman" w:eastAsia="SimSun" w:cs="Times New Roman"/>
                      <w:b/>
                      <w:bCs/>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频次一</w:t>
                  </w:r>
                </w:p>
              </w:tc>
              <w:tc>
                <w:tcPr>
                  <w:tcW w:w="1455" w:type="dxa"/>
                  <w:vAlign w:val="center"/>
                </w:tcPr>
                <w:p>
                  <w:pPr>
                    <w:numPr>
                      <w:ilvl w:val="0"/>
                      <w:numId w:val="0"/>
                    </w:numPr>
                    <w:spacing w:line="240" w:lineRule="auto"/>
                    <w:ind w:left="0" w:leftChars="0" w:firstLine="0" w:firstLineChars="0"/>
                    <w:jc w:val="center"/>
                    <w:rPr>
                      <w:rFonts w:hint="eastAsia" w:ascii="Times New Roman" w:hAnsi="Times New Roman" w:eastAsia="SimSun" w:cs="Times New Roman"/>
                      <w:b/>
                      <w:bCs/>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频次二</w:t>
                  </w:r>
                </w:p>
              </w:tc>
              <w:tc>
                <w:tcPr>
                  <w:tcW w:w="1455" w:type="dxa"/>
                  <w:vAlign w:val="center"/>
                </w:tcPr>
                <w:p>
                  <w:pPr>
                    <w:numPr>
                      <w:ilvl w:val="0"/>
                      <w:numId w:val="0"/>
                    </w:numPr>
                    <w:spacing w:line="240" w:lineRule="auto"/>
                    <w:ind w:left="0" w:leftChars="0" w:firstLine="0" w:firstLineChars="0"/>
                    <w:jc w:val="center"/>
                    <w:rPr>
                      <w:rFonts w:hint="eastAsia" w:ascii="Times New Roman" w:hAnsi="Times New Roman" w:eastAsia="SimSun" w:cs="Times New Roman"/>
                      <w:b/>
                      <w:bCs/>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频次三</w:t>
                  </w:r>
                </w:p>
              </w:tc>
              <w:tc>
                <w:tcPr>
                  <w:tcW w:w="1476" w:type="dxa"/>
                  <w:vMerge w:val="continue"/>
                  <w:vAlign w:val="center"/>
                </w:tcPr>
                <w:p>
                  <w:pPr>
                    <w:spacing w:line="240" w:lineRule="auto"/>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9" w:type="dxa"/>
                  <w:vMerge w:val="restart"/>
                  <w:tcBorders>
                    <w:top w:val="single" w:color="auto" w:sz="4" w:space="0"/>
                    <w:left w:val="single" w:color="auto" w:sz="4" w:space="0"/>
                    <w:right w:val="single" w:color="auto" w:sz="4" w:space="0"/>
                  </w:tcBorders>
                  <w:vAlign w:val="center"/>
                </w:tcPr>
                <w:p>
                  <w:pPr>
                    <w:numPr>
                      <w:ilvl w:val="0"/>
                      <w:numId w:val="0"/>
                    </w:numPr>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sz w:val="21"/>
                      <w:szCs w:val="21"/>
                      <w:vertAlign w:val="baseline"/>
                      <w:lang w:val="en-US" w:eastAsia="zh-CN"/>
                    </w:rPr>
                    <w:t>2019.11.2</w:t>
                  </w:r>
                  <w:r>
                    <w:rPr>
                      <w:rFonts w:hint="eastAsia" w:ascii="Times New Roman" w:hAnsi="Times New Roman" w:cs="Times New Roman"/>
                      <w:sz w:val="21"/>
                      <w:szCs w:val="21"/>
                      <w:vertAlign w:val="baseline"/>
                      <w:lang w:val="en-US" w:eastAsia="zh-CN"/>
                    </w:rPr>
                    <w:t>5</w:t>
                  </w:r>
                </w:p>
              </w:tc>
              <w:tc>
                <w:tcPr>
                  <w:tcW w:w="1425" w:type="dxa"/>
                  <w:vMerge w:val="restart"/>
                  <w:tcBorders>
                    <w:top w:val="single" w:color="auto" w:sz="4" w:space="0"/>
                    <w:left w:val="single" w:color="auto" w:sz="4" w:space="0"/>
                    <w:right w:val="single" w:color="auto" w:sz="4" w:space="0"/>
                  </w:tcBorders>
                  <w:vAlign w:val="center"/>
                </w:tcPr>
                <w:p>
                  <w:pPr>
                    <w:numPr>
                      <w:ilvl w:val="0"/>
                      <w:numId w:val="0"/>
                    </w:numPr>
                    <w:spacing w:line="240" w:lineRule="auto"/>
                    <w:jc w:val="center"/>
                    <w:rPr>
                      <w:rFonts w:hint="default" w:ascii="Times New Roman" w:hAnsi="Times New Roman" w:cs="Times New Roman"/>
                      <w:b/>
                      <w:bCs/>
                      <w:sz w:val="21"/>
                      <w:szCs w:val="21"/>
                      <w:vertAlign w:val="baseline"/>
                      <w:lang w:eastAsia="zh-CN"/>
                    </w:rPr>
                  </w:pPr>
                  <w:r>
                    <w:rPr>
                      <w:rFonts w:hint="default" w:ascii="Times New Roman" w:hAnsi="Times New Roman" w:cs="Times New Roman"/>
                      <w:b w:val="0"/>
                      <w:bCs w:val="0"/>
                      <w:sz w:val="21"/>
                      <w:szCs w:val="21"/>
                      <w:vertAlign w:val="baseline"/>
                      <w:lang w:eastAsia="zh-CN"/>
                    </w:rPr>
                    <w:t>污水总排口</w:t>
                  </w:r>
                </w:p>
              </w:tc>
              <w:tc>
                <w:tcPr>
                  <w:tcW w:w="1440" w:type="dxa"/>
                  <w:tcBorders>
                    <w:lef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b/>
                      <w:bCs/>
                      <w:sz w:val="21"/>
                      <w:szCs w:val="21"/>
                      <w:vertAlign w:val="baseline"/>
                      <w:lang w:eastAsia="zh-CN"/>
                    </w:rPr>
                  </w:pPr>
                  <w:r>
                    <w:rPr>
                      <w:rFonts w:hint="default" w:ascii="Times New Roman" w:hAnsi="Times New Roman" w:cs="Times New Roman"/>
                      <w:sz w:val="21"/>
                      <w:szCs w:val="21"/>
                      <w:vertAlign w:val="baseline"/>
                      <w:lang w:val="en-US" w:eastAsia="zh-CN"/>
                    </w:rPr>
                    <w:t>pH</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6.90</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cs="Times New Roman"/>
                      <w:b w:val="0"/>
                      <w:bCs w:val="0"/>
                      <w:vertAlign w:val="baseline"/>
                      <w:lang w:val="en-US" w:eastAsia="zh-CN"/>
                    </w:rPr>
                  </w:pPr>
                  <w:r>
                    <w:rPr>
                      <w:rFonts w:hint="eastAsia" w:ascii="Times New Roman" w:hAnsi="Times New Roman" w:cs="Times New Roman"/>
                      <w:sz w:val="21"/>
                      <w:szCs w:val="21"/>
                      <w:vertAlign w:val="baseline"/>
                      <w:lang w:val="en-US" w:eastAsia="zh-CN"/>
                    </w:rPr>
                    <w:t>6.95</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cs="Times New Roman"/>
                      <w:b w:val="0"/>
                      <w:bCs w:val="0"/>
                      <w:vertAlign w:val="baseline"/>
                      <w:lang w:val="en-US" w:eastAsia="zh-CN"/>
                    </w:rPr>
                  </w:pPr>
                  <w:r>
                    <w:rPr>
                      <w:rFonts w:hint="eastAsia" w:ascii="Times New Roman" w:hAnsi="Times New Roman" w:cs="Times New Roman"/>
                      <w:sz w:val="21"/>
                      <w:szCs w:val="21"/>
                      <w:vertAlign w:val="baseline"/>
                      <w:lang w:val="en-US" w:eastAsia="zh-CN"/>
                    </w:rPr>
                    <w:t>7.01</w:t>
                  </w:r>
                </w:p>
              </w:tc>
              <w:tc>
                <w:tcPr>
                  <w:tcW w:w="1476" w:type="dxa"/>
                  <w:vAlign w:val="center"/>
                </w:tcPr>
                <w:p>
                  <w:pPr>
                    <w:numPr>
                      <w:ilvl w:val="0"/>
                      <w:numId w:val="0"/>
                    </w:numPr>
                    <w:spacing w:line="240" w:lineRule="auto"/>
                    <w:ind w:left="0" w:leftChars="0" w:firstLine="0" w:firstLineChars="0"/>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9"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b/>
                      <w:bCs/>
                      <w:sz w:val="21"/>
                      <w:szCs w:val="21"/>
                      <w:vertAlign w:val="baseline"/>
                      <w:lang w:eastAsia="zh-CN"/>
                    </w:rPr>
                  </w:pPr>
                </w:p>
              </w:tc>
              <w:tc>
                <w:tcPr>
                  <w:tcW w:w="1425"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b/>
                      <w:bCs/>
                      <w:sz w:val="21"/>
                      <w:szCs w:val="21"/>
                      <w:vertAlign w:val="baseline"/>
                      <w:lang w:eastAsia="zh-CN"/>
                    </w:rPr>
                  </w:pPr>
                </w:p>
              </w:tc>
              <w:tc>
                <w:tcPr>
                  <w:tcW w:w="1440" w:type="dxa"/>
                  <w:tcBorders>
                    <w:lef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b/>
                      <w:bCs/>
                      <w:sz w:val="21"/>
                      <w:szCs w:val="21"/>
                      <w:vertAlign w:val="baseline"/>
                      <w:lang w:eastAsia="zh-CN"/>
                    </w:rPr>
                  </w:pPr>
                  <w:r>
                    <w:rPr>
                      <w:rFonts w:hint="default" w:ascii="Times New Roman" w:hAnsi="Times New Roman" w:cs="Times New Roman"/>
                      <w:b w:val="0"/>
                      <w:bCs w:val="0"/>
                      <w:sz w:val="21"/>
                      <w:szCs w:val="21"/>
                      <w:vertAlign w:val="baseline"/>
                      <w:lang w:eastAsia="zh-CN"/>
                    </w:rPr>
                    <w:t>氨氮</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6.3</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cs="Times New Roman"/>
                      <w:b w:val="0"/>
                      <w:bCs w:val="0"/>
                      <w:vertAlign w:val="baseline"/>
                      <w:lang w:val="en-US" w:eastAsia="zh-CN"/>
                    </w:rPr>
                  </w:pPr>
                  <w:r>
                    <w:rPr>
                      <w:rFonts w:hint="eastAsia" w:ascii="Times New Roman" w:hAnsi="Times New Roman" w:cs="Times New Roman"/>
                      <w:sz w:val="21"/>
                      <w:szCs w:val="21"/>
                      <w:vertAlign w:val="baseline"/>
                      <w:lang w:val="en-US" w:eastAsia="zh-CN"/>
                    </w:rPr>
                    <w:t>6.4</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cs="Times New Roman"/>
                      <w:b w:val="0"/>
                      <w:bCs w:val="0"/>
                      <w:vertAlign w:val="baseline"/>
                      <w:lang w:val="en-US" w:eastAsia="zh-CN"/>
                    </w:rPr>
                  </w:pPr>
                  <w:r>
                    <w:rPr>
                      <w:rFonts w:hint="eastAsia" w:ascii="Times New Roman" w:hAnsi="Times New Roman" w:cs="Times New Roman"/>
                      <w:sz w:val="21"/>
                      <w:szCs w:val="21"/>
                      <w:vertAlign w:val="baseline"/>
                      <w:lang w:val="en-US" w:eastAsia="zh-CN"/>
                    </w:rPr>
                    <w:t>6.6</w:t>
                  </w:r>
                </w:p>
              </w:tc>
              <w:tc>
                <w:tcPr>
                  <w:tcW w:w="1476" w:type="dxa"/>
                  <w:vAlign w:val="center"/>
                </w:tcPr>
                <w:p>
                  <w:pPr>
                    <w:numPr>
                      <w:ilvl w:val="0"/>
                      <w:numId w:val="0"/>
                    </w:numPr>
                    <w:spacing w:line="240" w:lineRule="auto"/>
                    <w:ind w:left="0" w:leftChars="0" w:firstLine="0" w:firstLineChars="0"/>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9"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b/>
                      <w:bCs/>
                      <w:sz w:val="21"/>
                      <w:szCs w:val="21"/>
                      <w:vertAlign w:val="baseline"/>
                      <w:lang w:eastAsia="zh-CN"/>
                    </w:rPr>
                  </w:pPr>
                </w:p>
              </w:tc>
              <w:tc>
                <w:tcPr>
                  <w:tcW w:w="1425"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b/>
                      <w:bCs/>
                      <w:sz w:val="21"/>
                      <w:szCs w:val="21"/>
                      <w:vertAlign w:val="baseline"/>
                      <w:lang w:eastAsia="zh-CN"/>
                    </w:rPr>
                  </w:pPr>
                </w:p>
              </w:tc>
              <w:tc>
                <w:tcPr>
                  <w:tcW w:w="1440" w:type="dxa"/>
                  <w:tcBorders>
                    <w:lef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b/>
                      <w:bCs/>
                      <w:sz w:val="21"/>
                      <w:szCs w:val="21"/>
                      <w:vertAlign w:val="baseline"/>
                      <w:lang w:eastAsia="zh-CN"/>
                    </w:rPr>
                  </w:pPr>
                  <w:r>
                    <w:rPr>
                      <w:rFonts w:hint="default" w:ascii="Times New Roman" w:hAnsi="Times New Roman" w:cs="Times New Roman"/>
                      <w:b w:val="0"/>
                      <w:bCs w:val="0"/>
                      <w:i w:val="0"/>
                      <w:iCs w:val="0"/>
                      <w:sz w:val="21"/>
                      <w:szCs w:val="21"/>
                      <w:vertAlign w:val="baseline"/>
                      <w:lang w:eastAsia="zh-CN"/>
                    </w:rPr>
                    <w:t>总磷</w:t>
                  </w:r>
                </w:p>
              </w:tc>
              <w:tc>
                <w:tcPr>
                  <w:tcW w:w="1455" w:type="dxa"/>
                  <w:vAlign w:val="center"/>
                </w:tcPr>
                <w:p>
                  <w:pPr>
                    <w:numPr>
                      <w:ilvl w:val="0"/>
                      <w:numId w:val="0"/>
                    </w:numPr>
                    <w:spacing w:line="36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b w:val="0"/>
                      <w:bCs w:val="0"/>
                      <w:sz w:val="21"/>
                      <w:szCs w:val="21"/>
                      <w:vertAlign w:val="baseline"/>
                      <w:lang w:val="en-US" w:eastAsia="zh-CN"/>
                    </w:rPr>
                    <w:t>0.04</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0.08</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0.06</w:t>
                  </w:r>
                </w:p>
              </w:tc>
              <w:tc>
                <w:tcPr>
                  <w:tcW w:w="1476" w:type="dxa"/>
                  <w:vAlign w:val="center"/>
                </w:tcPr>
                <w:p>
                  <w:pPr>
                    <w:numPr>
                      <w:ilvl w:val="0"/>
                      <w:numId w:val="0"/>
                    </w:numPr>
                    <w:spacing w:line="240" w:lineRule="auto"/>
                    <w:ind w:left="0" w:leftChars="0" w:firstLine="0" w:firstLineChars="0"/>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9"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b/>
                      <w:bCs/>
                      <w:sz w:val="21"/>
                      <w:szCs w:val="21"/>
                      <w:vertAlign w:val="baseline"/>
                      <w:lang w:eastAsia="zh-CN"/>
                    </w:rPr>
                  </w:pPr>
                </w:p>
              </w:tc>
              <w:tc>
                <w:tcPr>
                  <w:tcW w:w="1425"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b/>
                      <w:bCs/>
                      <w:sz w:val="21"/>
                      <w:szCs w:val="21"/>
                      <w:vertAlign w:val="baseline"/>
                      <w:lang w:eastAsia="zh-CN"/>
                    </w:rPr>
                  </w:pPr>
                </w:p>
              </w:tc>
              <w:tc>
                <w:tcPr>
                  <w:tcW w:w="1440" w:type="dxa"/>
                  <w:tcBorders>
                    <w:lef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b/>
                      <w:bCs/>
                      <w:sz w:val="21"/>
                      <w:szCs w:val="21"/>
                      <w:vertAlign w:val="baseline"/>
                      <w:lang w:eastAsia="zh-CN"/>
                    </w:rPr>
                  </w:pPr>
                  <w:r>
                    <w:rPr>
                      <w:rFonts w:hint="default" w:ascii="Times New Roman" w:hAnsi="Times New Roman" w:cs="Times New Roman"/>
                      <w:b w:val="0"/>
                      <w:bCs w:val="0"/>
                      <w:i w:val="0"/>
                      <w:iCs w:val="0"/>
                      <w:sz w:val="21"/>
                      <w:szCs w:val="21"/>
                      <w:vertAlign w:val="baseline"/>
                      <w:lang w:eastAsia="zh-CN"/>
                    </w:rPr>
                    <w:t>总氮</w:t>
                  </w:r>
                </w:p>
              </w:tc>
              <w:tc>
                <w:tcPr>
                  <w:tcW w:w="1455" w:type="dxa"/>
                  <w:vAlign w:val="center"/>
                </w:tcPr>
                <w:p>
                  <w:pPr>
                    <w:numPr>
                      <w:ilvl w:val="0"/>
                      <w:numId w:val="0"/>
                    </w:numPr>
                    <w:spacing w:line="36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9.42</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9.16</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9.22</w:t>
                  </w:r>
                </w:p>
              </w:tc>
              <w:tc>
                <w:tcPr>
                  <w:tcW w:w="1476" w:type="dxa"/>
                  <w:vAlign w:val="center"/>
                </w:tcPr>
                <w:p>
                  <w:pPr>
                    <w:numPr>
                      <w:ilvl w:val="0"/>
                      <w:numId w:val="0"/>
                    </w:numPr>
                    <w:spacing w:line="240" w:lineRule="auto"/>
                    <w:ind w:left="0" w:leftChars="0" w:firstLine="0" w:firstLineChars="0"/>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9"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b/>
                      <w:bCs/>
                      <w:sz w:val="21"/>
                      <w:szCs w:val="21"/>
                      <w:vertAlign w:val="baseline"/>
                      <w:lang w:eastAsia="zh-CN"/>
                    </w:rPr>
                  </w:pPr>
                </w:p>
              </w:tc>
              <w:tc>
                <w:tcPr>
                  <w:tcW w:w="1425"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b/>
                      <w:bCs/>
                      <w:sz w:val="21"/>
                      <w:szCs w:val="21"/>
                      <w:vertAlign w:val="baseline"/>
                      <w:lang w:eastAsia="zh-CN"/>
                    </w:rPr>
                  </w:pPr>
                </w:p>
              </w:tc>
              <w:tc>
                <w:tcPr>
                  <w:tcW w:w="1440" w:type="dxa"/>
                  <w:tcBorders>
                    <w:lef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b/>
                      <w:bCs/>
                      <w:sz w:val="21"/>
                      <w:szCs w:val="21"/>
                      <w:vertAlign w:val="baseline"/>
                      <w:lang w:eastAsia="zh-CN"/>
                    </w:rPr>
                  </w:pPr>
                  <w:r>
                    <w:rPr>
                      <w:rFonts w:hint="default" w:ascii="Times New Roman" w:hAnsi="Times New Roman" w:cs="Times New Roman"/>
                      <w:b w:val="0"/>
                      <w:bCs w:val="0"/>
                      <w:i w:val="0"/>
                      <w:iCs w:val="0"/>
                      <w:sz w:val="21"/>
                      <w:szCs w:val="21"/>
                      <w:vertAlign w:val="baseline"/>
                      <w:lang w:eastAsia="zh-CN"/>
                    </w:rPr>
                    <w:t>悬浮物</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31</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29</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38</w:t>
                  </w:r>
                </w:p>
              </w:tc>
              <w:tc>
                <w:tcPr>
                  <w:tcW w:w="1476" w:type="dxa"/>
                  <w:vAlign w:val="center"/>
                </w:tcPr>
                <w:p>
                  <w:pPr>
                    <w:numPr>
                      <w:ilvl w:val="0"/>
                      <w:numId w:val="0"/>
                    </w:numPr>
                    <w:spacing w:line="240" w:lineRule="auto"/>
                    <w:ind w:left="0" w:leftChars="0" w:firstLine="0" w:firstLineChars="0"/>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9"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1425"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b w:val="0"/>
                      <w:bCs w:val="0"/>
                      <w:sz w:val="21"/>
                      <w:szCs w:val="21"/>
                      <w:vertAlign w:val="baseline"/>
                      <w:lang w:eastAsia="zh-CN"/>
                    </w:rPr>
                  </w:pPr>
                </w:p>
              </w:tc>
              <w:tc>
                <w:tcPr>
                  <w:tcW w:w="1440" w:type="dxa"/>
                  <w:tcBorders>
                    <w:lef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b w:val="0"/>
                      <w:bCs w:val="0"/>
                      <w:i w:val="0"/>
                      <w:iCs w:val="0"/>
                      <w:sz w:val="21"/>
                      <w:szCs w:val="21"/>
                      <w:vertAlign w:val="baseline"/>
                      <w:lang w:val="en-US" w:eastAsia="zh-CN"/>
                    </w:rPr>
                    <w:t>化学需氧量</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cs="Times New Roman"/>
                      <w:b w:val="0"/>
                      <w:bCs w:val="0"/>
                      <w:vertAlign w:val="baseline"/>
                      <w:lang w:val="en-US" w:eastAsia="zh-CN"/>
                    </w:rPr>
                  </w:pPr>
                  <w:r>
                    <w:rPr>
                      <w:rFonts w:hint="eastAsia" w:ascii="Times New Roman" w:hAnsi="Times New Roman" w:cs="Times New Roman"/>
                      <w:sz w:val="21"/>
                      <w:szCs w:val="21"/>
                      <w:vertAlign w:val="baseline"/>
                      <w:lang w:val="en-US" w:eastAsia="zh-CN"/>
                    </w:rPr>
                    <w:t>74</w:t>
                  </w:r>
                </w:p>
              </w:tc>
              <w:tc>
                <w:tcPr>
                  <w:tcW w:w="1455" w:type="dxa"/>
                  <w:vAlign w:val="center"/>
                </w:tcPr>
                <w:p>
                  <w:pPr>
                    <w:numPr>
                      <w:ilvl w:val="0"/>
                      <w:numId w:val="0"/>
                    </w:numPr>
                    <w:spacing w:line="240" w:lineRule="auto"/>
                    <w:ind w:left="0" w:leftChars="0" w:firstLine="0" w:firstLineChars="0"/>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86</w:t>
                  </w:r>
                </w:p>
              </w:tc>
              <w:tc>
                <w:tcPr>
                  <w:tcW w:w="1455" w:type="dxa"/>
                  <w:vAlign w:val="center"/>
                </w:tcPr>
                <w:p>
                  <w:pPr>
                    <w:numPr>
                      <w:ilvl w:val="0"/>
                      <w:numId w:val="0"/>
                    </w:numPr>
                    <w:spacing w:line="240" w:lineRule="auto"/>
                    <w:ind w:left="0" w:leftChars="0" w:firstLine="0" w:firstLineChars="0"/>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81</w:t>
                  </w:r>
                </w:p>
              </w:tc>
              <w:tc>
                <w:tcPr>
                  <w:tcW w:w="1476" w:type="dxa"/>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9" w:type="dxa"/>
                  <w:vMerge w:val="restart"/>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bCs/>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2019.11.2</w:t>
                  </w:r>
                  <w:r>
                    <w:rPr>
                      <w:rFonts w:hint="eastAsia" w:ascii="Times New Roman" w:hAnsi="Times New Roman" w:cs="Times New Roman"/>
                      <w:sz w:val="21"/>
                      <w:szCs w:val="21"/>
                      <w:vertAlign w:val="baseline"/>
                      <w:lang w:val="en-US" w:eastAsia="zh-CN"/>
                    </w:rPr>
                    <w:t>6</w:t>
                  </w:r>
                </w:p>
              </w:tc>
              <w:tc>
                <w:tcPr>
                  <w:tcW w:w="1425" w:type="dxa"/>
                  <w:vMerge w:val="restart"/>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bCs/>
                      <w:kern w:val="2"/>
                      <w:sz w:val="21"/>
                      <w:szCs w:val="21"/>
                      <w:vertAlign w:val="baseline"/>
                      <w:lang w:val="en-US" w:eastAsia="zh-CN" w:bidi="ar-SA"/>
                    </w:rPr>
                  </w:pPr>
                  <w:r>
                    <w:rPr>
                      <w:rFonts w:hint="default" w:ascii="Times New Roman" w:hAnsi="Times New Roman" w:cs="Times New Roman"/>
                      <w:b w:val="0"/>
                      <w:bCs w:val="0"/>
                      <w:sz w:val="21"/>
                      <w:szCs w:val="21"/>
                      <w:vertAlign w:val="baseline"/>
                      <w:lang w:eastAsia="zh-CN"/>
                    </w:rPr>
                    <w:t>污水总排口</w:t>
                  </w:r>
                </w:p>
              </w:tc>
              <w:tc>
                <w:tcPr>
                  <w:tcW w:w="1440" w:type="dxa"/>
                  <w:tcBorders>
                    <w:lef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bCs/>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pH</w:t>
                  </w:r>
                </w:p>
              </w:tc>
              <w:tc>
                <w:tcPr>
                  <w:tcW w:w="1455" w:type="dxa"/>
                  <w:vAlign w:val="center"/>
                </w:tcPr>
                <w:p>
                  <w:pPr>
                    <w:numPr>
                      <w:ilvl w:val="0"/>
                      <w:numId w:val="0"/>
                    </w:numPr>
                    <w:spacing w:line="240" w:lineRule="auto"/>
                    <w:ind w:left="0" w:leftChars="0" w:firstLine="0" w:firstLineChars="0"/>
                    <w:jc w:val="center"/>
                    <w:rPr>
                      <w:rFonts w:hint="eastAsia"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6.89</w:t>
                  </w:r>
                </w:p>
              </w:tc>
              <w:tc>
                <w:tcPr>
                  <w:tcW w:w="1455" w:type="dxa"/>
                  <w:vAlign w:val="center"/>
                </w:tcPr>
                <w:p>
                  <w:pPr>
                    <w:numPr>
                      <w:ilvl w:val="0"/>
                      <w:numId w:val="0"/>
                    </w:numPr>
                    <w:spacing w:line="240" w:lineRule="auto"/>
                    <w:ind w:left="0" w:leftChars="0" w:firstLine="0" w:firstLineChars="0"/>
                    <w:jc w:val="center"/>
                    <w:rPr>
                      <w:rFonts w:hint="eastAsia" w:ascii="Times New Roman" w:hAnsi="Times New Roman" w:eastAsia="SimSun" w:cs="Times New Roman"/>
                      <w:b w:val="0"/>
                      <w:bCs w:val="0"/>
                      <w:kern w:val="2"/>
                      <w:sz w:val="21"/>
                      <w:szCs w:val="24"/>
                      <w:vertAlign w:val="baseline"/>
                      <w:lang w:val="en-US" w:eastAsia="zh-CN" w:bidi="ar-SA"/>
                    </w:rPr>
                  </w:pPr>
                  <w:r>
                    <w:rPr>
                      <w:rFonts w:hint="eastAsia" w:ascii="Times New Roman" w:hAnsi="Times New Roman" w:cs="Times New Roman"/>
                      <w:sz w:val="21"/>
                      <w:szCs w:val="21"/>
                      <w:vertAlign w:val="baseline"/>
                      <w:lang w:val="en-US" w:eastAsia="zh-CN"/>
                    </w:rPr>
                    <w:t>6.90</w:t>
                  </w:r>
                </w:p>
              </w:tc>
              <w:tc>
                <w:tcPr>
                  <w:tcW w:w="1455" w:type="dxa"/>
                  <w:vAlign w:val="center"/>
                </w:tcPr>
                <w:p>
                  <w:pPr>
                    <w:numPr>
                      <w:ilvl w:val="0"/>
                      <w:numId w:val="0"/>
                    </w:numPr>
                    <w:spacing w:line="240" w:lineRule="auto"/>
                    <w:ind w:left="0" w:leftChars="0" w:firstLine="0" w:firstLineChars="0"/>
                    <w:jc w:val="center"/>
                    <w:rPr>
                      <w:rFonts w:hint="eastAsia" w:ascii="Times New Roman" w:hAnsi="Times New Roman" w:eastAsia="SimSun" w:cs="Times New Roman"/>
                      <w:b w:val="0"/>
                      <w:bCs w:val="0"/>
                      <w:kern w:val="2"/>
                      <w:sz w:val="21"/>
                      <w:szCs w:val="24"/>
                      <w:vertAlign w:val="baseline"/>
                      <w:lang w:val="en-US" w:eastAsia="zh-CN" w:bidi="ar-SA"/>
                    </w:rPr>
                  </w:pPr>
                  <w:r>
                    <w:rPr>
                      <w:rFonts w:hint="eastAsia" w:ascii="Times New Roman" w:hAnsi="Times New Roman" w:cs="Times New Roman"/>
                      <w:sz w:val="21"/>
                      <w:szCs w:val="21"/>
                      <w:vertAlign w:val="baseline"/>
                      <w:lang w:val="en-US" w:eastAsia="zh-CN"/>
                    </w:rPr>
                    <w:t>6.99</w:t>
                  </w:r>
                </w:p>
              </w:tc>
              <w:tc>
                <w:tcPr>
                  <w:tcW w:w="1476"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val="0"/>
                      <w:bCs w:val="0"/>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9"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1425"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1440" w:type="dxa"/>
                  <w:tcBorders>
                    <w:lef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bCs/>
                      <w:kern w:val="2"/>
                      <w:sz w:val="21"/>
                      <w:szCs w:val="21"/>
                      <w:vertAlign w:val="baseline"/>
                      <w:lang w:val="en-US" w:eastAsia="zh-CN" w:bidi="ar-SA"/>
                    </w:rPr>
                  </w:pPr>
                  <w:r>
                    <w:rPr>
                      <w:rFonts w:hint="default" w:ascii="Times New Roman" w:hAnsi="Times New Roman" w:cs="Times New Roman"/>
                      <w:b w:val="0"/>
                      <w:bCs w:val="0"/>
                      <w:sz w:val="21"/>
                      <w:szCs w:val="21"/>
                      <w:vertAlign w:val="baseline"/>
                      <w:lang w:eastAsia="zh-CN"/>
                    </w:rPr>
                    <w:t>氨氮</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6.4</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6.1</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6.7</w:t>
                  </w:r>
                </w:p>
              </w:tc>
              <w:tc>
                <w:tcPr>
                  <w:tcW w:w="1476"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val="0"/>
                      <w:bCs w:val="0"/>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9"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1425"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1440" w:type="dxa"/>
                  <w:tcBorders>
                    <w:lef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bCs/>
                      <w:kern w:val="2"/>
                      <w:sz w:val="21"/>
                      <w:szCs w:val="21"/>
                      <w:vertAlign w:val="baseline"/>
                      <w:lang w:val="en-US" w:eastAsia="zh-CN" w:bidi="ar-SA"/>
                    </w:rPr>
                  </w:pPr>
                  <w:r>
                    <w:rPr>
                      <w:rFonts w:hint="default" w:ascii="Times New Roman" w:hAnsi="Times New Roman" w:cs="Times New Roman"/>
                      <w:b w:val="0"/>
                      <w:bCs w:val="0"/>
                      <w:i w:val="0"/>
                      <w:iCs w:val="0"/>
                      <w:sz w:val="21"/>
                      <w:szCs w:val="21"/>
                      <w:vertAlign w:val="baseline"/>
                      <w:lang w:eastAsia="zh-CN"/>
                    </w:rPr>
                    <w:t>总磷</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0.06</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0.05</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0.07</w:t>
                  </w:r>
                </w:p>
              </w:tc>
              <w:tc>
                <w:tcPr>
                  <w:tcW w:w="1476"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val="0"/>
                      <w:bCs w:val="0"/>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9"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1425"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1440" w:type="dxa"/>
                  <w:tcBorders>
                    <w:lef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bCs/>
                      <w:kern w:val="2"/>
                      <w:sz w:val="21"/>
                      <w:szCs w:val="21"/>
                      <w:vertAlign w:val="baseline"/>
                      <w:lang w:val="en-US" w:eastAsia="zh-CN" w:bidi="ar-SA"/>
                    </w:rPr>
                  </w:pPr>
                  <w:r>
                    <w:rPr>
                      <w:rFonts w:hint="default" w:ascii="Times New Roman" w:hAnsi="Times New Roman" w:cs="Times New Roman"/>
                      <w:b w:val="0"/>
                      <w:bCs w:val="0"/>
                      <w:i w:val="0"/>
                      <w:iCs w:val="0"/>
                      <w:sz w:val="21"/>
                      <w:szCs w:val="21"/>
                      <w:vertAlign w:val="baseline"/>
                      <w:lang w:eastAsia="zh-CN"/>
                    </w:rPr>
                    <w:t>总氮</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9.52</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9.56</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9.08</w:t>
                  </w:r>
                </w:p>
              </w:tc>
              <w:tc>
                <w:tcPr>
                  <w:tcW w:w="1476"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val="0"/>
                      <w:bCs w:val="0"/>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9"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1425"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1440" w:type="dxa"/>
                  <w:tcBorders>
                    <w:lef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bCs/>
                      <w:kern w:val="2"/>
                      <w:sz w:val="21"/>
                      <w:szCs w:val="21"/>
                      <w:vertAlign w:val="baseline"/>
                      <w:lang w:val="en-US" w:eastAsia="zh-CN" w:bidi="ar-SA"/>
                    </w:rPr>
                  </w:pPr>
                  <w:r>
                    <w:rPr>
                      <w:rFonts w:hint="default" w:ascii="Times New Roman" w:hAnsi="Times New Roman" w:cs="Times New Roman"/>
                      <w:b w:val="0"/>
                      <w:bCs w:val="0"/>
                      <w:i w:val="0"/>
                      <w:iCs w:val="0"/>
                      <w:sz w:val="21"/>
                      <w:szCs w:val="21"/>
                      <w:vertAlign w:val="baseline"/>
                      <w:lang w:eastAsia="zh-CN"/>
                    </w:rPr>
                    <w:t>悬浮物</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31</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29</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38</w:t>
                  </w:r>
                </w:p>
              </w:tc>
              <w:tc>
                <w:tcPr>
                  <w:tcW w:w="1476"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b w:val="0"/>
                      <w:bCs w:val="0"/>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9"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1425" w:type="dxa"/>
                  <w:vMerge w:val="continue"/>
                  <w:tcBorders>
                    <w:left w:val="single" w:color="auto" w:sz="4" w:space="0"/>
                    <w:righ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p>
              </w:tc>
              <w:tc>
                <w:tcPr>
                  <w:tcW w:w="1440" w:type="dxa"/>
                  <w:tcBorders>
                    <w:left w:val="single" w:color="auto" w:sz="4" w:space="0"/>
                  </w:tcBorders>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b w:val="0"/>
                      <w:bCs w:val="0"/>
                      <w:i w:val="0"/>
                      <w:iCs w:val="0"/>
                      <w:sz w:val="21"/>
                      <w:szCs w:val="21"/>
                      <w:vertAlign w:val="baseline"/>
                      <w:lang w:val="en-US" w:eastAsia="zh-CN"/>
                    </w:rPr>
                    <w:t>化学需氧量</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72</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76</w:t>
                  </w:r>
                </w:p>
              </w:tc>
              <w:tc>
                <w:tcPr>
                  <w:tcW w:w="1455"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75</w:t>
                  </w:r>
                </w:p>
              </w:tc>
              <w:tc>
                <w:tcPr>
                  <w:tcW w:w="1476" w:type="dxa"/>
                  <w:vAlign w:val="center"/>
                </w:tcPr>
                <w:p>
                  <w:pPr>
                    <w:numPr>
                      <w:ilvl w:val="0"/>
                      <w:numId w:val="0"/>
                    </w:numPr>
                    <w:spacing w:line="240" w:lineRule="auto"/>
                    <w:ind w:left="0" w:leftChars="0" w:firstLine="0" w:firstLineChars="0"/>
                    <w:jc w:val="center"/>
                    <w:rPr>
                      <w:rFonts w:hint="default" w:ascii="Times New Roman" w:hAnsi="Times New Roman" w:eastAsia="SimSun"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mg/L</w:t>
                  </w:r>
                </w:p>
              </w:tc>
            </w:tr>
          </w:tbl>
          <w:p>
            <w:pPr>
              <w:pStyle w:val="2"/>
              <w:ind w:left="0" w:leftChars="0" w:firstLine="0" w:firstLineChars="0"/>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beforeLines="20" w:line="360" w:lineRule="auto"/>
              <w:ind w:firstLine="420" w:firstLineChars="200"/>
              <w:textAlignment w:val="auto"/>
              <w:rPr>
                <w:rFonts w:hint="default"/>
                <w:sz w:val="24"/>
                <w:szCs w:val="24"/>
                <w:lang w:val="en-US" w:eastAsia="zh-CN"/>
              </w:rPr>
            </w:pPr>
            <w:r>
              <w:rPr>
                <w:rFonts w:hint="eastAsia"/>
                <w:lang w:eastAsia="zh-CN"/>
              </w:rPr>
              <w:t>（</w:t>
            </w:r>
            <w:r>
              <w:rPr>
                <w:rFonts w:hint="eastAsia"/>
                <w:sz w:val="24"/>
                <w:szCs w:val="24"/>
                <w:lang w:val="en-US" w:eastAsia="zh-CN"/>
              </w:rPr>
              <w:t>2</w:t>
            </w:r>
            <w:r>
              <w:rPr>
                <w:rFonts w:hint="eastAsia"/>
                <w:sz w:val="24"/>
                <w:szCs w:val="24"/>
                <w:lang w:eastAsia="zh-CN"/>
              </w:rPr>
              <w:t>）废水</w:t>
            </w:r>
            <w:r>
              <w:rPr>
                <w:sz w:val="24"/>
                <w:szCs w:val="24"/>
              </w:rPr>
              <w:t>监测结果评价</w:t>
            </w:r>
            <w:r>
              <w:rPr>
                <w:rFonts w:hint="eastAsia"/>
                <w:sz w:val="24"/>
                <w:szCs w:val="24"/>
              </w:rPr>
              <w:t>：</w:t>
            </w:r>
            <w:r>
              <w:rPr>
                <w:sz w:val="24"/>
                <w:szCs w:val="24"/>
              </w:rPr>
              <w:t>验收监测期间，</w:t>
            </w:r>
            <w:r>
              <w:rPr>
                <w:rFonts w:hint="eastAsia"/>
                <w:sz w:val="24"/>
                <w:szCs w:val="24"/>
                <w:lang w:eastAsia="zh-CN"/>
              </w:rPr>
              <w:t>污水总排口</w:t>
            </w:r>
            <w:r>
              <w:rPr>
                <w:rFonts w:hint="eastAsia"/>
                <w:sz w:val="24"/>
                <w:szCs w:val="24"/>
                <w:lang w:val="en-US" w:eastAsia="zh-CN"/>
              </w:rPr>
              <w:t>PH、氨氮、总磷、总氮、悬浮物、化学需氧量的最大检测浓度分别为7.01无量纲、6.7</w:t>
            </w:r>
            <w:r>
              <w:rPr>
                <w:rFonts w:hint="default"/>
                <w:sz w:val="24"/>
                <w:szCs w:val="24"/>
                <w:lang w:val="en-US" w:eastAsia="zh-CN"/>
              </w:rPr>
              <w:t>mg/L</w:t>
            </w:r>
            <w:r>
              <w:rPr>
                <w:rFonts w:hint="eastAsia"/>
                <w:sz w:val="24"/>
                <w:szCs w:val="24"/>
                <w:lang w:val="en-US" w:eastAsia="zh-CN"/>
              </w:rPr>
              <w:t>、0.08</w:t>
            </w:r>
            <w:r>
              <w:rPr>
                <w:rFonts w:hint="default"/>
                <w:sz w:val="24"/>
                <w:szCs w:val="24"/>
                <w:lang w:val="en-US" w:eastAsia="zh-CN"/>
              </w:rPr>
              <w:t>mg/L</w:t>
            </w:r>
            <w:r>
              <w:rPr>
                <w:rFonts w:hint="eastAsia"/>
                <w:sz w:val="24"/>
                <w:szCs w:val="24"/>
                <w:lang w:val="en-US" w:eastAsia="zh-CN"/>
              </w:rPr>
              <w:t>、9.56</w:t>
            </w:r>
            <w:r>
              <w:rPr>
                <w:rFonts w:hint="default"/>
                <w:sz w:val="24"/>
                <w:szCs w:val="24"/>
                <w:lang w:val="en-US" w:eastAsia="zh-CN"/>
              </w:rPr>
              <w:t>mg/L</w:t>
            </w:r>
            <w:r>
              <w:rPr>
                <w:rFonts w:hint="eastAsia"/>
                <w:sz w:val="24"/>
                <w:szCs w:val="24"/>
                <w:lang w:val="en-US" w:eastAsia="zh-CN"/>
              </w:rPr>
              <w:t>、38</w:t>
            </w:r>
            <w:r>
              <w:rPr>
                <w:rFonts w:hint="default"/>
                <w:sz w:val="24"/>
                <w:szCs w:val="24"/>
                <w:lang w:val="en-US" w:eastAsia="zh-CN"/>
              </w:rPr>
              <w:t>mg/L</w:t>
            </w:r>
            <w:r>
              <w:rPr>
                <w:rFonts w:hint="eastAsia"/>
                <w:sz w:val="24"/>
                <w:szCs w:val="24"/>
                <w:lang w:val="en-US" w:eastAsia="zh-CN"/>
              </w:rPr>
              <w:t>、86</w:t>
            </w:r>
            <w:r>
              <w:rPr>
                <w:rFonts w:hint="default"/>
                <w:sz w:val="24"/>
                <w:szCs w:val="24"/>
                <w:lang w:val="en-US" w:eastAsia="zh-CN"/>
              </w:rPr>
              <w:t>mg/L</w:t>
            </w:r>
            <w:r>
              <w:rPr>
                <w:rFonts w:hint="eastAsia"/>
                <w:sz w:val="24"/>
                <w:szCs w:val="24"/>
                <w:lang w:val="en-US" w:eastAsia="zh-CN"/>
              </w:rPr>
              <w:t>能够满足《污水排入城镇下水道水质标准》（GB/T31962-2015）B等级标准。</w:t>
            </w:r>
          </w:p>
          <w:p>
            <w:pPr>
              <w:pStyle w:val="2"/>
              <w:numPr>
                <w:ilvl w:val="0"/>
                <w:numId w:val="0"/>
              </w:num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none" w:color="auto" w:sz="0" w:space="0"/>
            <w:insideV w:val="none" w:color="auto" w:sz="0" w:space="0"/>
          </w:tblBorders>
          <w:tblLayout w:type="fixed"/>
          <w:tblCellMar>
            <w:top w:w="0" w:type="dxa"/>
            <w:left w:w="108" w:type="dxa"/>
            <w:bottom w:w="0" w:type="dxa"/>
            <w:right w:w="108" w:type="dxa"/>
          </w:tblCellMar>
        </w:tblPrEx>
        <w:trPr>
          <w:trHeight w:val="13252" w:hRule="atLeast"/>
          <w:jc w:val="center"/>
        </w:trPr>
        <w:tc>
          <w:tcPr>
            <w:tcW w:w="10877" w:type="dxa"/>
            <w:tcBorders>
              <w:tl2br w:val="nil"/>
              <w:tr2bl w:val="nil"/>
            </w:tcBorders>
          </w:tcPr>
          <w:p>
            <w:pPr>
              <w:spacing w:line="360" w:lineRule="auto"/>
              <w:jc w:val="center"/>
              <w:rPr>
                <w:rFonts w:ascii="Times New Roman" w:hAnsi="Times New Roman"/>
                <w:b/>
                <w:sz w:val="24"/>
              </w:rPr>
            </w:pPr>
            <w:r>
              <w:rPr>
                <w:rFonts w:hint="eastAsia" w:ascii="Times New Roman" w:hAnsi="Times New Roman"/>
                <w:b/>
                <w:sz w:val="24"/>
              </w:rPr>
              <w:t>环境影响报告表审批意见</w:t>
            </w:r>
            <w:r>
              <w:rPr>
                <w:rFonts w:ascii="Times New Roman" w:hAnsi="Times New Roman"/>
                <w:b/>
                <w:sz w:val="24"/>
              </w:rPr>
              <w:t>落实情况</w:t>
            </w:r>
          </w:p>
          <w:tbl>
            <w:tblPr>
              <w:tblStyle w:val="29"/>
              <w:tblW w:w="10772" w:type="dxa"/>
              <w:jc w:val="center"/>
              <w:tblInd w:w="-303"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691"/>
              <w:gridCol w:w="4364"/>
              <w:gridCol w:w="4332"/>
              <w:gridCol w:w="138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4" w:hRule="atLeast"/>
                <w:jc w:val="center"/>
              </w:trPr>
              <w:tc>
                <w:tcPr>
                  <w:tcW w:w="691"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rPr>
                  </w:pPr>
                  <w:r>
                    <w:rPr>
                      <w:rFonts w:ascii="Times New Roman" w:hAnsi="Times New Roman" w:cs="Times New Roman"/>
                    </w:rPr>
                    <w:t>序号</w:t>
                  </w:r>
                </w:p>
              </w:tc>
              <w:tc>
                <w:tcPr>
                  <w:tcW w:w="4364"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rPr>
                  </w:pPr>
                  <w:r>
                    <w:rPr>
                      <w:rFonts w:ascii="Times New Roman" w:hAnsi="Times New Roman" w:cs="Times New Roman"/>
                    </w:rPr>
                    <w:t>环评批复要求</w:t>
                  </w:r>
                </w:p>
              </w:tc>
              <w:tc>
                <w:tcPr>
                  <w:tcW w:w="4332"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rPr>
                  </w:pPr>
                  <w:r>
                    <w:rPr>
                      <w:rFonts w:ascii="Times New Roman" w:hAnsi="Times New Roman" w:cs="Times New Roman"/>
                    </w:rPr>
                    <w:t>实际</w:t>
                  </w:r>
                  <w:r>
                    <w:rPr>
                      <w:rFonts w:hint="eastAsia" w:ascii="Times New Roman" w:hAnsi="Times New Roman" w:cs="Times New Roman"/>
                    </w:rPr>
                    <w:t>建设</w:t>
                  </w:r>
                  <w:r>
                    <w:rPr>
                      <w:rFonts w:ascii="Times New Roman" w:hAnsi="Times New Roman" w:cs="Times New Roman"/>
                    </w:rPr>
                    <w:t>情况</w:t>
                  </w:r>
                </w:p>
              </w:tc>
              <w:tc>
                <w:tcPr>
                  <w:tcW w:w="1385"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rPr>
                  </w:pPr>
                  <w:r>
                    <w:rPr>
                      <w:rFonts w:hint="eastAsia" w:ascii="Times New Roman" w:hAnsi="Times New Roman" w:cs="Times New Roman"/>
                    </w:rPr>
                    <w:t>落实情况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4" w:hRule="atLeast"/>
                <w:jc w:val="center"/>
              </w:trPr>
              <w:tc>
                <w:tcPr>
                  <w:tcW w:w="691"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spacing w:val="6"/>
                    </w:rPr>
                  </w:pPr>
                  <w:r>
                    <w:rPr>
                      <w:rFonts w:hint="eastAsia" w:ascii="Times New Roman" w:hAnsi="Times New Roman" w:cs="Times New Roman"/>
                      <w:spacing w:val="6"/>
                    </w:rPr>
                    <w:t>1</w:t>
                  </w:r>
                </w:p>
              </w:tc>
              <w:tc>
                <w:tcPr>
                  <w:tcW w:w="4364" w:type="dxa"/>
                  <w:vAlign w:val="center"/>
                </w:tcPr>
                <w:p>
                  <w:pPr>
                    <w:keepNext w:val="0"/>
                    <w:keepLines w:val="0"/>
                    <w:pageBreakBefore w:val="0"/>
                    <w:widowControl w:val="0"/>
                    <w:kinsoku/>
                    <w:wordWrap/>
                    <w:overflowPunct/>
                    <w:topLinePunct w:val="0"/>
                    <w:bidi w:val="0"/>
                    <w:snapToGrid/>
                    <w:spacing w:line="360" w:lineRule="auto"/>
                    <w:ind w:firstLine="420" w:firstLineChars="200"/>
                    <w:jc w:val="left"/>
                    <w:textAlignment w:val="auto"/>
                    <w:rPr>
                      <w:rFonts w:ascii="Times New Roman" w:hAnsi="Times New Roman" w:cs="Times New Roman"/>
                    </w:rPr>
                  </w:pPr>
                  <w:r>
                    <w:rPr>
                      <w:rFonts w:hint="eastAsia" w:ascii="Times New Roman" w:hAnsi="Times New Roman" w:cs="Times New Roman"/>
                      <w:lang w:val="en-US" w:eastAsia="zh-CN"/>
                    </w:rPr>
                    <w:t>山东安特牧业科技有限公司兽药扩建项目位于山东省济南市商河县经济开发区凯源路29号山东安特牧业科技有限公司现有兽药车间内。本项目总投资30万元，其中环保投资5万元。新增口服液、片剂及液体消毒剂生产线，其中片剂生产线新增混合机、颗粒机、压片机、包衣机、整粒机、填充机等设备；消毒剂生产线新增4个搅拌罐；口服液生产线新增搅拌罐、灌装机、旋盖机等设备。扩建项目年增产片剂10吨、口服液200吨、液体消毒剂300吨。该项目已取得山东省建设项目备案证明（项目代码：2019-370126-27-03-055491）。</w:t>
                  </w:r>
                  <w:r>
                    <w:rPr>
                      <w:rFonts w:hint="eastAsia" w:ascii="Times New Roman" w:hAnsi="Times New Roman" w:cs="Times New Roman"/>
                    </w:rPr>
                    <w:t>我局</w:t>
                  </w:r>
                  <w:r>
                    <w:rPr>
                      <w:rFonts w:hint="eastAsia" w:ascii="Times New Roman" w:hAnsi="Times New Roman" w:cs="Times New Roman"/>
                      <w:lang w:val="en-US" w:eastAsia="zh-CN"/>
                    </w:rPr>
                    <w:t>于10月28日</w:t>
                  </w:r>
                  <w:r>
                    <w:rPr>
                      <w:rFonts w:hint="eastAsia" w:ascii="Times New Roman" w:hAnsi="Times New Roman" w:cs="Times New Roman"/>
                    </w:rPr>
                    <w:t>受理该项目并在商河县政府网站进行了公示，公示期间未收到公众反对意见。根据环境影响评价结论，在落实报告表中环境保护措施和我局审批意见要求的前提下，污染物能够达标排放，从环保角度分析，同意该项目建设。</w:t>
                  </w:r>
                </w:p>
              </w:tc>
              <w:tc>
                <w:tcPr>
                  <w:tcW w:w="4332" w:type="dxa"/>
                  <w:vAlign w:val="center"/>
                </w:tcPr>
                <w:p>
                  <w:pPr>
                    <w:pStyle w:val="3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sz w:val="21"/>
                      <w:szCs w:val="21"/>
                    </w:rPr>
                  </w:pPr>
                  <w:r>
                    <w:rPr>
                      <w:rFonts w:hint="eastAsia" w:ascii="Times New Roman" w:hAnsi="Times New Roman" w:cs="Times New Roman"/>
                      <w:lang w:val="en-US" w:eastAsia="zh-CN"/>
                    </w:rPr>
                    <w:t>山东安特牧业科技有限公司兽药扩建项目位于山东省济南市商河县经济开发区凯源路29号山东安特牧业科技有限公司现有兽药车间内。本项目</w:t>
                  </w:r>
                  <w:r>
                    <w:rPr>
                      <w:rFonts w:hint="eastAsia" w:cs="Times New Roman"/>
                      <w:lang w:val="en-US" w:eastAsia="zh-CN"/>
                    </w:rPr>
                    <w:t>一期</w:t>
                  </w:r>
                  <w:r>
                    <w:rPr>
                      <w:rFonts w:hint="eastAsia" w:ascii="Times New Roman" w:hAnsi="Times New Roman" w:cs="Times New Roman"/>
                      <w:lang w:val="en-US" w:eastAsia="zh-CN"/>
                    </w:rPr>
                    <w:t>总投资</w:t>
                  </w:r>
                  <w:r>
                    <w:rPr>
                      <w:rFonts w:hint="eastAsia" w:cs="Times New Roman"/>
                      <w:lang w:val="en-US" w:eastAsia="zh-CN"/>
                    </w:rPr>
                    <w:t>15</w:t>
                  </w:r>
                  <w:r>
                    <w:rPr>
                      <w:rFonts w:hint="eastAsia" w:ascii="Times New Roman" w:hAnsi="Times New Roman" w:cs="Times New Roman"/>
                      <w:lang w:val="en-US" w:eastAsia="zh-CN"/>
                    </w:rPr>
                    <w:t>万元，其中环保投资</w:t>
                  </w:r>
                  <w:r>
                    <w:rPr>
                      <w:rFonts w:hint="eastAsia" w:cs="Times New Roman"/>
                      <w:lang w:val="en-US" w:eastAsia="zh-CN"/>
                    </w:rPr>
                    <w:t>3</w:t>
                  </w:r>
                  <w:r>
                    <w:rPr>
                      <w:rFonts w:hint="eastAsia" w:ascii="Times New Roman" w:hAnsi="Times New Roman" w:cs="Times New Roman"/>
                      <w:lang w:val="en-US" w:eastAsia="zh-CN"/>
                    </w:rPr>
                    <w:t>万元。</w:t>
                  </w:r>
                  <w:r>
                    <w:rPr>
                      <w:rFonts w:hint="eastAsia" w:cs="Times New Roman"/>
                      <w:lang w:val="en-US" w:eastAsia="zh-CN"/>
                    </w:rPr>
                    <w:t>一期</w:t>
                  </w:r>
                  <w:r>
                    <w:rPr>
                      <w:rFonts w:hint="eastAsia" w:ascii="Times New Roman" w:hAnsi="Times New Roman" w:cs="Times New Roman"/>
                      <w:color w:val="auto"/>
                      <w:lang w:val="en-US" w:eastAsia="zh-CN"/>
                    </w:rPr>
                    <w:t>扩建项目年产片剂</w:t>
                  </w:r>
                  <w:r>
                    <w:rPr>
                      <w:rFonts w:hint="eastAsia" w:cs="Times New Roman"/>
                      <w:color w:val="auto"/>
                      <w:lang w:val="en-US" w:eastAsia="zh-CN"/>
                    </w:rPr>
                    <w:t>5</w:t>
                  </w:r>
                  <w:r>
                    <w:rPr>
                      <w:rFonts w:hint="eastAsia" w:ascii="Times New Roman" w:hAnsi="Times New Roman" w:cs="Times New Roman"/>
                      <w:color w:val="auto"/>
                      <w:lang w:val="en-US" w:eastAsia="zh-CN"/>
                    </w:rPr>
                    <w:t>吨、口服液</w:t>
                  </w:r>
                  <w:r>
                    <w:rPr>
                      <w:rFonts w:hint="eastAsia" w:cs="Times New Roman"/>
                      <w:color w:val="auto"/>
                      <w:lang w:val="en-US" w:eastAsia="zh-CN"/>
                    </w:rPr>
                    <w:t>100</w:t>
                  </w:r>
                  <w:r>
                    <w:rPr>
                      <w:rFonts w:hint="eastAsia" w:ascii="Times New Roman" w:hAnsi="Times New Roman" w:cs="Times New Roman"/>
                      <w:color w:val="auto"/>
                      <w:lang w:val="en-US" w:eastAsia="zh-CN"/>
                    </w:rPr>
                    <w:t>吨</w:t>
                  </w:r>
                  <w:r>
                    <w:rPr>
                      <w:rFonts w:hint="eastAsia" w:cs="Times New Roman"/>
                      <w:color w:val="auto"/>
                      <w:lang w:val="en-US" w:eastAsia="zh-CN"/>
                    </w:rPr>
                    <w:t>。</w:t>
                  </w:r>
                </w:p>
              </w:tc>
              <w:tc>
                <w:tcPr>
                  <w:tcW w:w="1385"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spacing w:val="6"/>
                    </w:rPr>
                  </w:pPr>
                  <w:r>
                    <w:rPr>
                      <w:rFonts w:hint="eastAsia" w:ascii="Times New Roman" w:hAnsi="Times New Roman" w:cs="Times New Roman"/>
                      <w:spacing w:val="6"/>
                    </w:rPr>
                    <w:t>已落实</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5913" w:hRule="atLeast"/>
                <w:jc w:val="center"/>
              </w:trPr>
              <w:tc>
                <w:tcPr>
                  <w:tcW w:w="691"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spacing w:val="6"/>
                    </w:rPr>
                  </w:pPr>
                  <w:r>
                    <w:rPr>
                      <w:rFonts w:hint="eastAsia" w:ascii="Times New Roman" w:hAnsi="Times New Roman" w:cs="Times New Roman"/>
                      <w:spacing w:val="6"/>
                    </w:rPr>
                    <w:t>2</w:t>
                  </w:r>
                </w:p>
              </w:tc>
              <w:tc>
                <w:tcPr>
                  <w:tcW w:w="4364" w:type="dxa"/>
                  <w:vAlign w:val="center"/>
                </w:tcPr>
                <w:p>
                  <w:pPr>
                    <w:keepNext w:val="0"/>
                    <w:keepLines w:val="0"/>
                    <w:pageBreakBefore w:val="0"/>
                    <w:widowControl w:val="0"/>
                    <w:kinsoku/>
                    <w:wordWrap/>
                    <w:overflowPunct/>
                    <w:topLinePunct w:val="0"/>
                    <w:bidi w:val="0"/>
                    <w:snapToGrid/>
                    <w:spacing w:line="360" w:lineRule="auto"/>
                    <w:ind w:firstLine="420" w:firstLineChars="200"/>
                    <w:jc w:val="left"/>
                    <w:textAlignment w:val="auto"/>
                    <w:rPr>
                      <w:rFonts w:hint="default" w:ascii="Times New Roman" w:hAnsi="Times New Roman" w:cs="Times New Roman" w:eastAsiaTheme="minorEastAsia"/>
                      <w:color w:val="FF0000"/>
                      <w:lang w:val="en-US" w:eastAsia="zh-CN"/>
                    </w:rPr>
                  </w:pPr>
                  <w:r>
                    <w:rPr>
                      <w:rFonts w:hint="eastAsia" w:ascii="Times New Roman" w:hAnsi="Times New Roman" w:cs="Times New Roman"/>
                      <w:lang w:val="en-US" w:eastAsia="zh-CN"/>
                    </w:rPr>
                    <w:t>按照“雨污分流、清污分流”的原则建设排水系统，雨水排入雨水管网。设备清洗废水、车间地面清洁废水、口服液瓶清洗水、纯水制备浓水满足《污水排入城镇下水道水质标准》（GB/T31962-2015）B等级标准和商河县经济开发区污水处理厂进水水质要求后，排入市政管网，进入商河县经济开发区污水处理厂进一步处理。污水管道等要采取防渗措施，以防污染地下水。</w:t>
                  </w:r>
                </w:p>
              </w:tc>
              <w:tc>
                <w:tcPr>
                  <w:tcW w:w="4332" w:type="dxa"/>
                  <w:vAlign w:val="center"/>
                </w:tcPr>
                <w:p>
                  <w:pPr>
                    <w:keepNext w:val="0"/>
                    <w:keepLines w:val="0"/>
                    <w:pageBreakBefore w:val="0"/>
                    <w:widowControl w:val="0"/>
                    <w:kinsoku/>
                    <w:wordWrap/>
                    <w:overflowPunct/>
                    <w:topLinePunct w:val="0"/>
                    <w:bidi w:val="0"/>
                    <w:snapToGrid/>
                    <w:spacing w:line="360" w:lineRule="auto"/>
                    <w:ind w:firstLine="420" w:firstLineChars="20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按照“雨污分流、清污分流”的原则建设排水系统，雨水排入雨水管网。设备清洗废水、车间地面清洁废水、口服液瓶清洗水、纯水制备浓水满足《污水排入城镇下水道水质标准》（GB/T31962-2015）B等级标准和商河县经济开发区污水处理厂进水水质要求后，排入市政管网，进入商河县经济开发区污水处理厂进一步处理。</w:t>
                  </w:r>
                </w:p>
                <w:p>
                  <w:pPr>
                    <w:keepNext w:val="0"/>
                    <w:keepLines w:val="0"/>
                    <w:pageBreakBefore w:val="0"/>
                    <w:widowControl w:val="0"/>
                    <w:numPr>
                      <w:ilvl w:val="0"/>
                      <w:numId w:val="0"/>
                    </w:numPr>
                    <w:kinsoku/>
                    <w:wordWrap/>
                    <w:overflowPunct/>
                    <w:topLinePunct w:val="0"/>
                    <w:autoSpaceDE/>
                    <w:autoSpaceDN/>
                    <w:bidi w:val="0"/>
                    <w:adjustRightInd/>
                    <w:snapToGrid/>
                    <w:spacing w:beforeLines="20" w:line="360" w:lineRule="auto"/>
                    <w:ind w:firstLine="420" w:firstLineChars="200"/>
                    <w:textAlignment w:val="auto"/>
                    <w:rPr>
                      <w:rFonts w:hint="default"/>
                      <w:lang w:val="en-US" w:eastAsia="zh-CN"/>
                    </w:rPr>
                  </w:pPr>
                  <w:r>
                    <w:rPr>
                      <w:rFonts w:hint="eastAsia" w:ascii="Times New Roman" w:hAnsi="Times New Roman" w:cs="Times New Roman"/>
                      <w:lang w:val="en-US" w:eastAsia="zh-CN"/>
                    </w:rPr>
                    <w:t xml:space="preserve">  </w:t>
                  </w:r>
                  <w:r>
                    <w:t>验收监测期间，</w:t>
                  </w:r>
                  <w:r>
                    <w:rPr>
                      <w:rFonts w:hint="eastAsia"/>
                      <w:lang w:eastAsia="zh-CN"/>
                    </w:rPr>
                    <w:t>污水总排口</w:t>
                  </w:r>
                  <w:r>
                    <w:rPr>
                      <w:rFonts w:hint="eastAsia"/>
                      <w:lang w:val="en-US" w:eastAsia="zh-CN"/>
                    </w:rPr>
                    <w:t>PH、氨氮、总磷、总氮、悬浮物、化学需氧量的最大检测浓度分别为7.01无量纲、6.7</w:t>
                  </w:r>
                  <w:r>
                    <w:rPr>
                      <w:rFonts w:hint="default"/>
                      <w:lang w:val="en-US" w:eastAsia="zh-CN"/>
                    </w:rPr>
                    <w:t>mg/L</w:t>
                  </w:r>
                  <w:r>
                    <w:rPr>
                      <w:rFonts w:hint="eastAsia"/>
                      <w:lang w:val="en-US" w:eastAsia="zh-CN"/>
                    </w:rPr>
                    <w:t>、0.08</w:t>
                  </w:r>
                  <w:r>
                    <w:rPr>
                      <w:rFonts w:hint="default"/>
                      <w:lang w:val="en-US" w:eastAsia="zh-CN"/>
                    </w:rPr>
                    <w:t>mg/L</w:t>
                  </w:r>
                  <w:r>
                    <w:rPr>
                      <w:rFonts w:hint="eastAsia"/>
                      <w:lang w:val="en-US" w:eastAsia="zh-CN"/>
                    </w:rPr>
                    <w:t>、9.56</w:t>
                  </w:r>
                  <w:r>
                    <w:rPr>
                      <w:rFonts w:hint="default"/>
                      <w:lang w:val="en-US" w:eastAsia="zh-CN"/>
                    </w:rPr>
                    <w:t>mg/L</w:t>
                  </w:r>
                  <w:r>
                    <w:rPr>
                      <w:rFonts w:hint="eastAsia"/>
                      <w:lang w:val="en-US" w:eastAsia="zh-CN"/>
                    </w:rPr>
                    <w:t>、38</w:t>
                  </w:r>
                  <w:r>
                    <w:rPr>
                      <w:rFonts w:hint="default"/>
                      <w:lang w:val="en-US" w:eastAsia="zh-CN"/>
                    </w:rPr>
                    <w:t>mg/L</w:t>
                  </w:r>
                  <w:r>
                    <w:rPr>
                      <w:rFonts w:hint="eastAsia"/>
                      <w:lang w:val="en-US" w:eastAsia="zh-CN"/>
                    </w:rPr>
                    <w:t>、86</w:t>
                  </w:r>
                  <w:r>
                    <w:rPr>
                      <w:rFonts w:hint="default"/>
                      <w:lang w:val="en-US" w:eastAsia="zh-CN"/>
                    </w:rPr>
                    <w:t>mg/L</w:t>
                  </w:r>
                  <w:r>
                    <w:rPr>
                      <w:rFonts w:hint="eastAsia"/>
                      <w:lang w:val="en-US" w:eastAsia="zh-CN"/>
                    </w:rPr>
                    <w:t>能够满足《污水排入城镇下水道水质标准》（GB/T31962-2015）B等级标准。</w:t>
                  </w:r>
                </w:p>
                <w:p>
                  <w:pPr>
                    <w:pStyle w:val="2"/>
                    <w:ind w:left="0" w:leftChars="0" w:firstLine="0" w:firstLineChars="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FF0000"/>
                    </w:rPr>
                  </w:pPr>
                </w:p>
              </w:tc>
              <w:tc>
                <w:tcPr>
                  <w:tcW w:w="1385"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color w:val="FF0000"/>
                      <w:spacing w:val="6"/>
                    </w:rPr>
                  </w:pPr>
                  <w:r>
                    <w:rPr>
                      <w:rFonts w:hint="eastAsia" w:ascii="Times New Roman" w:hAnsi="Times New Roman" w:cs="Times New Roman"/>
                      <w:lang w:val="en-US" w:eastAsia="zh-CN"/>
                    </w:rPr>
                    <w:t>已落实</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90" w:hRule="atLeast"/>
                <w:jc w:val="center"/>
              </w:trPr>
              <w:tc>
                <w:tcPr>
                  <w:tcW w:w="691"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spacing w:val="6"/>
                    </w:rPr>
                  </w:pPr>
                  <w:r>
                    <w:rPr>
                      <w:rFonts w:hint="eastAsia" w:ascii="Times New Roman" w:hAnsi="Times New Roman" w:cs="Times New Roman"/>
                      <w:spacing w:val="6"/>
                    </w:rPr>
                    <w:t>3</w:t>
                  </w:r>
                </w:p>
              </w:tc>
              <w:tc>
                <w:tcPr>
                  <w:tcW w:w="4364" w:type="dxa"/>
                  <w:vAlign w:val="center"/>
                </w:tcPr>
                <w:p>
                  <w:pPr>
                    <w:ind w:firstLine="560"/>
                    <w:jc w:val="left"/>
                    <w:rPr>
                      <w:rFonts w:hint="eastAsia" w:ascii="Times New Roman" w:hAnsi="Times New Roman" w:eastAsia="SimSun" w:cs="Times New Roman"/>
                      <w:color w:val="000000"/>
                      <w:kern w:val="0"/>
                      <w:sz w:val="21"/>
                      <w:szCs w:val="21"/>
                      <w:lang w:val="en-US" w:eastAsia="zh-CN" w:bidi="ar-SA"/>
                    </w:rPr>
                  </w:pPr>
                </w:p>
                <w:p>
                  <w:pPr>
                    <w:ind w:firstLine="560"/>
                    <w:jc w:val="left"/>
                    <w:rPr>
                      <w:rFonts w:hint="eastAsia" w:ascii="Times New Roman" w:hAnsi="Times New Roman" w:eastAsia="SimSun" w:cs="Times New Roman"/>
                      <w:color w:val="000000"/>
                      <w:kern w:val="0"/>
                      <w:sz w:val="21"/>
                      <w:szCs w:val="21"/>
                      <w:lang w:val="en-US" w:eastAsia="zh-CN" w:bidi="ar-SA"/>
                    </w:rPr>
                  </w:pPr>
                </w:p>
                <w:p>
                  <w:pPr>
                    <w:ind w:firstLine="560"/>
                    <w:jc w:val="left"/>
                    <w:rPr>
                      <w:rFonts w:hint="eastAsia" w:ascii="Times New Roman" w:hAnsi="Times New Roman" w:eastAsia="SimSun" w:cs="Times New Roman"/>
                      <w:color w:val="000000"/>
                      <w:kern w:val="0"/>
                      <w:sz w:val="21"/>
                      <w:szCs w:val="21"/>
                      <w:lang w:val="en-US" w:eastAsia="zh-CN" w:bidi="ar-SA"/>
                    </w:rPr>
                  </w:pPr>
                </w:p>
                <w:p>
                  <w:pPr>
                    <w:ind w:firstLine="560"/>
                    <w:jc w:val="left"/>
                    <w:rPr>
                      <w:rFonts w:hint="eastAsia" w:ascii="Times New Roman" w:hAnsi="Times New Roman" w:eastAsia="SimSun" w:cs="Times New Roman"/>
                      <w:color w:val="000000"/>
                      <w:kern w:val="0"/>
                      <w:sz w:val="21"/>
                      <w:szCs w:val="21"/>
                      <w:lang w:val="en-US" w:eastAsia="zh-CN" w:bidi="ar-SA"/>
                    </w:rPr>
                  </w:pPr>
                </w:p>
                <w:p>
                  <w:pPr>
                    <w:ind w:firstLine="560"/>
                    <w:jc w:val="left"/>
                    <w:rPr>
                      <w:rFonts w:hint="eastAsia" w:ascii="Times New Roman" w:hAnsi="Times New Roman" w:eastAsia="SimSun" w:cs="Times New Roman"/>
                      <w:color w:val="000000"/>
                      <w:kern w:val="0"/>
                      <w:sz w:val="21"/>
                      <w:szCs w:val="21"/>
                      <w:lang w:val="en-US" w:eastAsia="zh-CN" w:bidi="ar-SA"/>
                    </w:rPr>
                  </w:pPr>
                </w:p>
                <w:p>
                  <w:pPr>
                    <w:ind w:firstLine="560"/>
                    <w:jc w:val="left"/>
                    <w:rPr>
                      <w:rFonts w:hint="eastAsia" w:ascii="Times New Roman" w:hAnsi="Times New Roman" w:eastAsia="SimSun" w:cs="Times New Roman"/>
                      <w:color w:val="000000"/>
                      <w:kern w:val="0"/>
                      <w:sz w:val="21"/>
                      <w:szCs w:val="21"/>
                      <w:lang w:val="en-US" w:eastAsia="zh-CN" w:bidi="ar-SA"/>
                    </w:rPr>
                  </w:pPr>
                </w:p>
                <w:p>
                  <w:pPr>
                    <w:ind w:firstLine="560"/>
                    <w:jc w:val="left"/>
                    <w:rPr>
                      <w:rFonts w:hint="eastAsia" w:ascii="Times New Roman" w:hAnsi="Times New Roman" w:eastAsia="SimSun" w:cs="Times New Roman"/>
                      <w:color w:val="000000"/>
                      <w:kern w:val="0"/>
                      <w:sz w:val="21"/>
                      <w:szCs w:val="21"/>
                      <w:lang w:val="en-US" w:eastAsia="zh-CN" w:bidi="ar-SA"/>
                    </w:rPr>
                  </w:pPr>
                </w:p>
                <w:p>
                  <w:pPr>
                    <w:ind w:firstLine="560"/>
                    <w:jc w:val="left"/>
                    <w:rPr>
                      <w:rFonts w:hint="eastAsia" w:ascii="Times New Roman" w:hAnsi="Times New Roman" w:eastAsia="SimSun" w:cs="Times New Roman"/>
                      <w:color w:val="000000"/>
                      <w:kern w:val="0"/>
                      <w:sz w:val="21"/>
                      <w:szCs w:val="21"/>
                      <w:lang w:val="en-US" w:eastAsia="zh-CN" w:bidi="ar-SA"/>
                    </w:rPr>
                  </w:pPr>
                </w:p>
                <w:p>
                  <w:pPr>
                    <w:ind w:firstLine="560"/>
                    <w:jc w:val="left"/>
                    <w:rPr>
                      <w:rFonts w:hint="eastAsia" w:ascii="Times New Roman" w:hAnsi="Times New Roman" w:eastAsia="SimSun" w:cs="Times New Roman"/>
                      <w:color w:val="000000"/>
                      <w:kern w:val="0"/>
                      <w:sz w:val="21"/>
                      <w:szCs w:val="21"/>
                      <w:lang w:val="en-US" w:eastAsia="zh-CN" w:bidi="ar-SA"/>
                    </w:rPr>
                  </w:pPr>
                </w:p>
                <w:p>
                  <w:pPr>
                    <w:ind w:firstLine="560"/>
                    <w:jc w:val="left"/>
                    <w:rPr>
                      <w:rFonts w:hint="eastAsia" w:ascii="Times New Roman" w:hAnsi="Times New Roman" w:eastAsia="SimSun" w:cs="Times New Roman"/>
                      <w:color w:val="000000"/>
                      <w:kern w:val="0"/>
                      <w:sz w:val="21"/>
                      <w:szCs w:val="21"/>
                      <w:lang w:val="en-US" w:eastAsia="zh-CN" w:bidi="ar-SA"/>
                    </w:rPr>
                  </w:pPr>
                </w:p>
                <w:p>
                  <w:pPr>
                    <w:ind w:firstLine="560"/>
                    <w:jc w:val="left"/>
                    <w:rPr>
                      <w:rFonts w:hint="eastAsia" w:ascii="Times New Roman" w:hAnsi="Times New Roman" w:eastAsia="SimSun" w:cs="Times New Roman"/>
                      <w:color w:val="000000"/>
                      <w:kern w:val="0"/>
                      <w:sz w:val="21"/>
                      <w:szCs w:val="21"/>
                      <w:lang w:val="en-US" w:eastAsia="zh-CN" w:bidi="ar-SA"/>
                    </w:rPr>
                  </w:pPr>
                </w:p>
                <w:p>
                  <w:pPr>
                    <w:ind w:firstLine="560"/>
                    <w:jc w:val="left"/>
                    <w:rPr>
                      <w:rFonts w:hint="eastAsia" w:ascii="Times New Roman" w:hAnsi="Times New Roman" w:eastAsia="SimSun" w:cs="Times New Roman"/>
                      <w:color w:val="000000"/>
                      <w:kern w:val="0"/>
                      <w:sz w:val="21"/>
                      <w:szCs w:val="21"/>
                      <w:lang w:val="en-US" w:eastAsia="zh-CN" w:bidi="ar-SA"/>
                    </w:rPr>
                  </w:pPr>
                  <w:r>
                    <w:rPr>
                      <w:rFonts w:hint="eastAsia" w:ascii="Times New Roman" w:hAnsi="Times New Roman" w:eastAsia="SimSun" w:cs="Times New Roman"/>
                      <w:color w:val="000000"/>
                      <w:kern w:val="0"/>
                      <w:sz w:val="21"/>
                      <w:szCs w:val="21"/>
                      <w:lang w:val="en-US" w:eastAsia="zh-CN" w:bidi="ar-SA"/>
                    </w:rPr>
                    <w:t>1、口服液、液体消毒剂生产过程中产生的废气，经收集后引入布袋除尘器+UV光氧装置+活性炭吸附装置处理，片剂生产过程中产生的粉尘经集气罩收集，通过布袋除尘器处理，化验室化验过程中产生的有机废气经光氧催化+活性炭吸附装置处理，最后均通过1根15米高排气筒（1#)排放；VOCs排放浓度及排放速率须满足《挥发性有机物排放标准第6部分：有机化工行业》（DB37/2801.6-2018)表1Ⅱ时段限值要求；颗粒物排放浓度与排放速率须满足《区域性大气污染物综合排放标准》（DB37/2376-2019)表1重点控制区标准要求和《大气污染物综合排放标准》（GB16297-1996)表2标准要求；</w:t>
                  </w:r>
                </w:p>
                <w:p>
                  <w:pPr>
                    <w:ind w:firstLine="560"/>
                    <w:jc w:val="left"/>
                    <w:rPr>
                      <w:rFonts w:hint="eastAsia"/>
                      <w:color w:val="auto"/>
                      <w:sz w:val="28"/>
                      <w:szCs w:val="28"/>
                      <w:u w:val="none"/>
                      <w:lang w:val="en-US" w:eastAsia="zh-CN"/>
                    </w:rPr>
                  </w:pPr>
                  <w:r>
                    <w:rPr>
                      <w:rFonts w:hint="eastAsia" w:ascii="Times New Roman" w:hAnsi="Times New Roman" w:eastAsia="SimSun" w:cs="Times New Roman"/>
                      <w:color w:val="000000"/>
                      <w:kern w:val="0"/>
                      <w:sz w:val="21"/>
                      <w:szCs w:val="21"/>
                      <w:lang w:val="en-US" w:eastAsia="zh-CN" w:bidi="ar-SA"/>
                    </w:rPr>
                    <w:t>2、做好各环节无组织废气排放的污染控制工作。VOCs厂界排放浓度须满足《挥发性有机物排放标准第6部分：有机化工行业》（DB37/2801.6-2018)表3中厂界监控点浓度限值要求；颗粒物厂界排放浓度须满足《大气污染物综合排放标准》（GB16297-1996)表2中厂界外浓度限值要求。</w:t>
                  </w:r>
                </w:p>
                <w:p>
                  <w:pPr>
                    <w:pStyle w:val="36"/>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eastAsia="SimSun" w:cs="SimSun"/>
                      <w:kern w:val="2"/>
                      <w:sz w:val="21"/>
                      <w:szCs w:val="21"/>
                      <w:lang w:val="en-US" w:eastAsia="zh-CN"/>
                    </w:rPr>
                  </w:pPr>
                </w:p>
              </w:tc>
              <w:tc>
                <w:tcPr>
                  <w:tcW w:w="433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SimSun" w:cs="Times New Roman"/>
                      <w:color w:val="000000"/>
                      <w:kern w:val="0"/>
                      <w:sz w:val="21"/>
                      <w:szCs w:val="21"/>
                      <w:lang w:val="en-US" w:eastAsia="zh-CN" w:bidi="ar-SA"/>
                    </w:rPr>
                  </w:pPr>
                  <w:r>
                    <w:rPr>
                      <w:rFonts w:hint="eastAsia" w:ascii="Times New Roman" w:hAnsi="Times New Roman" w:eastAsia="SimSun" w:cs="Times New Roman"/>
                      <w:color w:val="000000"/>
                      <w:kern w:val="0"/>
                      <w:sz w:val="21"/>
                      <w:szCs w:val="21"/>
                      <w:lang w:val="en-US" w:eastAsia="zh-CN" w:bidi="ar-SA"/>
                    </w:rPr>
                    <w:t>本项目口服液生产过程中产生的废气+片剂生产过程中产生的粉尘经集气罩收集+化验室化验过程中产生的有机废气经收集后引入布袋除尘器+UV光氧装置+活性炭吸附装置处理,最后均通过1根15米高排气筒（1#)排放；未被收集的少量废气，经加强车间通风后，无组织排放。</w:t>
                  </w:r>
                </w:p>
                <w:p>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SimSun" w:cs="Times New Roman"/>
                      <w:color w:val="000000"/>
                      <w:kern w:val="0"/>
                      <w:sz w:val="21"/>
                      <w:szCs w:val="21"/>
                      <w:lang w:val="en-US" w:eastAsia="zh-CN" w:bidi="ar-SA"/>
                    </w:rPr>
                  </w:pPr>
                  <w:r>
                    <w:rPr>
                      <w:rFonts w:hint="eastAsia"/>
                    </w:rPr>
                    <w:t>验收监测期间，</w:t>
                  </w:r>
                  <w:r>
                    <w:rPr>
                      <w:rFonts w:hint="eastAsia"/>
                      <w:lang w:val="en-US" w:eastAsia="zh-CN"/>
                    </w:rPr>
                    <w:t>G</w:t>
                  </w:r>
                  <w:r>
                    <w:rPr>
                      <w:rFonts w:hint="default"/>
                      <w:lang w:val="en-US" w:eastAsia="zh-CN"/>
                    </w:rPr>
                    <w:t>1</w:t>
                  </w:r>
                  <w:r>
                    <w:rPr>
                      <w:rFonts w:hint="eastAsia"/>
                      <w:lang w:val="en-US" w:eastAsia="zh-CN"/>
                    </w:rPr>
                    <w:t>排气筒出口</w:t>
                  </w:r>
                  <w:r>
                    <w:rPr>
                      <w:rFonts w:hint="eastAsia"/>
                    </w:rPr>
                    <w:t>颗粒物</w:t>
                  </w:r>
                  <w:r>
                    <w:rPr>
                      <w:rFonts w:hint="eastAsia"/>
                      <w:lang w:eastAsia="zh-CN"/>
                    </w:rPr>
                    <w:t>、</w:t>
                  </w:r>
                  <w:r>
                    <w:rPr>
                      <w:rFonts w:hint="eastAsia"/>
                      <w:lang w:val="en-US" w:eastAsia="zh-CN"/>
                    </w:rPr>
                    <w:t>VOCs</w:t>
                  </w:r>
                  <w:r>
                    <w:rPr>
                      <w:rFonts w:hint="eastAsia"/>
                    </w:rPr>
                    <w:t>最大排放浓度</w:t>
                  </w:r>
                  <w:r>
                    <w:rPr>
                      <w:rFonts w:hint="eastAsia"/>
                      <w:lang w:eastAsia="zh-CN"/>
                    </w:rPr>
                    <w:t>分别</w:t>
                  </w:r>
                  <w:r>
                    <w:rPr>
                      <w:rFonts w:hint="eastAsia"/>
                    </w:rPr>
                    <w:t>为</w:t>
                  </w:r>
                  <w:r>
                    <w:rPr>
                      <w:rFonts w:hint="eastAsia"/>
                      <w:lang w:val="en-US" w:eastAsia="zh-CN"/>
                    </w:rPr>
                    <w:t>4.2</w:t>
                  </w:r>
                  <w:r>
                    <w:t>mg/m</w:t>
                  </w:r>
                  <w:r>
                    <w:rPr>
                      <w:vertAlign w:val="superscript"/>
                    </w:rPr>
                    <w:t>3</w:t>
                  </w:r>
                  <w:r>
                    <w:rPr>
                      <w:rFonts w:hint="eastAsia"/>
                      <w:lang w:eastAsia="zh-CN"/>
                    </w:rPr>
                    <w:t>、</w:t>
                  </w:r>
                  <w:r>
                    <w:rPr>
                      <w:rFonts w:hint="eastAsia"/>
                      <w:lang w:val="en-US" w:eastAsia="zh-CN"/>
                    </w:rPr>
                    <w:t>3.05</w:t>
                  </w:r>
                  <w:r>
                    <w:t>mg/m</w:t>
                  </w:r>
                  <w:r>
                    <w:rPr>
                      <w:vertAlign w:val="superscript"/>
                    </w:rPr>
                    <w:t>3</w:t>
                  </w:r>
                  <w:r>
                    <w:rPr>
                      <w:rFonts w:hint="eastAsia"/>
                      <w:lang w:eastAsia="zh-CN"/>
                    </w:rPr>
                    <w:t>，</w:t>
                  </w:r>
                  <w:r>
                    <w:rPr>
                      <w:rFonts w:hint="eastAsia"/>
                    </w:rPr>
                    <w:t>最大排放速率</w:t>
                  </w:r>
                  <w:r>
                    <w:rPr>
                      <w:rFonts w:hint="eastAsia"/>
                      <w:lang w:eastAsia="zh-CN"/>
                    </w:rPr>
                    <w:t>分别</w:t>
                  </w:r>
                  <w:r>
                    <w:rPr>
                      <w:rFonts w:hint="eastAsia"/>
                    </w:rPr>
                    <w:t>为</w:t>
                  </w:r>
                  <w:r>
                    <w:rPr>
                      <w:rFonts w:hint="eastAsia"/>
                      <w:lang w:val="en-US" w:eastAsia="zh-CN"/>
                    </w:rPr>
                    <w:t>0.043</w:t>
                  </w:r>
                  <w:r>
                    <w:rPr>
                      <w:rFonts w:hint="default"/>
                    </w:rPr>
                    <w:t>kg</w:t>
                  </w:r>
                  <w:r>
                    <w:t>/h</w:t>
                  </w:r>
                  <w:r>
                    <w:rPr>
                      <w:rFonts w:hint="eastAsia"/>
                      <w:lang w:eastAsia="zh-CN"/>
                    </w:rPr>
                    <w:t>、</w:t>
                  </w:r>
                  <w:r>
                    <w:rPr>
                      <w:rFonts w:hint="eastAsia"/>
                      <w:lang w:val="en-US" w:eastAsia="zh-CN"/>
                    </w:rPr>
                    <w:t>0.031</w:t>
                  </w:r>
                  <w:r>
                    <w:rPr>
                      <w:rFonts w:hint="default"/>
                    </w:rPr>
                    <w:t>kg</w:t>
                  </w:r>
                  <w:r>
                    <w:t>/h</w:t>
                  </w:r>
                  <w:r>
                    <w:rPr>
                      <w:rFonts w:hint="eastAsia"/>
                      <w:lang w:eastAsia="zh-CN"/>
                    </w:rPr>
                    <w:t>，</w:t>
                  </w:r>
                  <w:r>
                    <w:rPr>
                      <w:rFonts w:hint="eastAsia"/>
                    </w:rPr>
                    <w:t>能够</w:t>
                  </w:r>
                  <w:r>
                    <w:rPr>
                      <w:rFonts w:hint="eastAsia"/>
                      <w:lang w:eastAsia="zh-CN"/>
                    </w:rPr>
                    <w:t>分别</w:t>
                  </w:r>
                  <w:r>
                    <w:rPr>
                      <w:rFonts w:hint="eastAsia"/>
                    </w:rPr>
                    <w:t>满足</w:t>
                  </w:r>
                  <w:r>
                    <w:rPr>
                      <w:rFonts w:hint="eastAsia"/>
                      <w:lang w:val="en-US" w:eastAsia="zh-CN"/>
                    </w:rPr>
                    <w:t>《区域性大气污染物综合排放标准》（DB37/2376-2019)表1重点控制区标准要求和《大气污染物综合排放标准》（GB16297-1996)表2标准要求；《挥发性有机物排放标准 第6部分：有机化工行业》（DB37/2801.6-2018）表1标准的要求。</w:t>
                  </w:r>
                </w:p>
                <w:p>
                  <w:pPr>
                    <w:pStyle w:val="2"/>
                    <w:spacing w:line="360" w:lineRule="auto"/>
                    <w:ind w:left="0" w:leftChars="0" w:firstLine="420" w:firstLineChars="200"/>
                    <w:rPr>
                      <w:rFonts w:hint="default"/>
                      <w:lang w:val="en-US"/>
                    </w:rPr>
                  </w:pPr>
                  <w:r>
                    <w:rPr>
                      <w:rFonts w:hint="eastAsia" w:asciiTheme="minorHAnsi" w:hAnsiTheme="minorHAnsi" w:eastAsiaTheme="minorEastAsia" w:cstheme="minorBidi"/>
                      <w:kern w:val="2"/>
                      <w:sz w:val="21"/>
                      <w:szCs w:val="21"/>
                      <w:lang w:val="en-US" w:eastAsia="zh-CN" w:bidi="ar-SA"/>
                    </w:rPr>
                    <w:t>厂界颗粒物的最大浓度为0.367mg/m3，能够满足《大气污染物综合排放标准》（GB16297-1996）表2中颗粒物厂界周围外浓度限值其他行业的限值要求；厂界</w:t>
                  </w:r>
                  <w:r>
                    <w:rPr>
                      <w:rFonts w:hint="default" w:asciiTheme="minorHAnsi" w:hAnsiTheme="minorHAnsi" w:eastAsiaTheme="minorEastAsia" w:cstheme="minorBidi"/>
                      <w:kern w:val="2"/>
                      <w:sz w:val="21"/>
                      <w:szCs w:val="21"/>
                      <w:lang w:val="en-US" w:eastAsia="zh-CN" w:bidi="ar-SA"/>
                    </w:rPr>
                    <w:t>VOCs</w:t>
                  </w:r>
                  <w:r>
                    <w:rPr>
                      <w:rFonts w:hint="eastAsia" w:asciiTheme="minorHAnsi" w:hAnsiTheme="minorHAnsi" w:eastAsiaTheme="minorEastAsia" w:cstheme="minorBidi"/>
                      <w:kern w:val="2"/>
                      <w:sz w:val="21"/>
                      <w:szCs w:val="21"/>
                      <w:lang w:val="en-US" w:eastAsia="zh-CN" w:bidi="ar-SA"/>
                    </w:rPr>
                    <w:t>排放最大浓度分别为</w:t>
                  </w:r>
                  <w:r>
                    <w:rPr>
                      <w:rFonts w:hint="default" w:asciiTheme="minorHAnsi" w:hAnsiTheme="minorHAnsi" w:eastAsiaTheme="minorEastAsia" w:cstheme="minorBidi"/>
                      <w:kern w:val="2"/>
                      <w:sz w:val="21"/>
                      <w:szCs w:val="21"/>
                      <w:lang w:val="en-US" w:eastAsia="zh-CN" w:bidi="ar-SA"/>
                    </w:rPr>
                    <w:t>0.</w:t>
                  </w:r>
                  <w:r>
                    <w:rPr>
                      <w:rFonts w:hint="eastAsia" w:asciiTheme="minorHAnsi" w:hAnsiTheme="minorHAnsi" w:eastAsiaTheme="minorEastAsia" w:cstheme="minorBidi"/>
                      <w:kern w:val="2"/>
                      <w:sz w:val="21"/>
                      <w:szCs w:val="21"/>
                      <w:lang w:val="en-US" w:eastAsia="zh-CN" w:bidi="ar-SA"/>
                    </w:rPr>
                    <w:t>89mg/m</w:t>
                  </w:r>
                  <w:r>
                    <w:rPr>
                      <w:rFonts w:hint="eastAsia" w:asciiTheme="minorHAnsi" w:hAnsiTheme="minorHAnsi" w:eastAsiaTheme="minorEastAsia" w:cstheme="minorBidi"/>
                      <w:kern w:val="2"/>
                      <w:sz w:val="21"/>
                      <w:szCs w:val="21"/>
                      <w:vertAlign w:val="superscript"/>
                      <w:lang w:val="en-US" w:eastAsia="zh-CN" w:bidi="ar-SA"/>
                    </w:rPr>
                    <w:t>3</w:t>
                  </w:r>
                  <w:r>
                    <w:rPr>
                      <w:rFonts w:hint="eastAsia" w:asciiTheme="minorHAnsi" w:hAnsiTheme="minorHAnsi" w:eastAsiaTheme="minorEastAsia" w:cstheme="minorBidi"/>
                      <w:kern w:val="2"/>
                      <w:sz w:val="21"/>
                      <w:szCs w:val="21"/>
                      <w:lang w:val="en-US" w:eastAsia="zh-CN" w:bidi="ar-SA"/>
                    </w:rPr>
                    <w:t>能够满足《挥发性有机物排放标准 第6部分：有机化工行业》</w:t>
                  </w:r>
                  <w:r>
                    <w:rPr>
                      <w:rFonts w:hint="default" w:asciiTheme="minorHAnsi" w:hAnsiTheme="minorHAnsi" w:eastAsiaTheme="minorEastAsia" w:cstheme="minorBidi"/>
                      <w:kern w:val="2"/>
                      <w:sz w:val="21"/>
                      <w:szCs w:val="21"/>
                      <w:lang w:val="en-US" w:eastAsia="zh-CN" w:bidi="ar-SA"/>
                    </w:rPr>
                    <w:t>（DB37/2801.</w:t>
                  </w:r>
                  <w:r>
                    <w:rPr>
                      <w:rFonts w:hint="eastAsia" w:asciiTheme="minorHAnsi" w:hAnsiTheme="minorHAnsi" w:eastAsiaTheme="minorEastAsia" w:cstheme="minorBidi"/>
                      <w:kern w:val="2"/>
                      <w:sz w:val="21"/>
                      <w:szCs w:val="21"/>
                      <w:lang w:val="en-US" w:eastAsia="zh-CN" w:bidi="ar-SA"/>
                    </w:rPr>
                    <w:t>6</w:t>
                  </w:r>
                  <w:r>
                    <w:rPr>
                      <w:rFonts w:hint="default" w:asciiTheme="minorHAnsi" w:hAnsiTheme="minorHAnsi" w:eastAsiaTheme="minorEastAsia" w:cstheme="minorBidi"/>
                      <w:kern w:val="2"/>
                      <w:sz w:val="21"/>
                      <w:szCs w:val="21"/>
                      <w:lang w:val="en-US" w:eastAsia="zh-CN" w:bidi="ar-SA"/>
                    </w:rPr>
                    <w:t>-201</w:t>
                  </w:r>
                  <w:r>
                    <w:rPr>
                      <w:rFonts w:hint="eastAsia" w:asciiTheme="minorHAnsi" w:hAnsiTheme="minorHAnsi" w:eastAsiaTheme="minorEastAsia" w:cstheme="minorBidi"/>
                      <w:kern w:val="2"/>
                      <w:sz w:val="21"/>
                      <w:szCs w:val="21"/>
                      <w:lang w:val="en-US" w:eastAsia="zh-CN" w:bidi="ar-SA"/>
                    </w:rPr>
                    <w:t>8</w:t>
                  </w:r>
                  <w:r>
                    <w:rPr>
                      <w:rFonts w:hint="default" w:asciiTheme="minorHAnsi" w:hAnsiTheme="minorHAnsi" w:eastAsiaTheme="minorEastAsia" w:cstheme="minorBidi"/>
                      <w:kern w:val="2"/>
                      <w:sz w:val="21"/>
                      <w:szCs w:val="21"/>
                      <w:lang w:val="en-US" w:eastAsia="zh-CN" w:bidi="ar-SA"/>
                    </w:rPr>
                    <w:t>）</w:t>
                  </w:r>
                  <w:r>
                    <w:rPr>
                      <w:rFonts w:hint="eastAsia" w:asciiTheme="minorHAnsi" w:hAnsiTheme="minorHAnsi" w:eastAsiaTheme="minorEastAsia" w:cstheme="minorBidi"/>
                      <w:kern w:val="2"/>
                      <w:sz w:val="21"/>
                      <w:szCs w:val="21"/>
                      <w:lang w:val="en-US" w:eastAsia="zh-CN" w:bidi="ar-SA"/>
                    </w:rPr>
                    <w:t>表</w:t>
                  </w:r>
                  <w:r>
                    <w:rPr>
                      <w:rFonts w:hint="default" w:asciiTheme="minorHAnsi" w:hAnsiTheme="minorHAnsi" w:eastAsiaTheme="minorEastAsia" w:cstheme="minorBidi"/>
                      <w:kern w:val="2"/>
                      <w:sz w:val="21"/>
                      <w:szCs w:val="21"/>
                      <w:lang w:val="en-US" w:eastAsia="zh-CN" w:bidi="ar-SA"/>
                    </w:rPr>
                    <w:t>3</w:t>
                  </w:r>
                  <w:r>
                    <w:rPr>
                      <w:rFonts w:hint="eastAsia" w:asciiTheme="minorHAnsi" w:hAnsiTheme="minorHAnsi" w:eastAsiaTheme="minorEastAsia" w:cstheme="minorBidi"/>
                      <w:kern w:val="2"/>
                      <w:sz w:val="21"/>
                      <w:szCs w:val="21"/>
                      <w:lang w:val="en-US" w:eastAsia="zh-CN" w:bidi="ar-SA"/>
                    </w:rPr>
                    <w:t>中厂界监控点浓度限值要求。</w:t>
                  </w:r>
                </w:p>
              </w:tc>
              <w:tc>
                <w:tcPr>
                  <w:tcW w:w="1385"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spacing w:val="6"/>
                    </w:rPr>
                  </w:pPr>
                  <w:r>
                    <w:rPr>
                      <w:rFonts w:ascii="Times New Roman" w:hAnsi="Times New Roman" w:cs="Times New Roman"/>
                      <w:spacing w:val="6"/>
                    </w:rPr>
                    <w:t>已落实</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4" w:hRule="atLeast"/>
                <w:jc w:val="center"/>
              </w:trPr>
              <w:tc>
                <w:tcPr>
                  <w:tcW w:w="691"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spacing w:val="6"/>
                    </w:rPr>
                  </w:pPr>
                  <w:r>
                    <w:rPr>
                      <w:rFonts w:hint="eastAsia" w:ascii="Times New Roman" w:hAnsi="Times New Roman" w:cs="Times New Roman"/>
                      <w:spacing w:val="6"/>
                    </w:rPr>
                    <w:t>4</w:t>
                  </w:r>
                </w:p>
              </w:tc>
              <w:tc>
                <w:tcPr>
                  <w:tcW w:w="4364" w:type="dxa"/>
                  <w:vAlign w:val="center"/>
                </w:tcPr>
                <w:p>
                  <w:pPr>
                    <w:pStyle w:val="36"/>
                    <w:keepNext w:val="0"/>
                    <w:keepLines w:val="0"/>
                    <w:pageBreakBefore w:val="0"/>
                    <w:widowControl w:val="0"/>
                    <w:kinsoku/>
                    <w:wordWrap/>
                    <w:overflowPunct/>
                    <w:topLinePunct w:val="0"/>
                    <w:bidi w:val="0"/>
                    <w:snapToGrid/>
                    <w:spacing w:line="360" w:lineRule="auto"/>
                    <w:ind w:firstLine="420" w:firstLineChars="200"/>
                    <w:textAlignment w:val="auto"/>
                    <w:rPr>
                      <w:rFonts w:hAnsi="SimSun" w:eastAsia="SimSun" w:cs="SimSun"/>
                      <w:kern w:val="2"/>
                      <w:sz w:val="21"/>
                      <w:szCs w:val="21"/>
                    </w:rPr>
                  </w:pPr>
                  <w:r>
                    <w:rPr>
                      <w:rFonts w:hint="eastAsia" w:ascii="Times New Roman" w:hAnsi="Times New Roman" w:cs="Times New Roman" w:eastAsiaTheme="minorEastAsia"/>
                      <w:color w:val="auto"/>
                      <w:kern w:val="2"/>
                      <w:sz w:val="21"/>
                      <w:szCs w:val="21"/>
                      <w:lang w:val="en-US" w:eastAsia="zh-CN" w:bidi="ar-SA"/>
                    </w:rPr>
                    <w:t>项目营运期噪声主要是设备生产运行时产生的噪声，通过选用低噪声设备、基础减振、建筑噪声、距离衰减等措施后，厂界噪声要达到《工业企业厂界环境噪声排放标准》（GB12348-2008)2类标准要求。</w:t>
                  </w:r>
                </w:p>
              </w:tc>
              <w:tc>
                <w:tcPr>
                  <w:tcW w:w="4332" w:type="dxa"/>
                  <w:vAlign w:val="center"/>
                </w:tcPr>
                <w:p>
                  <w:pPr>
                    <w:keepNext w:val="0"/>
                    <w:keepLines w:val="0"/>
                    <w:pageBreakBefore w:val="0"/>
                    <w:widowControl w:val="0"/>
                    <w:kinsoku/>
                    <w:wordWrap/>
                    <w:overflowPunct/>
                    <w:topLinePunct w:val="0"/>
                    <w:bidi w:val="0"/>
                    <w:snapToGrid/>
                    <w:spacing w:line="360" w:lineRule="auto"/>
                    <w:ind w:firstLine="315" w:firstLineChars="15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项目主要噪声源混合机、压片机、颗粒机、整粒机等设备运行时产生的噪声，通过采取减震、隔声等措施降噪</w:t>
                  </w:r>
                </w:p>
                <w:p>
                  <w:pPr>
                    <w:keepNext w:val="0"/>
                    <w:keepLines w:val="0"/>
                    <w:pageBreakBefore w:val="0"/>
                    <w:widowControl w:val="0"/>
                    <w:kinsoku/>
                    <w:wordWrap/>
                    <w:overflowPunct/>
                    <w:topLinePunct w:val="0"/>
                    <w:bidi w:val="0"/>
                    <w:snapToGrid/>
                    <w:spacing w:line="360" w:lineRule="auto"/>
                    <w:ind w:firstLine="315" w:firstLineChars="150"/>
                    <w:jc w:val="left"/>
                    <w:textAlignment w:val="auto"/>
                    <w:rPr>
                      <w:rFonts w:ascii="Times New Roman" w:hAnsi="Times New Roman" w:cs="Times New Roman"/>
                    </w:rPr>
                  </w:pPr>
                  <w:r>
                    <w:t>验收监测期间，厂界</w:t>
                  </w:r>
                  <w:r>
                    <w:rPr>
                      <w:rFonts w:hint="eastAsia"/>
                      <w:lang w:eastAsia="zh-CN"/>
                    </w:rPr>
                    <w:t>昼间</w:t>
                  </w:r>
                  <w:r>
                    <w:t>噪声值范围在</w:t>
                  </w:r>
                  <w:r>
                    <w:rPr>
                      <w:rFonts w:hint="eastAsia"/>
                      <w:lang w:val="en-US" w:eastAsia="zh-CN"/>
                    </w:rPr>
                    <w:t>53.1</w:t>
                  </w:r>
                  <w:r>
                    <w:t>~</w:t>
                  </w:r>
                  <w:r>
                    <w:rPr>
                      <w:rFonts w:hint="eastAsia"/>
                      <w:lang w:val="en-US" w:eastAsia="zh-CN"/>
                    </w:rPr>
                    <w:t>56.1</w:t>
                  </w:r>
                  <w:r>
                    <w:t>dB（A）之间，能够满足《工业企业厂界环境噪声排放标准》（GB12348-2008）中的</w:t>
                  </w:r>
                  <w:r>
                    <w:rPr>
                      <w:rFonts w:hint="eastAsia"/>
                    </w:rPr>
                    <w:t>2</w:t>
                  </w:r>
                  <w:r>
                    <w:t>类标准要求。</w:t>
                  </w:r>
                </w:p>
              </w:tc>
              <w:tc>
                <w:tcPr>
                  <w:tcW w:w="1385"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spacing w:val="6"/>
                    </w:rPr>
                  </w:pPr>
                  <w:r>
                    <w:rPr>
                      <w:rFonts w:hint="eastAsia" w:ascii="Times New Roman" w:hAnsi="Times New Roman" w:cs="Times New Roman"/>
                      <w:spacing w:val="6"/>
                    </w:rPr>
                    <w:t>已落实</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5031" w:hRule="atLeast"/>
                <w:jc w:val="center"/>
              </w:trPr>
              <w:tc>
                <w:tcPr>
                  <w:tcW w:w="691"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spacing w:val="6"/>
                    </w:rPr>
                  </w:pPr>
                  <w:r>
                    <w:rPr>
                      <w:rFonts w:hint="eastAsia" w:ascii="Times New Roman" w:hAnsi="Times New Roman" w:cs="Times New Roman"/>
                      <w:spacing w:val="6"/>
                    </w:rPr>
                    <w:t>5</w:t>
                  </w:r>
                </w:p>
              </w:tc>
              <w:tc>
                <w:tcPr>
                  <w:tcW w:w="4364" w:type="dxa"/>
                  <w:vAlign w:val="center"/>
                </w:tcPr>
                <w:p>
                  <w:pPr>
                    <w:pStyle w:val="36"/>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default" w:eastAsia="SimSun" w:cs="SimSun"/>
                      <w:sz w:val="21"/>
                      <w:szCs w:val="21"/>
                      <w:lang w:val="en-US" w:eastAsia="zh-CN"/>
                    </w:rPr>
                  </w:pPr>
                  <w:r>
                    <w:rPr>
                      <w:rFonts w:hint="eastAsia" w:eastAsia="SimSun" w:cs="SimSun"/>
                      <w:sz w:val="21"/>
                      <w:szCs w:val="21"/>
                      <w:lang w:val="en-US" w:eastAsia="zh-CN"/>
                    </w:rPr>
                    <w:t>本项目不合格产品回用于生产；收集粉尘回用于生产；纯水制备废活性炭由环卫部门清运处理；废包装物、废UV灯管、废气处理产生的废活性炭、化验室废液、反渗透膜均属于危险废物，暂存于危废暂存间，委托有资质单位处理，处理措施和处置方案应达到《危险废物贮存污染物控制标准》（GB18597-2001)及其2013年修改单标准要求。</w:t>
                  </w:r>
                </w:p>
              </w:tc>
              <w:tc>
                <w:tcPr>
                  <w:tcW w:w="4332" w:type="dxa"/>
                  <w:vAlign w:val="center"/>
                </w:tcPr>
                <w:p>
                  <w:pPr>
                    <w:pStyle w:val="36"/>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eastAsia" w:eastAsia="SimSun" w:cs="SimSun"/>
                      <w:sz w:val="21"/>
                      <w:szCs w:val="21"/>
                      <w:lang w:val="en-US" w:eastAsia="zh-CN"/>
                    </w:rPr>
                  </w:pPr>
                  <w:r>
                    <w:rPr>
                      <w:rFonts w:hint="default" w:ascii="Times New Roman" w:hAnsi="Times New Roman" w:eastAsia="SimSun" w:cs="Times New Roman"/>
                      <w:color w:val="auto"/>
                      <w:kern w:val="2"/>
                      <w:sz w:val="21"/>
                      <w:szCs w:val="21"/>
                      <w:lang w:val="en-US" w:eastAsia="zh-CN" w:bidi="ar-SA"/>
                    </w:rPr>
                    <w:t>不合格产品、布袋除尘器收集的粉尘回用于生产；</w:t>
                  </w:r>
                  <w:r>
                    <w:rPr>
                      <w:rFonts w:hint="eastAsia" w:ascii="Times New Roman" w:hAnsi="Times New Roman" w:eastAsia="SimSun" w:cs="Times New Roman"/>
                      <w:color w:val="auto"/>
                      <w:kern w:val="2"/>
                      <w:sz w:val="21"/>
                      <w:szCs w:val="21"/>
                      <w:lang w:val="en-US" w:eastAsia="zh-CN" w:bidi="ar-SA"/>
                    </w:rPr>
                    <w:t>废包装物由废品收购站统一收购处理；废离子交换树脂、废过滤棉、废活性炭、废灯管、化验室废液</w:t>
                  </w:r>
                  <w:r>
                    <w:rPr>
                      <w:rFonts w:hint="default" w:ascii="Times New Roman" w:hAnsi="Times New Roman" w:eastAsia="SimSun" w:cs="Times New Roman"/>
                      <w:color w:val="auto"/>
                      <w:kern w:val="2"/>
                      <w:sz w:val="21"/>
                      <w:szCs w:val="21"/>
                      <w:lang w:val="en-US" w:eastAsia="zh-CN" w:bidi="ar-SA"/>
                    </w:rPr>
                    <w:t>暂存于危废暂存间，定期委托有资质单位处理</w:t>
                  </w:r>
                  <w:r>
                    <w:rPr>
                      <w:rFonts w:hint="eastAsia" w:ascii="Times New Roman" w:hAnsi="Times New Roman" w:eastAsia="SimSun" w:cs="Times New Roman"/>
                      <w:color w:val="auto"/>
                      <w:kern w:val="2"/>
                      <w:sz w:val="21"/>
                      <w:szCs w:val="21"/>
                      <w:lang w:val="en-US" w:eastAsia="zh-CN" w:bidi="ar-SA"/>
                    </w:rPr>
                    <w:t>，处理措施和处置方案应达到《危险废物贮存污染物控制标准》（GB18597-2001)及其2013年修改单标准要求。</w:t>
                  </w:r>
                </w:p>
              </w:tc>
              <w:tc>
                <w:tcPr>
                  <w:tcW w:w="1385"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spacing w:val="6"/>
                    </w:rPr>
                  </w:pPr>
                  <w:r>
                    <w:rPr>
                      <w:rFonts w:ascii="Times New Roman" w:hAnsi="Times New Roman" w:cs="Times New Roman"/>
                      <w:spacing w:val="6"/>
                    </w:rPr>
                    <w:t>已落实</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711" w:hRule="atLeast"/>
                <w:jc w:val="center"/>
              </w:trPr>
              <w:tc>
                <w:tcPr>
                  <w:tcW w:w="691"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spacing w:val="6"/>
                    </w:rPr>
                  </w:pPr>
                  <w:r>
                    <w:rPr>
                      <w:rFonts w:hint="eastAsia" w:ascii="Times New Roman" w:hAnsi="Times New Roman" w:cs="Times New Roman"/>
                      <w:spacing w:val="6"/>
                    </w:rPr>
                    <w:t>6</w:t>
                  </w:r>
                </w:p>
              </w:tc>
              <w:tc>
                <w:tcPr>
                  <w:tcW w:w="4364" w:type="dxa"/>
                  <w:vAlign w:val="center"/>
                </w:tcPr>
                <w:p>
                  <w:pPr>
                    <w:pStyle w:val="36"/>
                    <w:keepNext w:val="0"/>
                    <w:keepLines w:val="0"/>
                    <w:pageBreakBefore w:val="0"/>
                    <w:widowControl w:val="0"/>
                    <w:kinsoku/>
                    <w:wordWrap/>
                    <w:overflowPunct/>
                    <w:topLinePunct w:val="0"/>
                    <w:bidi w:val="0"/>
                    <w:snapToGrid/>
                    <w:spacing w:line="360" w:lineRule="auto"/>
                    <w:ind w:firstLine="420" w:firstLineChars="200"/>
                    <w:textAlignment w:val="auto"/>
                    <w:rPr>
                      <w:rFonts w:hAnsi="SimSun" w:eastAsia="SimSun" w:cs="SimSun"/>
                      <w:kern w:val="2"/>
                      <w:sz w:val="21"/>
                      <w:szCs w:val="21"/>
                    </w:rPr>
                  </w:pPr>
                  <w:r>
                    <w:rPr>
                      <w:rFonts w:hint="default" w:ascii="Times New Roman" w:hAnsi="Times New Roman" w:eastAsia="SimSun" w:cs="Times New Roman"/>
                      <w:kern w:val="2"/>
                      <w:sz w:val="21"/>
                      <w:szCs w:val="21"/>
                    </w:rPr>
                    <w:t>本项目</w:t>
                  </w:r>
                  <w:r>
                    <w:rPr>
                      <w:rFonts w:hint="default" w:ascii="Times New Roman" w:hAnsi="Times New Roman" w:eastAsia="SimSun" w:cs="Times New Roman"/>
                      <w:kern w:val="2"/>
                      <w:sz w:val="21"/>
                      <w:szCs w:val="21"/>
                      <w:lang w:val="en-US" w:eastAsia="zh-CN"/>
                    </w:rPr>
                    <w:t>生产车间</w:t>
                  </w:r>
                  <w:r>
                    <w:rPr>
                      <w:rFonts w:hint="default" w:ascii="Times New Roman" w:hAnsi="Times New Roman" w:eastAsia="SimSun" w:cs="Times New Roman"/>
                      <w:kern w:val="2"/>
                      <w:sz w:val="21"/>
                      <w:szCs w:val="21"/>
                    </w:rPr>
                    <w:t>卫生防护距离为</w:t>
                  </w:r>
                  <w:r>
                    <w:rPr>
                      <w:rFonts w:hint="default" w:ascii="Times New Roman" w:hAnsi="Times New Roman" w:eastAsia="SimSun" w:cs="Times New Roman"/>
                      <w:kern w:val="2"/>
                      <w:sz w:val="21"/>
                      <w:szCs w:val="21"/>
                      <w:lang w:val="en-US" w:eastAsia="zh-CN"/>
                    </w:rPr>
                    <w:t>100</w:t>
                  </w:r>
                  <w:r>
                    <w:rPr>
                      <w:rFonts w:hint="default" w:ascii="Times New Roman" w:hAnsi="Times New Roman" w:eastAsia="SimSun" w:cs="Times New Roman"/>
                      <w:kern w:val="2"/>
                      <w:sz w:val="21"/>
                      <w:szCs w:val="21"/>
                    </w:rPr>
                    <w:t>米，在此范围内不得新建学校、医院、居民住宅等敏感建筑。</w:t>
                  </w:r>
                </w:p>
              </w:tc>
              <w:tc>
                <w:tcPr>
                  <w:tcW w:w="4332" w:type="dxa"/>
                  <w:vAlign w:val="center"/>
                </w:tcPr>
                <w:p>
                  <w:pPr>
                    <w:keepNext w:val="0"/>
                    <w:keepLines w:val="0"/>
                    <w:pageBreakBefore w:val="0"/>
                    <w:widowControl w:val="0"/>
                    <w:kinsoku/>
                    <w:wordWrap/>
                    <w:overflowPunct/>
                    <w:topLinePunct w:val="0"/>
                    <w:bidi w:val="0"/>
                    <w:snapToGrid/>
                    <w:spacing w:line="360" w:lineRule="auto"/>
                    <w:ind w:firstLine="525" w:firstLineChars="250"/>
                    <w:textAlignment w:val="auto"/>
                    <w:rPr>
                      <w:rFonts w:ascii="Times New Roman" w:hAnsi="Times New Roman" w:cs="Times New Roman"/>
                    </w:rPr>
                  </w:pPr>
                  <w:r>
                    <w:rPr>
                      <w:rFonts w:hint="default" w:ascii="Times New Roman" w:hAnsi="Times New Roman" w:eastAsia="SimSun" w:cs="Times New Roman"/>
                    </w:rPr>
                    <w:t>经现场勘查，</w:t>
                  </w:r>
                  <w:r>
                    <w:rPr>
                      <w:rFonts w:hint="default" w:ascii="Times New Roman" w:hAnsi="Times New Roman" w:eastAsia="SimSun" w:cs="Times New Roman"/>
                      <w:lang w:val="en-US" w:eastAsia="zh-CN"/>
                    </w:rPr>
                    <w:t>本项目100</w:t>
                  </w:r>
                  <w:r>
                    <w:rPr>
                      <w:rFonts w:hint="default" w:ascii="Times New Roman" w:hAnsi="Times New Roman" w:eastAsia="SimSun" w:cs="Times New Roman"/>
                    </w:rPr>
                    <w:t>米内，</w:t>
                  </w:r>
                  <w:r>
                    <w:rPr>
                      <w:rFonts w:hint="default" w:ascii="Times New Roman" w:hAnsi="Times New Roman" w:eastAsia="SimSun" w:cs="Times New Roman"/>
                      <w:lang w:val="en-US" w:eastAsia="zh-CN"/>
                    </w:rPr>
                    <w:t>无</w:t>
                  </w:r>
                  <w:r>
                    <w:rPr>
                      <w:rFonts w:hint="default" w:ascii="Times New Roman" w:hAnsi="Times New Roman" w:eastAsia="SimSun" w:cs="Times New Roman"/>
                    </w:rPr>
                    <w:t>新建学校、医院、居民住宅等敏感建筑。</w:t>
                  </w:r>
                </w:p>
              </w:tc>
              <w:tc>
                <w:tcPr>
                  <w:tcW w:w="1385"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ascii="Times New Roman" w:hAnsi="Times New Roman" w:cs="Times New Roman"/>
                      <w:spacing w:val="6"/>
                    </w:rPr>
                  </w:pPr>
                  <w:r>
                    <w:rPr>
                      <w:rFonts w:hint="eastAsia" w:ascii="Times New Roman" w:hAnsi="Times New Roman" w:cs="Times New Roman"/>
                      <w:spacing w:val="6"/>
                    </w:rPr>
                    <w:t>已落实</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1491" w:hRule="atLeast"/>
                <w:jc w:val="center"/>
              </w:trPr>
              <w:tc>
                <w:tcPr>
                  <w:tcW w:w="691"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hint="eastAsia" w:ascii="Times New Roman" w:hAnsi="Times New Roman" w:cs="Times New Roman" w:eastAsiaTheme="minorEastAsia"/>
                      <w:spacing w:val="6"/>
                      <w:lang w:val="en-US" w:eastAsia="zh-CN"/>
                    </w:rPr>
                  </w:pPr>
                  <w:r>
                    <w:rPr>
                      <w:rFonts w:hint="eastAsia" w:ascii="Times New Roman" w:hAnsi="Times New Roman" w:cs="Times New Roman"/>
                      <w:spacing w:val="6"/>
                      <w:lang w:val="en-US" w:eastAsia="zh-CN"/>
                    </w:rPr>
                    <w:t>7</w:t>
                  </w:r>
                </w:p>
              </w:tc>
              <w:tc>
                <w:tcPr>
                  <w:tcW w:w="4364" w:type="dxa"/>
                  <w:vAlign w:val="center"/>
                </w:tcPr>
                <w:p>
                  <w:pPr>
                    <w:pStyle w:val="36"/>
                    <w:keepNext w:val="0"/>
                    <w:keepLines w:val="0"/>
                    <w:pageBreakBefore w:val="0"/>
                    <w:widowControl w:val="0"/>
                    <w:kinsoku/>
                    <w:wordWrap/>
                    <w:overflowPunct/>
                    <w:topLinePunct w:val="0"/>
                    <w:bidi w:val="0"/>
                    <w:snapToGrid/>
                    <w:spacing w:line="360" w:lineRule="auto"/>
                    <w:ind w:firstLine="420" w:firstLineChars="200"/>
                    <w:textAlignment w:val="auto"/>
                    <w:rPr>
                      <w:rFonts w:hint="default" w:hAnsi="SimSun" w:eastAsia="SimSun" w:cs="SimSun"/>
                      <w:kern w:val="2"/>
                      <w:sz w:val="21"/>
                      <w:szCs w:val="21"/>
                      <w:lang w:val="en-US" w:eastAsia="zh-CN"/>
                    </w:rPr>
                  </w:pPr>
                  <w:r>
                    <w:rPr>
                      <w:rFonts w:hint="eastAsia" w:hAnsi="SimSun" w:eastAsia="SimSun" w:cs="SimSun"/>
                      <w:kern w:val="2"/>
                      <w:sz w:val="21"/>
                      <w:szCs w:val="21"/>
                      <w:lang w:val="en-US" w:eastAsia="zh-CN"/>
                    </w:rPr>
                    <w:t>该项目要建立健全环境管理制度，加强环保日常管理和各类设备检查和维护，制定环境应急预案，杜绝事故排放。</w:t>
                  </w:r>
                </w:p>
              </w:tc>
              <w:tc>
                <w:tcPr>
                  <w:tcW w:w="4332" w:type="dxa"/>
                  <w:vAlign w:val="center"/>
                </w:tcPr>
                <w:p>
                  <w:pPr>
                    <w:keepNext w:val="0"/>
                    <w:keepLines w:val="0"/>
                    <w:pageBreakBefore w:val="0"/>
                    <w:widowControl w:val="0"/>
                    <w:kinsoku/>
                    <w:wordWrap/>
                    <w:overflowPunct/>
                    <w:topLinePunct w:val="0"/>
                    <w:bidi w:val="0"/>
                    <w:snapToGrid/>
                    <w:spacing w:line="360" w:lineRule="auto"/>
                    <w:ind w:firstLine="525" w:firstLineChars="250"/>
                    <w:textAlignment w:val="auto"/>
                    <w:rPr>
                      <w:rFonts w:hint="eastAsia" w:hAnsi="SimSun" w:eastAsia="SimSun" w:cs="SimSun"/>
                    </w:rPr>
                  </w:pPr>
                  <w:r>
                    <w:rPr>
                      <w:rFonts w:hint="eastAsia" w:hAnsi="SimSun" w:eastAsia="SimSun" w:cs="SimSun"/>
                      <w:kern w:val="2"/>
                      <w:sz w:val="21"/>
                      <w:szCs w:val="21"/>
                      <w:lang w:val="en-US" w:eastAsia="zh-CN"/>
                    </w:rPr>
                    <w:t>项目已建立健全环境管理制度，加强环保日常管理和各类设备检查和维护，制定了环境应急预案，杜绝事故排放。</w:t>
                  </w:r>
                </w:p>
              </w:tc>
              <w:tc>
                <w:tcPr>
                  <w:tcW w:w="1385" w:type="dxa"/>
                  <w:vAlign w:val="center"/>
                </w:tcPr>
                <w:p>
                  <w:pPr>
                    <w:keepNext w:val="0"/>
                    <w:keepLines w:val="0"/>
                    <w:pageBreakBefore w:val="0"/>
                    <w:widowControl w:val="0"/>
                    <w:kinsoku/>
                    <w:wordWrap/>
                    <w:overflowPunct/>
                    <w:topLinePunct w:val="0"/>
                    <w:bidi w:val="0"/>
                    <w:snapToGrid/>
                    <w:spacing w:line="360" w:lineRule="auto"/>
                    <w:jc w:val="center"/>
                    <w:textAlignment w:val="auto"/>
                    <w:rPr>
                      <w:rFonts w:hint="eastAsia" w:ascii="Times New Roman" w:hAnsi="Times New Roman" w:cs="Times New Roman"/>
                      <w:spacing w:val="6"/>
                    </w:rPr>
                  </w:pPr>
                  <w:r>
                    <w:rPr>
                      <w:rFonts w:hint="eastAsia" w:ascii="Times New Roman" w:hAnsi="Times New Roman" w:cs="Times New Roman"/>
                      <w:spacing w:val="6"/>
                    </w:rPr>
                    <w:t>已落实</w:t>
                  </w:r>
                </w:p>
              </w:tc>
            </w:tr>
          </w:tbl>
          <w:p>
            <w:pPr>
              <w:spacing w:beforeLines="20" w:line="360" w:lineRule="auto"/>
              <w:rPr>
                <w:rFonts w:ascii="Times New Roman" w:hAnsi="Times New Roman" w:eastAsia="SimSun"/>
                <w:sz w:val="24"/>
              </w:rPr>
            </w:pPr>
          </w:p>
        </w:tc>
      </w:tr>
    </w:tbl>
    <w:p>
      <w:pPr>
        <w:pStyle w:val="5"/>
        <w:spacing w:before="0" w:after="0" w:line="360" w:lineRule="auto"/>
        <w:jc w:val="left"/>
        <w:rPr>
          <w:rFonts w:ascii="Times New Roman" w:hAnsi="Times New Roman"/>
        </w:rPr>
      </w:pPr>
      <w:bookmarkStart w:id="11" w:name="_Toc517710314"/>
      <w:r>
        <w:rPr>
          <w:rFonts w:hint="eastAsia" w:ascii="Times New Roman" w:hAnsi="Times New Roman" w:cs="Times New Roman"/>
          <w:sz w:val="28"/>
          <w:szCs w:val="28"/>
        </w:rPr>
        <w:t xml:space="preserve">表八 </w:t>
      </w:r>
      <w:bookmarkEnd w:id="11"/>
    </w:p>
    <w:tbl>
      <w:tblPr>
        <w:tblStyle w:val="29"/>
        <w:tblW w:w="10028" w:type="dxa"/>
        <w:jc w:val="center"/>
        <w:tblInd w:w="-47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02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111" w:hRule="atLeast"/>
          <w:jc w:val="center"/>
        </w:trPr>
        <w:tc>
          <w:tcPr>
            <w:tcW w:w="10028" w:type="dxa"/>
          </w:tcPr>
          <w:p>
            <w:pPr>
              <w:pStyle w:val="43"/>
              <w:spacing w:line="460" w:lineRule="exact"/>
              <w:ind w:firstLine="0" w:firstLineChars="0"/>
              <w:jc w:val="left"/>
              <w:rPr>
                <w:rFonts w:ascii="Times New Roman" w:hAnsi="Times New Roman" w:eastAsia="SimSun"/>
                <w:b/>
                <w:bCs/>
                <w:sz w:val="24"/>
              </w:rPr>
            </w:pPr>
            <w:r>
              <w:rPr>
                <w:rFonts w:ascii="Times New Roman" w:hAnsi="Times New Roman" w:cs="Times New Roman"/>
                <w:b/>
                <w:bCs/>
                <w:sz w:val="28"/>
                <w:szCs w:val="28"/>
              </w:rPr>
              <w:t>验收监测结论</w:t>
            </w:r>
            <w:r>
              <w:rPr>
                <w:rFonts w:hint="eastAsia" w:ascii="Times New Roman" w:hAnsi="Times New Roman" w:cs="Times New Roman"/>
                <w:b/>
                <w:bCs/>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SimSun" w:cs="Times New Roman"/>
                <w:b w:val="0"/>
                <w:bCs w:val="0"/>
                <w:sz w:val="24"/>
                <w:szCs w:val="24"/>
                <w:lang w:val="en-US" w:eastAsia="zh-CN"/>
              </w:rPr>
            </w:pPr>
            <w:r>
              <w:rPr>
                <w:rFonts w:hint="eastAsia" w:ascii="Times New Roman" w:hAnsi="Times New Roman" w:eastAsia="SimSun" w:cs="Times New Roman"/>
                <w:b w:val="0"/>
                <w:bCs w:val="0"/>
                <w:sz w:val="24"/>
                <w:szCs w:val="24"/>
                <w:lang w:val="en-US" w:eastAsia="zh-CN"/>
              </w:rPr>
              <w:t>验收检测期间，山东安特牧业科技有限公司兽药扩建项目，生产平稳，质量稳定。验收监测期间，符合验收监测应在工况稳定、生产负荷达设计生产能力的</w:t>
            </w:r>
            <w:r>
              <w:rPr>
                <w:rFonts w:hint="default" w:ascii="Times New Roman" w:hAnsi="Times New Roman" w:eastAsia="SimSun" w:cs="Times New Roman"/>
                <w:b w:val="0"/>
                <w:bCs w:val="0"/>
                <w:sz w:val="24"/>
                <w:szCs w:val="24"/>
                <w:lang w:val="en-US" w:eastAsia="zh-CN"/>
              </w:rPr>
              <w:t>75%</w:t>
            </w:r>
            <w:r>
              <w:rPr>
                <w:rFonts w:hint="eastAsia" w:ascii="Times New Roman" w:hAnsi="Times New Roman" w:eastAsia="SimSun" w:cs="Times New Roman"/>
                <w:b w:val="0"/>
                <w:bCs w:val="0"/>
                <w:sz w:val="24"/>
                <w:szCs w:val="24"/>
                <w:lang w:val="en-US" w:eastAsia="zh-CN"/>
              </w:rPr>
              <w:t>以上的要求。</w:t>
            </w:r>
          </w:p>
          <w:p>
            <w:pPr>
              <w:pStyle w:val="43"/>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ascii="Times New Roman" w:hAnsi="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1</w:t>
            </w:r>
            <w:r>
              <w:rPr>
                <w:rFonts w:hint="default" w:ascii="Times New Roman" w:hAnsi="Times New Roman" w:cs="Times New Roman"/>
                <w:sz w:val="24"/>
                <w:lang w:eastAsia="zh-CN"/>
              </w:rPr>
              <w:t>）</w:t>
            </w:r>
            <w:r>
              <w:rPr>
                <w:rFonts w:hint="eastAsia" w:ascii="Times New Roman" w:hAnsi="Times New Roman"/>
                <w:sz w:val="24"/>
              </w:rPr>
              <w:t>废气监测结论</w:t>
            </w:r>
          </w:p>
          <w:p>
            <w:pPr>
              <w:pStyle w:val="3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pPr>
            <w:r>
              <w:rPr>
                <w:rFonts w:hint="eastAsia"/>
              </w:rPr>
              <w:t>有组织废气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ascii="Times New Roman" w:hAnsi="Times New Roman" w:cs="Times New Roman" w:eastAsiaTheme="minorEastAsia"/>
                <w:color w:val="auto"/>
                <w:kern w:val="2"/>
                <w:sz w:val="24"/>
                <w:szCs w:val="21"/>
                <w:lang w:val="en-US" w:eastAsia="zh-CN" w:bidi="ar-SA"/>
              </w:rPr>
              <w:t>本项目口服液生产过程中产生的废气+片剂生产过程中产生的粉尘经集气罩收集+化验室化验过程中产生的有机废气经收集后引入布袋除尘器+UV光氧装置+活性炭吸附装置处理,最后均通过1根15米高排气筒（1#)排放；未被收集的少量废气，经加强车间通风后，无组织排放</w:t>
            </w:r>
            <w:r>
              <w:rPr>
                <w:rFonts w:hint="default" w:ascii="Times New Roman" w:hAnsi="Times New Roman" w:cs="Times New Roman" w:eastAsiaTheme="minorEastAsia"/>
                <w:color w:val="auto"/>
                <w:kern w:val="2"/>
                <w:sz w:val="24"/>
                <w:szCs w:val="21"/>
                <w:lang w:val="en-US" w:eastAsia="zh-CN" w:bidi="ar-SA"/>
              </w:rPr>
              <w:t>；</w:t>
            </w:r>
            <w:r>
              <w:rPr>
                <w:rFonts w:hint="eastAsia" w:ascii="Times New Roman" w:hAnsi="Times New Roman" w:cs="Times New Roman" w:eastAsiaTheme="minorEastAsia"/>
                <w:color w:val="auto"/>
                <w:kern w:val="2"/>
                <w:sz w:val="24"/>
                <w:szCs w:val="21"/>
                <w:lang w:val="en-US" w:eastAsia="zh-CN" w:bidi="ar-SA"/>
              </w:rPr>
              <w:t>未被收集的少量废气，经加强车间通风后，无组织排放</w:t>
            </w:r>
            <w:r>
              <w:rPr>
                <w:rFonts w:hint="default"/>
                <w:sz w:val="24"/>
                <w:szCs w:val="24"/>
                <w:lang w:val="en-US" w:eastAsia="zh-CN"/>
              </w:rPr>
              <w:t>。</w:t>
            </w:r>
          </w:p>
          <w:p>
            <w:pPr>
              <w:pStyle w:val="4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SimSun" w:cs="Times New Roman"/>
                <w:color w:val="000000"/>
                <w:kern w:val="0"/>
                <w:sz w:val="24"/>
                <w:szCs w:val="24"/>
                <w:lang w:val="en-US" w:eastAsia="zh-CN" w:bidi="ar-SA"/>
              </w:rPr>
            </w:pPr>
            <w:r>
              <w:rPr>
                <w:rFonts w:hint="eastAsia"/>
                <w:sz w:val="24"/>
                <w:szCs w:val="24"/>
              </w:rPr>
              <w:t>验收监测期间，</w:t>
            </w:r>
            <w:r>
              <w:rPr>
                <w:rFonts w:hint="eastAsia"/>
                <w:sz w:val="24"/>
                <w:szCs w:val="24"/>
                <w:lang w:val="en-US" w:eastAsia="zh-CN"/>
              </w:rPr>
              <w:t>G</w:t>
            </w:r>
            <w:r>
              <w:rPr>
                <w:rFonts w:hint="default"/>
                <w:sz w:val="24"/>
                <w:szCs w:val="24"/>
                <w:lang w:val="en-US" w:eastAsia="zh-CN"/>
              </w:rPr>
              <w:t>1</w:t>
            </w:r>
            <w:r>
              <w:rPr>
                <w:rFonts w:hint="eastAsia"/>
                <w:sz w:val="24"/>
                <w:szCs w:val="24"/>
                <w:lang w:val="en-US" w:eastAsia="zh-CN"/>
              </w:rPr>
              <w:t>排气筒出口</w:t>
            </w:r>
            <w:r>
              <w:rPr>
                <w:rFonts w:hint="eastAsia"/>
                <w:sz w:val="24"/>
                <w:szCs w:val="24"/>
              </w:rPr>
              <w:t>颗粒物</w:t>
            </w:r>
            <w:r>
              <w:rPr>
                <w:rFonts w:hint="eastAsia"/>
                <w:sz w:val="24"/>
                <w:szCs w:val="24"/>
                <w:lang w:eastAsia="zh-CN"/>
              </w:rPr>
              <w:t>、</w:t>
            </w:r>
            <w:r>
              <w:rPr>
                <w:rFonts w:hint="eastAsia"/>
                <w:sz w:val="24"/>
                <w:szCs w:val="24"/>
                <w:lang w:val="en-US" w:eastAsia="zh-CN"/>
              </w:rPr>
              <w:t>VOCs</w:t>
            </w:r>
            <w:r>
              <w:rPr>
                <w:rFonts w:hint="eastAsia"/>
                <w:sz w:val="24"/>
                <w:szCs w:val="24"/>
              </w:rPr>
              <w:t>最大排放浓度</w:t>
            </w:r>
            <w:r>
              <w:rPr>
                <w:rFonts w:hint="eastAsia"/>
                <w:sz w:val="24"/>
                <w:szCs w:val="24"/>
                <w:lang w:eastAsia="zh-CN"/>
              </w:rPr>
              <w:t>分别</w:t>
            </w:r>
            <w:r>
              <w:rPr>
                <w:rFonts w:hint="eastAsia"/>
                <w:sz w:val="24"/>
                <w:szCs w:val="24"/>
              </w:rPr>
              <w:t>为</w:t>
            </w:r>
            <w:r>
              <w:rPr>
                <w:rFonts w:hint="eastAsia"/>
                <w:sz w:val="24"/>
                <w:szCs w:val="24"/>
                <w:lang w:val="en-US" w:eastAsia="zh-CN"/>
              </w:rPr>
              <w:t>4.2</w:t>
            </w:r>
            <w:r>
              <w:rPr>
                <w:sz w:val="24"/>
                <w:szCs w:val="24"/>
              </w:rPr>
              <w:t>mg/m</w:t>
            </w:r>
            <w:r>
              <w:rPr>
                <w:sz w:val="24"/>
                <w:szCs w:val="24"/>
                <w:vertAlign w:val="superscript"/>
              </w:rPr>
              <w:t>3</w:t>
            </w:r>
            <w:r>
              <w:rPr>
                <w:rFonts w:hint="eastAsia"/>
                <w:sz w:val="24"/>
                <w:szCs w:val="24"/>
                <w:lang w:eastAsia="zh-CN"/>
              </w:rPr>
              <w:t>、</w:t>
            </w:r>
            <w:r>
              <w:rPr>
                <w:rFonts w:hint="eastAsia"/>
                <w:sz w:val="24"/>
                <w:szCs w:val="24"/>
                <w:lang w:val="en-US" w:eastAsia="zh-CN"/>
              </w:rPr>
              <w:t>3.05</w:t>
            </w:r>
            <w:r>
              <w:rPr>
                <w:sz w:val="24"/>
                <w:szCs w:val="24"/>
              </w:rPr>
              <w:t>mg/m</w:t>
            </w:r>
            <w:r>
              <w:rPr>
                <w:sz w:val="24"/>
                <w:szCs w:val="24"/>
                <w:vertAlign w:val="superscript"/>
              </w:rPr>
              <w:t>3</w:t>
            </w:r>
            <w:r>
              <w:rPr>
                <w:rFonts w:hint="eastAsia"/>
                <w:sz w:val="24"/>
                <w:szCs w:val="24"/>
                <w:lang w:eastAsia="zh-CN"/>
              </w:rPr>
              <w:t>，</w:t>
            </w:r>
            <w:r>
              <w:rPr>
                <w:rFonts w:hint="eastAsia"/>
                <w:sz w:val="24"/>
                <w:szCs w:val="24"/>
              </w:rPr>
              <w:t>最大排放速率</w:t>
            </w:r>
            <w:r>
              <w:rPr>
                <w:rFonts w:hint="eastAsia"/>
                <w:sz w:val="24"/>
                <w:szCs w:val="24"/>
                <w:lang w:eastAsia="zh-CN"/>
              </w:rPr>
              <w:t>分别</w:t>
            </w:r>
            <w:r>
              <w:rPr>
                <w:rFonts w:hint="eastAsia"/>
                <w:sz w:val="24"/>
                <w:szCs w:val="24"/>
              </w:rPr>
              <w:t>为</w:t>
            </w:r>
            <w:r>
              <w:rPr>
                <w:rFonts w:hint="eastAsia"/>
                <w:sz w:val="24"/>
                <w:szCs w:val="24"/>
                <w:lang w:val="en-US" w:eastAsia="zh-CN"/>
              </w:rPr>
              <w:t>0.043</w:t>
            </w:r>
            <w:r>
              <w:rPr>
                <w:rFonts w:hint="default"/>
                <w:sz w:val="24"/>
                <w:szCs w:val="24"/>
              </w:rPr>
              <w:t>kg</w:t>
            </w:r>
            <w:r>
              <w:rPr>
                <w:sz w:val="24"/>
                <w:szCs w:val="24"/>
              </w:rPr>
              <w:t>/h</w:t>
            </w:r>
            <w:r>
              <w:rPr>
                <w:rFonts w:hint="eastAsia"/>
                <w:sz w:val="24"/>
                <w:szCs w:val="24"/>
                <w:lang w:eastAsia="zh-CN"/>
              </w:rPr>
              <w:t>、</w:t>
            </w:r>
            <w:r>
              <w:rPr>
                <w:rFonts w:hint="eastAsia"/>
                <w:sz w:val="24"/>
                <w:szCs w:val="24"/>
                <w:lang w:val="en-US" w:eastAsia="zh-CN"/>
              </w:rPr>
              <w:t>0.031</w:t>
            </w:r>
            <w:r>
              <w:rPr>
                <w:rFonts w:hint="default"/>
                <w:sz w:val="24"/>
                <w:szCs w:val="24"/>
              </w:rPr>
              <w:t>kg</w:t>
            </w:r>
            <w:r>
              <w:rPr>
                <w:sz w:val="24"/>
                <w:szCs w:val="24"/>
              </w:rPr>
              <w:t>/h</w:t>
            </w:r>
            <w:r>
              <w:rPr>
                <w:rFonts w:hint="eastAsia"/>
                <w:sz w:val="24"/>
                <w:szCs w:val="24"/>
                <w:lang w:eastAsia="zh-CN"/>
              </w:rPr>
              <w:t>，</w:t>
            </w:r>
            <w:r>
              <w:rPr>
                <w:rFonts w:hint="eastAsia"/>
                <w:sz w:val="24"/>
                <w:szCs w:val="24"/>
              </w:rPr>
              <w:t>能够</w:t>
            </w:r>
            <w:r>
              <w:rPr>
                <w:rFonts w:hint="eastAsia"/>
                <w:sz w:val="24"/>
                <w:szCs w:val="24"/>
                <w:lang w:eastAsia="zh-CN"/>
              </w:rPr>
              <w:t>分别</w:t>
            </w:r>
            <w:r>
              <w:rPr>
                <w:rFonts w:hint="eastAsia"/>
                <w:sz w:val="24"/>
                <w:szCs w:val="24"/>
              </w:rPr>
              <w:t>满足</w:t>
            </w:r>
            <w:r>
              <w:rPr>
                <w:rFonts w:hint="eastAsia"/>
                <w:sz w:val="24"/>
                <w:szCs w:val="24"/>
                <w:lang w:val="en-US" w:eastAsia="zh-CN"/>
              </w:rPr>
              <w:t>《区域性大气污染物综合排放标准》（DB37/2376-2019)表1重点控制区标准要求和《大气污染物综合排放标准》（GB16297-1996)表2标准要求；《挥发性有机物排放标准 第6部分：有机化工行业》（DB37/2801.6-2018）表1标准的要求。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auto"/>
                <w:kern w:val="2"/>
                <w:sz w:val="24"/>
                <w:szCs w:val="21"/>
                <w:lang w:val="en-US" w:eastAsia="zh-CN" w:bidi="ar-SA"/>
              </w:rPr>
            </w:pPr>
            <w:r>
              <w:rPr>
                <w:rFonts w:hint="eastAsia" w:asciiTheme="minorHAnsi" w:hAnsiTheme="minorHAnsi" w:eastAsiaTheme="minorEastAsia" w:cstheme="minorBidi"/>
                <w:kern w:val="2"/>
                <w:sz w:val="24"/>
                <w:szCs w:val="24"/>
                <w:lang w:val="en-US" w:eastAsia="zh-CN" w:bidi="ar-SA"/>
              </w:rPr>
              <w:t>厂界颗粒物的最大浓度为0.367mg/m</w:t>
            </w:r>
            <w:r>
              <w:rPr>
                <w:rFonts w:hint="eastAsia" w:asciiTheme="minorHAnsi" w:hAnsiTheme="minorHAnsi" w:eastAsiaTheme="minorEastAsia" w:cstheme="minorBidi"/>
                <w:kern w:val="2"/>
                <w:sz w:val="24"/>
                <w:szCs w:val="24"/>
                <w:vertAlign w:val="superscript"/>
                <w:lang w:val="en-US" w:eastAsia="zh-CN" w:bidi="ar-SA"/>
              </w:rPr>
              <w:t>3</w:t>
            </w:r>
            <w:r>
              <w:rPr>
                <w:rFonts w:hint="eastAsia" w:asciiTheme="minorHAnsi" w:hAnsiTheme="minorHAnsi" w:eastAsiaTheme="minorEastAsia" w:cstheme="minorBidi"/>
                <w:kern w:val="2"/>
                <w:sz w:val="24"/>
                <w:szCs w:val="24"/>
                <w:lang w:val="en-US" w:eastAsia="zh-CN" w:bidi="ar-SA"/>
              </w:rPr>
              <w:t>，能够满足《大气污染物综合排放标准》（GB16297-1996）表2中颗粒物厂界周围外浓度限值其他行业的限值要求；厂界</w:t>
            </w:r>
            <w:r>
              <w:rPr>
                <w:rFonts w:hint="default" w:asciiTheme="minorHAnsi" w:hAnsiTheme="minorHAnsi" w:eastAsiaTheme="minorEastAsia" w:cstheme="minorBidi"/>
                <w:kern w:val="2"/>
                <w:sz w:val="24"/>
                <w:szCs w:val="24"/>
                <w:lang w:val="en-US" w:eastAsia="zh-CN" w:bidi="ar-SA"/>
              </w:rPr>
              <w:t>VOCs</w:t>
            </w:r>
            <w:r>
              <w:rPr>
                <w:rFonts w:hint="eastAsia" w:asciiTheme="minorHAnsi" w:hAnsiTheme="minorHAnsi" w:eastAsiaTheme="minorEastAsia" w:cstheme="minorBidi"/>
                <w:kern w:val="2"/>
                <w:sz w:val="24"/>
                <w:szCs w:val="24"/>
                <w:lang w:val="en-US" w:eastAsia="zh-CN" w:bidi="ar-SA"/>
              </w:rPr>
              <w:t>排放最大浓度分别为</w:t>
            </w:r>
            <w:r>
              <w:rPr>
                <w:rFonts w:hint="default" w:asciiTheme="minorHAnsi" w:hAnsiTheme="minorHAnsi" w:eastAsiaTheme="minorEastAsia" w:cstheme="minorBidi"/>
                <w:kern w:val="2"/>
                <w:sz w:val="24"/>
                <w:szCs w:val="24"/>
                <w:lang w:val="en-US" w:eastAsia="zh-CN" w:bidi="ar-SA"/>
              </w:rPr>
              <w:t>0.</w:t>
            </w:r>
            <w:r>
              <w:rPr>
                <w:rFonts w:hint="eastAsia" w:asciiTheme="minorHAnsi" w:hAnsiTheme="minorHAnsi" w:eastAsiaTheme="minorEastAsia" w:cstheme="minorBidi"/>
                <w:kern w:val="2"/>
                <w:sz w:val="24"/>
                <w:szCs w:val="24"/>
                <w:lang w:val="en-US" w:eastAsia="zh-CN" w:bidi="ar-SA"/>
              </w:rPr>
              <w:t>89mg/m</w:t>
            </w:r>
            <w:r>
              <w:rPr>
                <w:rFonts w:hint="eastAsia" w:asciiTheme="minorHAnsi" w:hAnsiTheme="minorHAnsi" w:eastAsiaTheme="minorEastAsia" w:cstheme="minorBidi"/>
                <w:kern w:val="2"/>
                <w:sz w:val="24"/>
                <w:szCs w:val="24"/>
                <w:vertAlign w:val="superscript"/>
                <w:lang w:val="en-US" w:eastAsia="zh-CN" w:bidi="ar-SA"/>
              </w:rPr>
              <w:t>3</w:t>
            </w:r>
            <w:r>
              <w:rPr>
                <w:rFonts w:hint="eastAsia" w:asciiTheme="minorHAnsi" w:hAnsiTheme="minorHAnsi" w:eastAsiaTheme="minorEastAsia" w:cstheme="minorBidi"/>
                <w:kern w:val="2"/>
                <w:sz w:val="24"/>
                <w:szCs w:val="24"/>
                <w:lang w:val="en-US" w:eastAsia="zh-CN" w:bidi="ar-SA"/>
              </w:rPr>
              <w:t>能够满足《挥发性有机物排放标准 第6部分：有机化工行业》</w:t>
            </w:r>
            <w:r>
              <w:rPr>
                <w:rFonts w:hint="default" w:asciiTheme="minorHAnsi" w:hAnsiTheme="minorHAnsi" w:eastAsiaTheme="minorEastAsia" w:cstheme="minorBidi"/>
                <w:kern w:val="2"/>
                <w:sz w:val="24"/>
                <w:szCs w:val="24"/>
                <w:lang w:val="en-US" w:eastAsia="zh-CN" w:bidi="ar-SA"/>
              </w:rPr>
              <w:t>（DB37/2801.</w:t>
            </w:r>
            <w:r>
              <w:rPr>
                <w:rFonts w:hint="eastAsia" w:asciiTheme="minorHAnsi" w:hAnsiTheme="minorHAnsi" w:eastAsiaTheme="minorEastAsia" w:cstheme="minorBidi"/>
                <w:kern w:val="2"/>
                <w:sz w:val="24"/>
                <w:szCs w:val="24"/>
                <w:lang w:val="en-US" w:eastAsia="zh-CN" w:bidi="ar-SA"/>
              </w:rPr>
              <w:t>6</w:t>
            </w:r>
            <w:r>
              <w:rPr>
                <w:rFonts w:hint="default" w:asciiTheme="minorHAnsi" w:hAnsiTheme="minorHAnsi" w:eastAsiaTheme="minorEastAsia" w:cstheme="minorBidi"/>
                <w:kern w:val="2"/>
                <w:sz w:val="24"/>
                <w:szCs w:val="24"/>
                <w:lang w:val="en-US" w:eastAsia="zh-CN" w:bidi="ar-SA"/>
              </w:rPr>
              <w:t>-201</w:t>
            </w:r>
            <w:r>
              <w:rPr>
                <w:rFonts w:hint="eastAsia" w:asciiTheme="minorHAnsi" w:hAnsiTheme="minorHAnsi" w:eastAsiaTheme="minorEastAsia" w:cstheme="minorBidi"/>
                <w:kern w:val="2"/>
                <w:sz w:val="24"/>
                <w:szCs w:val="24"/>
                <w:lang w:val="en-US" w:eastAsia="zh-CN" w:bidi="ar-SA"/>
              </w:rPr>
              <w:t>8</w:t>
            </w:r>
            <w:r>
              <w:rPr>
                <w:rFonts w:hint="default" w:asciiTheme="minorHAnsi" w:hAnsiTheme="minorHAnsi" w:eastAsiaTheme="minorEastAsia" w:cstheme="minorBidi"/>
                <w:kern w:val="2"/>
                <w:sz w:val="24"/>
                <w:szCs w:val="24"/>
                <w:lang w:val="en-US" w:eastAsia="zh-CN" w:bidi="ar-SA"/>
              </w:rPr>
              <w:t>）</w:t>
            </w:r>
            <w:r>
              <w:rPr>
                <w:rFonts w:hint="eastAsia" w:asciiTheme="minorHAnsi" w:hAnsiTheme="minorHAnsi" w:eastAsiaTheme="minorEastAsia" w:cstheme="minorBidi"/>
                <w:kern w:val="2"/>
                <w:sz w:val="24"/>
                <w:szCs w:val="24"/>
                <w:lang w:val="en-US" w:eastAsia="zh-CN" w:bidi="ar-SA"/>
              </w:rPr>
              <w:t>表</w:t>
            </w:r>
            <w:r>
              <w:rPr>
                <w:rFonts w:hint="default" w:asciiTheme="minorHAnsi" w:hAnsiTheme="minorHAnsi" w:eastAsiaTheme="minorEastAsia" w:cstheme="minorBidi"/>
                <w:kern w:val="2"/>
                <w:sz w:val="24"/>
                <w:szCs w:val="24"/>
                <w:lang w:val="en-US" w:eastAsia="zh-CN" w:bidi="ar-SA"/>
              </w:rPr>
              <w:t>3</w:t>
            </w:r>
            <w:r>
              <w:rPr>
                <w:rFonts w:hint="eastAsia" w:asciiTheme="minorHAnsi" w:hAnsiTheme="minorHAnsi" w:eastAsiaTheme="minorEastAsia" w:cstheme="minorBidi"/>
                <w:kern w:val="2"/>
                <w:sz w:val="24"/>
                <w:szCs w:val="24"/>
                <w:lang w:val="en-US" w:eastAsia="zh-CN" w:bidi="ar-SA"/>
              </w:rPr>
              <w:t>中厂界监控点浓度限值要求。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SimSun"/>
                <w:b/>
                <w:bCs/>
                <w:sz w:val="24"/>
              </w:rPr>
            </w:pPr>
            <w:r>
              <w:rPr>
                <w:rFonts w:hint="default" w:ascii="Times New Roman" w:hAnsi="Times New Roman" w:cs="Times New Roman"/>
                <w:sz w:val="24"/>
              </w:rPr>
              <w:t>（</w:t>
            </w:r>
            <w:r>
              <w:rPr>
                <w:rFonts w:hint="default" w:ascii="Times New Roman" w:hAnsi="Times New Roman" w:eastAsia="SimSun" w:cs="Times New Roman"/>
                <w:sz w:val="24"/>
              </w:rPr>
              <w:t>2</w:t>
            </w:r>
            <w:r>
              <w:rPr>
                <w:rFonts w:hint="default" w:ascii="Times New Roman" w:hAnsi="Times New Roman" w:cs="Times New Roman"/>
                <w:sz w:val="24"/>
              </w:rPr>
              <w:t>）</w:t>
            </w:r>
            <w:r>
              <w:rPr>
                <w:rFonts w:hint="eastAsia" w:ascii="Times New Roman" w:hAnsi="Times New Roman"/>
                <w:sz w:val="24"/>
              </w:rPr>
              <w:t xml:space="preserve">噪声监测结论  </w:t>
            </w:r>
            <w:r>
              <w:rPr>
                <w:rFonts w:hint="eastAsia" w:ascii="Times New Roman" w:hAnsi="Times New Roman" w:eastAsia="SimSun"/>
                <w:b/>
                <w:bCs/>
                <w:sz w:val="24"/>
              </w:rPr>
              <w:t xml:space="preserve"> </w:t>
            </w:r>
          </w:p>
          <w:p>
            <w:pPr>
              <w:keepNext w:val="0"/>
              <w:keepLines w:val="0"/>
              <w:pageBreakBefore w:val="0"/>
              <w:widowControl w:val="0"/>
              <w:kinsoku/>
              <w:wordWrap/>
              <w:overflowPunct/>
              <w:topLinePunct w:val="0"/>
              <w:bidi w:val="0"/>
              <w:snapToGrid/>
              <w:spacing w:line="360" w:lineRule="auto"/>
              <w:ind w:firstLine="360" w:firstLineChars="15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项目主要噪声源混合机、压片机、颗粒机、整粒机等设备运行时产生的噪声，通过采取减震、隔声等措施降噪</w:t>
            </w:r>
            <w:r>
              <w:rPr>
                <w:rFonts w:hint="eastAsia" w:ascii="Times New Roman" w:hAnsi="Times New Roman" w:cs="Times New Roman"/>
                <w:sz w:val="24"/>
                <w:szCs w:val="24"/>
                <w:lang w:val="en-US" w:eastAsia="zh-CN"/>
              </w:rPr>
              <w:t>。</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eastAsiaTheme="minorEastAsia"/>
                <w:b w:val="0"/>
                <w:bCs/>
                <w:color w:val="FF0000"/>
                <w:lang w:val="en-US" w:eastAsia="zh-CN"/>
              </w:rPr>
            </w:pPr>
            <w:r>
              <w:rPr>
                <w:rFonts w:ascii="Times New Roman" w:hAnsi="Times New Roman" w:eastAsia="SimSun" w:cs="Times New Roman"/>
                <w:color w:val="auto"/>
                <w:sz w:val="24"/>
                <w:szCs w:val="24"/>
              </w:rPr>
              <w:t>验收监测期间，厂界噪声值范围在</w:t>
            </w:r>
            <w:r>
              <w:rPr>
                <w:rFonts w:hint="eastAsia" w:ascii="Times New Roman" w:hAnsi="Times New Roman" w:eastAsia="SimSun" w:cs="Times New Roman"/>
                <w:color w:val="auto"/>
                <w:sz w:val="24"/>
                <w:szCs w:val="24"/>
                <w:lang w:val="en-US" w:eastAsia="zh-CN"/>
              </w:rPr>
              <w:t>53.1</w:t>
            </w:r>
            <w:r>
              <w:rPr>
                <w:rFonts w:ascii="Times New Roman" w:hAnsi="Times New Roman" w:eastAsia="SimSun"/>
                <w:color w:val="auto"/>
                <w:sz w:val="24"/>
              </w:rPr>
              <w:t>~</w:t>
            </w:r>
            <w:r>
              <w:rPr>
                <w:rFonts w:hint="eastAsia" w:ascii="Times New Roman" w:hAnsi="Times New Roman" w:eastAsia="SimSun"/>
                <w:color w:val="auto"/>
                <w:sz w:val="24"/>
                <w:lang w:val="en-US" w:eastAsia="zh-CN"/>
              </w:rPr>
              <w:t>56.1</w:t>
            </w:r>
            <w:r>
              <w:rPr>
                <w:rFonts w:ascii="Times New Roman" w:hAnsi="Times New Roman" w:eastAsia="SimSun"/>
                <w:color w:val="auto"/>
                <w:sz w:val="24"/>
              </w:rPr>
              <w:t>d</w:t>
            </w:r>
            <w:r>
              <w:rPr>
                <w:rFonts w:ascii="Times New Roman" w:hAnsi="Times New Roman" w:cs="Times New Roman"/>
                <w:color w:val="auto"/>
                <w:sz w:val="24"/>
                <w:szCs w:val="24"/>
              </w:rPr>
              <w:t>B（A）</w:t>
            </w:r>
            <w:r>
              <w:rPr>
                <w:rFonts w:ascii="Times New Roman" w:hAnsi="Times New Roman" w:eastAsia="SimSun" w:cs="Times New Roman"/>
                <w:color w:val="auto"/>
                <w:sz w:val="24"/>
                <w:szCs w:val="24"/>
              </w:rPr>
              <w:t>之间</w:t>
            </w:r>
            <w:r>
              <w:rPr>
                <w:rFonts w:ascii="Times New Roman" w:hAnsi="Times New Roman" w:cs="Times New Roman"/>
                <w:color w:val="auto"/>
                <w:sz w:val="24"/>
                <w:szCs w:val="24"/>
              </w:rPr>
              <w:t>，能够</w:t>
            </w:r>
            <w:r>
              <w:rPr>
                <w:rFonts w:ascii="Times New Roman" w:hAnsi="Times New Roman" w:eastAsia="SimSun" w:cs="Times New Roman"/>
                <w:color w:val="auto"/>
                <w:sz w:val="24"/>
                <w:szCs w:val="24"/>
              </w:rPr>
              <w:t>满足《工业企业厂界环境噪声排放标准》（GB12348-2008）中的</w:t>
            </w:r>
            <w:r>
              <w:rPr>
                <w:rFonts w:hint="eastAsia" w:ascii="Times New Roman" w:hAnsi="Times New Roman" w:eastAsia="SimSun" w:cs="Times New Roman"/>
                <w:color w:val="auto"/>
                <w:sz w:val="24"/>
                <w:szCs w:val="24"/>
              </w:rPr>
              <w:t>2</w:t>
            </w:r>
            <w:r>
              <w:rPr>
                <w:rFonts w:ascii="Times New Roman" w:hAnsi="Times New Roman" w:eastAsia="SimSun" w:cs="Times New Roman"/>
                <w:color w:val="auto"/>
                <w:sz w:val="24"/>
                <w:szCs w:val="24"/>
              </w:rPr>
              <w:t>类标准要求。</w:t>
            </w:r>
            <w:r>
              <w:rPr>
                <w:rFonts w:hint="eastAsia" w:ascii="Times New Roman" w:hAnsi="Times New Roman" w:cs="Times New Roman"/>
                <w:color w:val="auto"/>
                <w:sz w:val="24"/>
                <w:szCs w:val="24"/>
                <w:lang w:eastAsia="zh-CN"/>
              </w:rPr>
              <w:t>本项目夜间不生产。固不进行检测。</w:t>
            </w:r>
          </w:p>
          <w:p>
            <w:pPr>
              <w:pStyle w:val="36"/>
              <w:keepNext w:val="0"/>
              <w:keepLines w:val="0"/>
              <w:pageBreakBefore w:val="0"/>
              <w:widowControl w:val="0"/>
              <w:numPr>
                <w:ilvl w:val="0"/>
                <w:numId w:val="5"/>
              </w:numPr>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b w:val="0"/>
                <w:bCs/>
                <w:color w:val="auto"/>
                <w:lang w:val="en-US" w:eastAsia="zh-CN"/>
              </w:rPr>
            </w:pPr>
            <w:r>
              <w:rPr>
                <w:rFonts w:hint="eastAsia"/>
                <w:b w:val="0"/>
                <w:bCs/>
                <w:color w:val="auto"/>
                <w:lang w:val="en-US" w:eastAsia="zh-CN"/>
              </w:rPr>
              <w:t>废水监测结论</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b w:val="0"/>
                <w:bCs/>
                <w:color w:val="auto"/>
                <w:lang w:val="en-US" w:eastAsia="zh-CN"/>
              </w:rPr>
            </w:pPr>
            <w:r>
              <w:rPr>
                <w:rFonts w:hint="eastAsia"/>
                <w:b w:val="0"/>
                <w:bCs/>
                <w:color w:val="auto"/>
                <w:lang w:val="en-US" w:eastAsia="zh-CN"/>
              </w:rPr>
              <w:t>扩建项目不新增劳动定员，用工从现有项目中调配，生活污水依托现有，口服液生产采用纯水，依托现有项目。片剂、液体消毒剂采用自来水，用于生产，不外排。</w:t>
            </w:r>
          </w:p>
          <w:p>
            <w:pPr>
              <w:pStyle w:val="36"/>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sz w:val="24"/>
              </w:rPr>
            </w:pPr>
            <w:r>
              <w:rPr>
                <w:rFonts w:hint="eastAsia"/>
                <w:sz w:val="24"/>
                <w:lang w:val="en-US" w:eastAsia="zh-CN"/>
              </w:rPr>
              <w:t>固体废物调查</w:t>
            </w:r>
            <w:r>
              <w:rPr>
                <w:rFonts w:hint="eastAsia" w:ascii="Times New Roman" w:hAnsi="Times New Roman"/>
                <w:sz w:val="24"/>
              </w:rPr>
              <w:t xml:space="preserve">结论 </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sz w:val="24"/>
                <w:lang w:val="en-US" w:eastAsia="zh-CN"/>
              </w:rPr>
            </w:pPr>
            <w:r>
              <w:rPr>
                <w:rFonts w:hint="eastAsia"/>
                <w:sz w:val="24"/>
                <w:lang w:val="en-US" w:eastAsia="zh-CN"/>
              </w:rPr>
              <w:t xml:space="preserve">   </w:t>
            </w:r>
            <w:r>
              <w:rPr>
                <w:rFonts w:hint="default"/>
                <w:sz w:val="24"/>
                <w:lang w:val="en-US" w:eastAsia="zh-CN"/>
              </w:rPr>
              <w:t>本项目固废</w:t>
            </w:r>
            <w:r>
              <w:rPr>
                <w:rFonts w:hint="eastAsia"/>
                <w:sz w:val="24"/>
                <w:lang w:val="en-US" w:eastAsia="zh-CN"/>
              </w:rPr>
              <w:t>：不合格产品</w:t>
            </w:r>
            <w:r>
              <w:rPr>
                <w:rFonts w:hint="default"/>
                <w:sz w:val="24"/>
                <w:lang w:val="en-US" w:eastAsia="zh-CN"/>
              </w:rPr>
              <w:t>、</w:t>
            </w:r>
            <w:r>
              <w:rPr>
                <w:rFonts w:hint="eastAsia"/>
                <w:sz w:val="24"/>
                <w:lang w:val="en-US" w:eastAsia="zh-CN"/>
              </w:rPr>
              <w:t>收集粉尘</w:t>
            </w:r>
            <w:r>
              <w:rPr>
                <w:rFonts w:hint="default"/>
                <w:sz w:val="24"/>
                <w:lang w:val="en-US" w:eastAsia="zh-CN"/>
              </w:rPr>
              <w:t>、</w:t>
            </w:r>
            <w:r>
              <w:rPr>
                <w:rFonts w:hint="eastAsia"/>
                <w:sz w:val="24"/>
                <w:lang w:val="en-US" w:eastAsia="zh-CN"/>
              </w:rPr>
              <w:t>废包装物。产生的危废：废离子交换树脂</w:t>
            </w:r>
            <w:r>
              <w:rPr>
                <w:rFonts w:hint="default"/>
                <w:sz w:val="24"/>
                <w:lang w:val="en-US" w:eastAsia="zh-CN"/>
              </w:rPr>
              <w:t>、</w:t>
            </w:r>
            <w:r>
              <w:rPr>
                <w:rFonts w:hint="eastAsia"/>
                <w:sz w:val="24"/>
                <w:lang w:val="en-US" w:eastAsia="zh-CN"/>
              </w:rPr>
              <w:t>废包装物、废UV灯管、废活性炭、化验室废液、废过滤棉</w:t>
            </w:r>
            <w:r>
              <w:rPr>
                <w:rFonts w:hint="default"/>
                <w:sz w:val="24"/>
                <w:lang w:val="en-US" w:eastAsia="zh-CN"/>
              </w:rPr>
              <w:t>。</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color w:val="auto"/>
                <w:kern w:val="2"/>
              </w:rPr>
            </w:pPr>
            <w:r>
              <w:rPr>
                <w:rFonts w:hint="eastAsia"/>
                <w:sz w:val="24"/>
                <w:lang w:val="en-US" w:eastAsia="zh-CN"/>
              </w:rPr>
              <w:t xml:space="preserve">   </w:t>
            </w:r>
            <w:r>
              <w:rPr>
                <w:rFonts w:hint="default"/>
                <w:sz w:val="24"/>
                <w:lang w:val="en-US" w:eastAsia="zh-CN"/>
              </w:rPr>
              <w:t>不合格产品、布袋除尘器收集的粉尘回用于生产；</w:t>
            </w:r>
            <w:r>
              <w:rPr>
                <w:rFonts w:hint="eastAsia"/>
                <w:sz w:val="24"/>
                <w:lang w:val="en-US" w:eastAsia="zh-CN"/>
              </w:rPr>
              <w:t>废包装物由废品收购站统一收购处理；</w:t>
            </w:r>
            <w:r>
              <w:rPr>
                <w:rFonts w:hint="eastAsia"/>
                <w:bCs/>
                <w:color w:val="auto"/>
                <w:sz w:val="24"/>
                <w:lang w:eastAsia="zh-CN"/>
              </w:rPr>
              <w:t>废离子交换树脂、</w:t>
            </w:r>
            <w:r>
              <w:rPr>
                <w:rFonts w:hint="eastAsia"/>
                <w:bCs/>
                <w:color w:val="auto"/>
                <w:sz w:val="24"/>
                <w:lang w:val="en-US" w:eastAsia="zh-CN"/>
              </w:rPr>
              <w:t>废过滤棉、</w:t>
            </w:r>
            <w:r>
              <w:rPr>
                <w:rFonts w:hint="eastAsia"/>
                <w:bCs/>
                <w:color w:val="auto"/>
                <w:sz w:val="24"/>
                <w:lang w:eastAsia="zh-CN"/>
              </w:rPr>
              <w:t>废活性炭、废灯管、化验室废液</w:t>
            </w:r>
            <w:r>
              <w:rPr>
                <w:rFonts w:hint="default"/>
                <w:sz w:val="24"/>
                <w:lang w:val="en-US" w:eastAsia="zh-CN"/>
              </w:rPr>
              <w:t>暂存于危废暂存间，定期委托有资质单位处理。</w:t>
            </w:r>
            <w:r>
              <w:rPr>
                <w:rFonts w:hint="eastAsia"/>
                <w:sz w:val="24"/>
                <w:lang w:val="en-US" w:eastAsia="zh-CN"/>
              </w:rPr>
              <w:t>处理措施和处置方案达到《危险废物贮存污染物控制标准》（GB18597-2001)及其2013年修改单标准要求</w:t>
            </w:r>
            <w:r>
              <w:rPr>
                <w:rFonts w:hint="eastAsia" w:eastAsia="SimSun" w:cs="SimSun"/>
                <w:sz w:val="21"/>
                <w:szCs w:val="21"/>
                <w:lang w:val="en-US" w:eastAsia="zh-CN"/>
              </w:rPr>
              <w:t>。</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color w:val="auto"/>
                <w:kern w:val="2"/>
              </w:rPr>
            </w:pPr>
            <w:r>
              <w:rPr>
                <w:rFonts w:hint="eastAsia"/>
                <w:b/>
                <w:color w:val="auto"/>
              </w:rPr>
              <w:t>总结论:</w:t>
            </w:r>
          </w:p>
          <w:p>
            <w:pPr>
              <w:pStyle w:val="36"/>
              <w:spacing w:line="360" w:lineRule="auto"/>
              <w:ind w:firstLine="422"/>
              <w:rPr>
                <w:rFonts w:eastAsia="SimSun"/>
                <w:color w:val="FF0000"/>
              </w:rPr>
            </w:pPr>
            <w:r>
              <w:rPr>
                <w:rFonts w:eastAsia="SimSun"/>
                <w:color w:val="auto"/>
              </w:rPr>
              <w:t>根据本次现场监测及调查结果，山东安特牧业科技有限公司兽药扩建项目</w:t>
            </w:r>
            <w:r>
              <w:rPr>
                <w:rFonts w:hint="eastAsia" w:eastAsia="SimSun"/>
                <w:color w:val="auto"/>
              </w:rPr>
              <w:t>符合</w:t>
            </w:r>
            <w:r>
              <w:rPr>
                <w:rFonts w:eastAsia="SimSun"/>
                <w:color w:val="auto"/>
              </w:rPr>
              <w:t>环境保护</w:t>
            </w:r>
            <w:r>
              <w:rPr>
                <w:rFonts w:hint="eastAsia" w:eastAsia="SimSun"/>
                <w:color w:val="auto"/>
              </w:rPr>
              <w:t>“</w:t>
            </w:r>
            <w:r>
              <w:rPr>
                <w:rFonts w:eastAsia="SimSun"/>
                <w:color w:val="auto"/>
              </w:rPr>
              <w:t>三同时</w:t>
            </w:r>
            <w:r>
              <w:rPr>
                <w:rFonts w:hint="eastAsia" w:eastAsia="SimSun"/>
                <w:color w:val="auto"/>
              </w:rPr>
              <w:t>”</w:t>
            </w:r>
            <w:r>
              <w:rPr>
                <w:rFonts w:eastAsia="SimSun"/>
                <w:color w:val="auto"/>
              </w:rPr>
              <w:t>制度，环评提出的污染防治措施及环评批复中提出的各项环保要求基本落实到位，污染物均达到国家有关标准及相关要求</w:t>
            </w:r>
            <w:r>
              <w:rPr>
                <w:rFonts w:hint="eastAsia" w:eastAsia="SimSun"/>
                <w:color w:val="auto"/>
              </w:rPr>
              <w:t>，</w:t>
            </w:r>
            <w:r>
              <w:rPr>
                <w:rFonts w:hint="eastAsia"/>
                <w:color w:val="auto"/>
                <w:kern w:val="2"/>
              </w:rPr>
              <w:t>因此本项目符合验收条件，建议验收通过</w:t>
            </w:r>
            <w:r>
              <w:rPr>
                <w:rFonts w:hint="eastAsia"/>
                <w:kern w:val="2"/>
              </w:rPr>
              <w:t>。</w:t>
            </w:r>
          </w:p>
          <w:p>
            <w:pPr>
              <w:spacing w:line="360" w:lineRule="auto"/>
              <w:rPr>
                <w:rFonts w:ascii="Times New Roman" w:hAnsi="Times New Roman" w:cs="Times New Roman"/>
                <w:b/>
                <w:spacing w:val="6"/>
                <w:sz w:val="24"/>
                <w:szCs w:val="24"/>
              </w:rPr>
            </w:pPr>
            <w:r>
              <w:rPr>
                <w:rFonts w:ascii="Times New Roman" w:hAnsi="Times New Roman" w:cs="Times New Roman"/>
                <w:b/>
                <w:spacing w:val="6"/>
                <w:sz w:val="24"/>
                <w:szCs w:val="24"/>
              </w:rPr>
              <w:t>建议</w:t>
            </w:r>
            <w:r>
              <w:rPr>
                <w:rFonts w:hint="eastAsia" w:ascii="Times New Roman" w:hAnsi="Times New Roman" w:cs="Times New Roman"/>
                <w:b/>
                <w:spacing w:val="6"/>
                <w:sz w:val="24"/>
                <w:szCs w:val="24"/>
              </w:rPr>
              <w:t>:</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w:t>
            </w:r>
            <w:r>
              <w:rPr>
                <w:rFonts w:hint="eastAsia" w:ascii="Times New Roman" w:hAnsi="Times New Roman" w:cs="Times New Roman"/>
                <w:sz w:val="24"/>
                <w:szCs w:val="24"/>
                <w:lang w:eastAsia="zh-CN"/>
              </w:rPr>
              <w:t>）</w:t>
            </w:r>
            <w:r>
              <w:rPr>
                <w:rFonts w:ascii="Times New Roman" w:hAnsi="Times New Roman" w:cs="Times New Roman"/>
                <w:sz w:val="24"/>
                <w:szCs w:val="24"/>
              </w:rPr>
              <w:t>企业内部加强环境管理，制定环境保护管理制度，实施清洁生产。加强机械设备的检查维护和管理。</w:t>
            </w:r>
          </w:p>
          <w:p>
            <w:pPr>
              <w:adjustRightInd w:val="0"/>
              <w:snapToGrid w:val="0"/>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eastAsia="zh-CN"/>
              </w:rPr>
              <w:t>）</w:t>
            </w:r>
            <w:r>
              <w:rPr>
                <w:rFonts w:ascii="Times New Roman" w:hAnsi="Times New Roman" w:cs="Times New Roman"/>
                <w:sz w:val="24"/>
                <w:szCs w:val="24"/>
                <w:lang w:val="zh-CN"/>
              </w:rPr>
              <w:t>严格控制噪声，采用密闭厂房、设备减震、</w:t>
            </w:r>
            <w:r>
              <w:rPr>
                <w:rFonts w:ascii="Times New Roman" w:hAnsi="Times New Roman" w:cs="Times New Roman"/>
                <w:sz w:val="24"/>
                <w:szCs w:val="24"/>
              </w:rPr>
              <w:t>车间墙壁等加吸声材料并设置隔声门窗</w:t>
            </w:r>
            <w:r>
              <w:rPr>
                <w:rFonts w:ascii="Times New Roman" w:hAnsi="Times New Roman" w:cs="Times New Roman"/>
                <w:sz w:val="24"/>
                <w:szCs w:val="24"/>
                <w:lang w:val="zh-CN"/>
              </w:rPr>
              <w:t>等措施确保厂界噪声符合</w:t>
            </w:r>
            <w:r>
              <w:rPr>
                <w:rFonts w:ascii="Times New Roman" w:hAnsi="Times New Roman" w:cs="Times New Roman"/>
                <w:sz w:val="24"/>
                <w:szCs w:val="24"/>
              </w:rPr>
              <w:t>《工业企业厂界环境噪声排放标准》（GB12348-2008）</w:t>
            </w:r>
            <w:r>
              <w:rPr>
                <w:rFonts w:hint="eastAsia" w:ascii="Times New Roman" w:hAnsi="Times New Roman" w:cs="Times New Roman"/>
                <w:sz w:val="24"/>
                <w:szCs w:val="24"/>
              </w:rPr>
              <w:t>2</w:t>
            </w:r>
            <w:r>
              <w:rPr>
                <w:rFonts w:ascii="Times New Roman" w:hAnsi="Times New Roman" w:cs="Times New Roman"/>
                <w:sz w:val="24"/>
                <w:szCs w:val="24"/>
              </w:rPr>
              <w:t>类标准要求</w:t>
            </w:r>
            <w:r>
              <w:rPr>
                <w:rFonts w:ascii="Times New Roman" w:hAnsi="Times New Roman" w:cs="Times New Roman"/>
                <w:sz w:val="24"/>
                <w:szCs w:val="24"/>
                <w:lang w:val="zh-CN"/>
              </w:rPr>
              <w:t>；加强生产设备的管理，保持良好运转状态；采用噪声较低的设备。</w:t>
            </w:r>
          </w:p>
          <w:p>
            <w:pPr>
              <w:adjustRightInd w:val="0"/>
              <w:snapToGrid w:val="0"/>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rPr>
              <w:t>）增加厂区绿化，改善厂区及周边的生态环境</w:t>
            </w:r>
            <w:r>
              <w:rPr>
                <w:rFonts w:hint="eastAsia" w:ascii="Times New Roman" w:hAnsi="Times New Roman" w:cs="Times New Roman"/>
                <w:sz w:val="24"/>
                <w:szCs w:val="24"/>
                <w:lang w:eastAsia="zh-CN"/>
              </w:rPr>
              <w:t>；</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4</w:t>
            </w:r>
            <w:r>
              <w:rPr>
                <w:rFonts w:hint="eastAsia" w:ascii="Times New Roman" w:hAnsi="Times New Roman" w:cs="Times New Roman"/>
                <w:sz w:val="24"/>
                <w:szCs w:val="24"/>
              </w:rPr>
              <w:t>）</w:t>
            </w:r>
            <w:r>
              <w:rPr>
                <w:rFonts w:ascii="Times New Roman" w:hAnsi="Times New Roman" w:cs="Times New Roman"/>
                <w:sz w:val="24"/>
                <w:szCs w:val="24"/>
              </w:rPr>
              <w:t>加强项目管理人员和职工的环保教育，增强环保意识，落实各项环保规章制度，最大限度地减少资源浪费和对环境的污染。</w:t>
            </w:r>
          </w:p>
          <w:p>
            <w:pPr>
              <w:widowControl/>
              <w:spacing w:line="360" w:lineRule="auto"/>
              <w:ind w:firstLine="480" w:firstLineChars="200"/>
              <w:rPr>
                <w:rFonts w:ascii="Times New Roman" w:hAnsi="Times New Roman" w:cs="Times New Roman"/>
                <w:sz w:val="24"/>
              </w:rPr>
            </w:pPr>
          </w:p>
        </w:tc>
      </w:tr>
    </w:tbl>
    <w:p>
      <w:pPr>
        <w:spacing w:line="360" w:lineRule="auto"/>
        <w:rPr>
          <w:rFonts w:ascii="Times New Roman" w:hAnsi="Times New Roman" w:cs="Times New Roman"/>
          <w:spacing w:val="6"/>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ascii="Times New Roman" w:hAnsi="Times New Roman" w:cs="Times New Roman"/>
          <w:b/>
          <w:color w:val="FF0000"/>
          <w:spacing w:val="6"/>
          <w:sz w:val="30"/>
          <w:szCs w:val="30"/>
        </w:rPr>
      </w:pPr>
      <w:r>
        <w:rPr>
          <w:rFonts w:ascii="Times New Roman" w:hAnsi="Times New Roman" w:cs="Times New Roman"/>
          <w:b/>
          <w:sz w:val="28"/>
          <w:szCs w:val="28"/>
        </w:rPr>
        <w:t>附件1  三同时登记表</w:t>
      </w:r>
    </w:p>
    <w:p>
      <w:pPr>
        <w:spacing w:line="300" w:lineRule="exact"/>
        <w:jc w:val="center"/>
        <w:rPr>
          <w:rFonts w:ascii="Times New Roman" w:hAnsi="Times New Roman" w:eastAsia="SimHei" w:cs="Times New Roman"/>
          <w:b/>
          <w:sz w:val="28"/>
          <w:szCs w:val="28"/>
        </w:rPr>
      </w:pPr>
      <w:r>
        <w:rPr>
          <w:rFonts w:ascii="Times New Roman" w:hAnsi="Times New Roman" w:eastAsia="SimHei" w:cs="Times New Roman"/>
          <w:b/>
          <w:sz w:val="28"/>
          <w:szCs w:val="28"/>
        </w:rPr>
        <w:t>建设项目竣工环境保护“三同时”验收登记表</w:t>
      </w:r>
    </w:p>
    <w:p>
      <w:pPr>
        <w:spacing w:line="300" w:lineRule="exact"/>
        <w:jc w:val="center"/>
        <w:rPr>
          <w:rFonts w:ascii="Times New Roman" w:hAnsi="Times New Roman" w:eastAsia="SimHei" w:cs="Times New Roman"/>
          <w:b/>
          <w:color w:val="000000"/>
        </w:rPr>
      </w:pPr>
    </w:p>
    <w:p>
      <w:pPr>
        <w:rPr>
          <w:rFonts w:ascii="Times New Roman" w:hAnsi="Times New Roman" w:eastAsia="SimSun" w:cs="Times New Roman"/>
          <w:b/>
          <w:color w:val="000000"/>
        </w:rPr>
      </w:pPr>
      <w:r>
        <w:rPr>
          <w:rFonts w:ascii="Times New Roman" w:hAnsi="Times New Roman" w:eastAsia="SimSun" w:cs="Times New Roman"/>
          <w:b/>
          <w:color w:val="000000"/>
        </w:rPr>
        <w:t>填表单位（盖章）：</w:t>
      </w:r>
      <w:r>
        <w:rPr>
          <w:rFonts w:hint="eastAsia" w:ascii="Times New Roman" w:hAnsi="Times New Roman" w:cs="Times New Roman"/>
          <w:sz w:val="18"/>
          <w:szCs w:val="18"/>
        </w:rPr>
        <w:t xml:space="preserve">                      </w:t>
      </w:r>
      <w:r>
        <w:rPr>
          <w:rFonts w:ascii="Times New Roman" w:hAnsi="Times New Roman" w:eastAsia="SimSun" w:cs="Times New Roman"/>
          <w:b/>
          <w:color w:val="000000"/>
        </w:rPr>
        <w:t xml:space="preserve">              填表人（签字）：                              项目经办人（签字）：</w:t>
      </w:r>
    </w:p>
    <w:tbl>
      <w:tblPr>
        <w:tblStyle w:val="28"/>
        <w:tblW w:w="2115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9"/>
        <w:gridCol w:w="222"/>
        <w:gridCol w:w="1089"/>
        <w:gridCol w:w="1067"/>
        <w:gridCol w:w="1059"/>
        <w:gridCol w:w="1560"/>
        <w:gridCol w:w="1417"/>
        <w:gridCol w:w="1418"/>
        <w:gridCol w:w="1275"/>
        <w:gridCol w:w="1418"/>
        <w:gridCol w:w="1276"/>
        <w:gridCol w:w="2976"/>
        <w:gridCol w:w="1843"/>
        <w:gridCol w:w="992"/>
        <w:gridCol w:w="993"/>
        <w:gridCol w:w="783"/>
        <w:gridCol w:w="12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jc w:val="center"/>
        </w:trPr>
        <w:tc>
          <w:tcPr>
            <w:tcW w:w="569" w:type="dxa"/>
            <w:vMerge w:val="restart"/>
            <w:tcMar>
              <w:left w:w="57" w:type="dxa"/>
              <w:right w:w="57" w:type="dxa"/>
            </w:tcMar>
            <w:textDirection w:val="tbRlV"/>
            <w:vAlign w:val="center"/>
          </w:tcPr>
          <w:p>
            <w:pPr>
              <w:ind w:left="113" w:right="113"/>
              <w:jc w:val="center"/>
              <w:rPr>
                <w:rFonts w:ascii="Times New Roman" w:hAnsi="Times New Roman" w:cs="Times New Roman"/>
                <w:b/>
                <w:color w:val="000000"/>
                <w:sz w:val="18"/>
                <w:szCs w:val="18"/>
              </w:rPr>
            </w:pPr>
            <w:r>
              <w:rPr>
                <w:rFonts w:ascii="Times New Roman" w:hAnsi="Times New Roman" w:cs="Times New Roman"/>
                <w:b/>
                <w:color w:val="000000"/>
                <w:sz w:val="18"/>
                <w:szCs w:val="18"/>
              </w:rPr>
              <w:t>建设项目</w:t>
            </w:r>
          </w:p>
        </w:tc>
        <w:tc>
          <w:tcPr>
            <w:tcW w:w="2378" w:type="dxa"/>
            <w:gridSpan w:val="3"/>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项目名称</w:t>
            </w:r>
          </w:p>
        </w:tc>
        <w:tc>
          <w:tcPr>
            <w:tcW w:w="6729" w:type="dxa"/>
            <w:gridSpan w:val="5"/>
            <w:tcMar>
              <w:left w:w="57" w:type="dxa"/>
              <w:right w:w="57" w:type="dxa"/>
            </w:tcMar>
            <w:vAlign w:val="center"/>
          </w:tcPr>
          <w:p>
            <w:pPr>
              <w:jc w:val="center"/>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山东安特牧业科技有限公司兽药扩建项目</w:t>
            </w:r>
          </w:p>
        </w:tc>
        <w:tc>
          <w:tcPr>
            <w:tcW w:w="2694" w:type="dxa"/>
            <w:gridSpan w:val="2"/>
            <w:tcMar>
              <w:left w:w="57" w:type="dxa"/>
              <w:right w:w="57" w:type="dxa"/>
            </w:tcMar>
            <w:vAlign w:val="center"/>
          </w:tcPr>
          <w:p>
            <w:pPr>
              <w:jc w:val="center"/>
              <w:rPr>
                <w:rFonts w:ascii="Times New Roman" w:hAnsi="Times New Roman" w:cs="Times New Roman"/>
                <w:b/>
                <w:sz w:val="18"/>
                <w:szCs w:val="18"/>
              </w:rPr>
            </w:pPr>
            <w:r>
              <w:rPr>
                <w:rFonts w:ascii="Times New Roman" w:hAnsi="Times New Roman" w:cs="Times New Roman"/>
                <w:b/>
                <w:sz w:val="18"/>
                <w:szCs w:val="18"/>
              </w:rPr>
              <w:t>项目代码</w:t>
            </w:r>
          </w:p>
        </w:tc>
        <w:tc>
          <w:tcPr>
            <w:tcW w:w="2976" w:type="dxa"/>
            <w:tcMar>
              <w:left w:w="57" w:type="dxa"/>
              <w:right w:w="57" w:type="dxa"/>
            </w:tcMar>
            <w:vAlign w:val="center"/>
          </w:tcPr>
          <w:p>
            <w:pPr>
              <w:jc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color w:val="000000"/>
                <w:sz w:val="18"/>
                <w:szCs w:val="18"/>
              </w:rPr>
              <w:t>2019-370126-27-03-055491</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建设地点</w:t>
            </w:r>
          </w:p>
        </w:tc>
        <w:tc>
          <w:tcPr>
            <w:tcW w:w="3969" w:type="dxa"/>
            <w:gridSpan w:val="4"/>
            <w:tcMar>
              <w:left w:w="57" w:type="dxa"/>
              <w:right w:w="57" w:type="dxa"/>
            </w:tcMar>
            <w:vAlign w:val="center"/>
          </w:tcPr>
          <w:p>
            <w:pPr>
              <w:jc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山东省济南市商河县经济开发区凯源路29号山东安特牧业科技有限公司现有兽药车间内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378" w:type="dxa"/>
            <w:gridSpan w:val="3"/>
            <w:tcMar>
              <w:left w:w="57" w:type="dxa"/>
              <w:right w:w="57" w:type="dxa"/>
            </w:tcMar>
            <w:vAlign w:val="center"/>
          </w:tcPr>
          <w:p>
            <w:pPr>
              <w:jc w:val="center"/>
              <w:rPr>
                <w:rFonts w:ascii="Times New Roman" w:hAnsi="Times New Roman" w:cs="Times New Roman"/>
                <w:sz w:val="18"/>
                <w:szCs w:val="18"/>
              </w:rPr>
            </w:pPr>
            <w:r>
              <w:rPr>
                <w:rFonts w:ascii="Times New Roman" w:hAnsi="Times New Roman" w:cs="Times New Roman"/>
                <w:b/>
                <w:sz w:val="18"/>
                <w:szCs w:val="18"/>
              </w:rPr>
              <w:t>行业类别（分类管理名录）</w:t>
            </w:r>
          </w:p>
        </w:tc>
        <w:tc>
          <w:tcPr>
            <w:tcW w:w="6729" w:type="dxa"/>
            <w:gridSpan w:val="5"/>
            <w:tcMar>
              <w:left w:w="57" w:type="dxa"/>
              <w:right w:w="57" w:type="dxa"/>
            </w:tcMar>
            <w:vAlign w:val="center"/>
          </w:tcPr>
          <w:p>
            <w:pPr>
              <w:spacing w:line="400" w:lineRule="exact"/>
              <w:jc w:val="center"/>
              <w:rPr>
                <w:rFonts w:ascii="Times New Roman" w:hAnsi="Times New Roman" w:cs="Times New Roman"/>
                <w:sz w:val="18"/>
                <w:szCs w:val="18"/>
              </w:rPr>
            </w:pPr>
            <w:r>
              <w:rPr>
                <w:rFonts w:hint="eastAsia" w:ascii="Times New Roman" w:hAnsi="Times New Roman" w:cs="Times New Roman"/>
                <w:sz w:val="18"/>
                <w:szCs w:val="18"/>
              </w:rPr>
              <w:t>十六、医药制造业中41、单纯药品分装、复配</w:t>
            </w:r>
          </w:p>
        </w:tc>
        <w:tc>
          <w:tcPr>
            <w:tcW w:w="2694" w:type="dxa"/>
            <w:gridSpan w:val="2"/>
            <w:tcMar>
              <w:left w:w="57" w:type="dxa"/>
              <w:right w:w="57" w:type="dxa"/>
            </w:tcMar>
            <w:vAlign w:val="center"/>
          </w:tcPr>
          <w:p>
            <w:pPr>
              <w:jc w:val="center"/>
              <w:rPr>
                <w:rFonts w:ascii="Times New Roman" w:hAnsi="Times New Roman" w:cs="Times New Roman"/>
                <w:b/>
                <w:sz w:val="18"/>
                <w:szCs w:val="18"/>
              </w:rPr>
            </w:pPr>
            <w:r>
              <w:rPr>
                <w:rFonts w:ascii="Times New Roman" w:hAnsi="Times New Roman" w:cs="Times New Roman"/>
                <w:b/>
                <w:sz w:val="18"/>
                <w:szCs w:val="18"/>
              </w:rPr>
              <w:t>建设性质</w:t>
            </w:r>
          </w:p>
        </w:tc>
        <w:tc>
          <w:tcPr>
            <w:tcW w:w="4819" w:type="dxa"/>
            <w:gridSpan w:val="2"/>
            <w:tcMar>
              <w:left w:w="57" w:type="dxa"/>
              <w:right w:w="57" w:type="dxa"/>
            </w:tcMar>
            <w:vAlign w:val="center"/>
          </w:tcPr>
          <w:p>
            <w:pPr>
              <w:jc w:val="center"/>
              <w:rPr>
                <w:rFonts w:ascii="Times New Roman" w:hAnsi="Times New Roman" w:cs="Times New Roman"/>
                <w:sz w:val="18"/>
                <w:szCs w:val="18"/>
              </w:rPr>
            </w:pPr>
            <w:r>
              <w:rPr>
                <w:rFonts w:ascii="Times New Roman" w:hAnsi="Times New Roman" w:cs="Times New Roman"/>
                <w:b/>
                <w:sz w:val="18"/>
                <w:szCs w:val="18"/>
              </w:rPr>
              <w:sym w:font="Wingdings 2" w:char="F052"/>
            </w:r>
            <w:r>
              <w:rPr>
                <w:rFonts w:ascii="Times New Roman" w:hAnsi="Times New Roman" w:cs="Times New Roman"/>
                <w:b/>
                <w:sz w:val="18"/>
                <w:szCs w:val="18"/>
              </w:rPr>
              <w:t>新建</w:t>
            </w:r>
            <w:r>
              <w:rPr>
                <w:rFonts w:hint="eastAsia" w:ascii="Times New Roman" w:hAnsi="Times New Roman" w:cs="Times New Roman"/>
                <w:sz w:val="18"/>
                <w:szCs w:val="18"/>
              </w:rPr>
              <w:t xml:space="preserve"> ☑</w:t>
            </w:r>
            <w:r>
              <w:rPr>
                <w:rFonts w:ascii="Times New Roman" w:hAnsi="Times New Roman" w:cs="Times New Roman"/>
                <w:b/>
                <w:sz w:val="18"/>
                <w:szCs w:val="18"/>
              </w:rPr>
              <w:t xml:space="preserve">改扩建  </w:t>
            </w:r>
            <w:r>
              <w:rPr>
                <w:rFonts w:ascii="Times New Roman" w:hAnsi="Times New Roman" w:cs="Times New Roman"/>
                <w:b/>
                <w:sz w:val="18"/>
                <w:szCs w:val="18"/>
              </w:rPr>
              <w:sym w:font="Wingdings 2" w:char="F0A3"/>
            </w:r>
            <w:r>
              <w:rPr>
                <w:rFonts w:ascii="Times New Roman" w:hAnsi="Times New Roman" w:cs="Times New Roman"/>
                <w:b/>
                <w:sz w:val="18"/>
                <w:szCs w:val="18"/>
              </w:rPr>
              <w:t>技术改造</w:t>
            </w:r>
          </w:p>
        </w:tc>
        <w:tc>
          <w:tcPr>
            <w:tcW w:w="1985" w:type="dxa"/>
            <w:gridSpan w:val="2"/>
            <w:tcMar>
              <w:left w:w="57" w:type="dxa"/>
              <w:right w:w="57" w:type="dxa"/>
            </w:tcMar>
            <w:vAlign w:val="center"/>
          </w:tcPr>
          <w:p>
            <w:pPr>
              <w:jc w:val="center"/>
              <w:rPr>
                <w:rFonts w:ascii="Times New Roman" w:hAnsi="Times New Roman" w:cs="Times New Roman"/>
                <w:b/>
                <w:sz w:val="18"/>
                <w:szCs w:val="18"/>
              </w:rPr>
            </w:pPr>
            <w:r>
              <w:rPr>
                <w:rFonts w:ascii="Times New Roman" w:hAnsi="Times New Roman" w:cs="Times New Roman"/>
                <w:b/>
                <w:sz w:val="18"/>
                <w:szCs w:val="18"/>
              </w:rPr>
              <w:t>项目厂区中心经度/纬度</w:t>
            </w:r>
          </w:p>
        </w:tc>
        <w:tc>
          <w:tcPr>
            <w:tcW w:w="1984" w:type="dxa"/>
            <w:gridSpan w:val="2"/>
            <w:tcMar>
              <w:left w:w="57" w:type="dxa"/>
              <w:right w:w="57" w:type="dxa"/>
            </w:tcMar>
            <w:vAlign w:val="center"/>
          </w:tcPr>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rPr>
              <w:t xml:space="preserve"> </w:t>
            </w:r>
            <w:r>
              <w:rPr>
                <w:rFonts w:ascii="Times New Roman" w:hAnsi="Times New Roman" w:cs="Times New Roman"/>
                <w:sz w:val="18"/>
                <w:szCs w:val="18"/>
              </w:rPr>
              <w:t>经</w:t>
            </w:r>
            <w:r>
              <w:rPr>
                <w:rFonts w:hint="eastAsia" w:ascii="Times New Roman" w:hAnsi="Times New Roman" w:cs="Times New Roman"/>
                <w:sz w:val="18"/>
                <w:szCs w:val="18"/>
              </w:rPr>
              <w:t>度</w:t>
            </w:r>
            <w:r>
              <w:rPr>
                <w:rFonts w:hint="eastAsia" w:ascii="Times New Roman" w:hAnsi="Times New Roman" w:cs="Times New Roman"/>
                <w:sz w:val="18"/>
                <w:szCs w:val="18"/>
                <w:lang w:val="en-US" w:eastAsia="zh-CN"/>
              </w:rPr>
              <w:t>117.083</w:t>
            </w:r>
          </w:p>
          <w:p>
            <w:pPr>
              <w:jc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sz w:val="18"/>
                <w:szCs w:val="18"/>
                <w:lang w:val="en-US" w:eastAsia="zh-CN"/>
              </w:rPr>
              <w:t xml:space="preserve"> </w:t>
            </w:r>
            <w:r>
              <w:rPr>
                <w:rFonts w:ascii="Times New Roman" w:hAnsi="Times New Roman" w:cs="Times New Roman"/>
                <w:sz w:val="18"/>
                <w:szCs w:val="18"/>
              </w:rPr>
              <w:t>纬</w:t>
            </w:r>
            <w:r>
              <w:rPr>
                <w:rFonts w:hint="eastAsia" w:ascii="Times New Roman" w:hAnsi="Times New Roman" w:cs="Times New Roman"/>
                <w:sz w:val="18"/>
                <w:szCs w:val="18"/>
              </w:rPr>
              <w:t>度</w:t>
            </w:r>
            <w:r>
              <w:rPr>
                <w:rFonts w:hint="eastAsia" w:ascii="Times New Roman" w:hAnsi="Times New Roman" w:cs="Times New Roman"/>
                <w:sz w:val="18"/>
                <w:szCs w:val="18"/>
                <w:lang w:val="en-US" w:eastAsia="zh-CN"/>
              </w:rPr>
              <w:t>37.093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378" w:type="dxa"/>
            <w:gridSpan w:val="3"/>
            <w:tcMar>
              <w:left w:w="57" w:type="dxa"/>
              <w:right w:w="57" w:type="dxa"/>
            </w:tcMar>
            <w:vAlign w:val="center"/>
          </w:tcPr>
          <w:p>
            <w:pPr>
              <w:jc w:val="center"/>
              <w:rPr>
                <w:rFonts w:ascii="Times New Roman" w:hAnsi="Times New Roman" w:cs="Times New Roman"/>
                <w:sz w:val="18"/>
                <w:szCs w:val="18"/>
              </w:rPr>
            </w:pPr>
            <w:r>
              <w:rPr>
                <w:rFonts w:ascii="Times New Roman" w:hAnsi="Times New Roman" w:cs="Times New Roman"/>
                <w:b/>
                <w:sz w:val="18"/>
                <w:szCs w:val="18"/>
              </w:rPr>
              <w:t>设计生产能力</w:t>
            </w:r>
          </w:p>
        </w:tc>
        <w:tc>
          <w:tcPr>
            <w:tcW w:w="6729" w:type="dxa"/>
            <w:gridSpan w:val="5"/>
            <w:tcMar>
              <w:left w:w="57" w:type="dxa"/>
              <w:right w:w="57" w:type="dxa"/>
            </w:tcMar>
            <w:vAlign w:val="center"/>
          </w:tcPr>
          <w:p>
            <w:pPr>
              <w:jc w:val="center"/>
              <w:rPr>
                <w:rFonts w:hint="eastAsia"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年增产片剂10吨、口服液200吨、液体消毒剂300吨</w:t>
            </w:r>
          </w:p>
        </w:tc>
        <w:tc>
          <w:tcPr>
            <w:tcW w:w="2694" w:type="dxa"/>
            <w:gridSpan w:val="2"/>
            <w:tcMar>
              <w:left w:w="57" w:type="dxa"/>
              <w:right w:w="57" w:type="dxa"/>
            </w:tcMar>
            <w:vAlign w:val="center"/>
          </w:tcPr>
          <w:p>
            <w:pPr>
              <w:jc w:val="center"/>
              <w:rPr>
                <w:rFonts w:ascii="Times New Roman" w:hAnsi="Times New Roman" w:cs="Times New Roman"/>
                <w:sz w:val="18"/>
                <w:szCs w:val="18"/>
              </w:rPr>
            </w:pPr>
            <w:r>
              <w:rPr>
                <w:rFonts w:ascii="Times New Roman" w:hAnsi="Times New Roman" w:cs="Times New Roman"/>
                <w:b/>
                <w:sz w:val="18"/>
                <w:szCs w:val="18"/>
              </w:rPr>
              <w:t>实际生产能力</w:t>
            </w:r>
          </w:p>
        </w:tc>
        <w:tc>
          <w:tcPr>
            <w:tcW w:w="2976" w:type="dxa"/>
            <w:tcMar>
              <w:left w:w="57" w:type="dxa"/>
              <w:right w:w="57" w:type="dxa"/>
            </w:tcMar>
            <w:vAlign w:val="center"/>
          </w:tcPr>
          <w:p>
            <w:pPr>
              <w:jc w:val="center"/>
              <w:rPr>
                <w:rFonts w:ascii="Times New Roman" w:hAnsi="Times New Roman" w:cs="Times New Roman"/>
                <w:b/>
                <w:sz w:val="18"/>
                <w:szCs w:val="18"/>
              </w:rPr>
            </w:pPr>
            <w:r>
              <w:rPr>
                <w:rFonts w:hint="eastAsia" w:ascii="Times New Roman" w:hAnsi="Times New Roman" w:cs="Times New Roman"/>
                <w:b w:val="0"/>
                <w:bCs/>
                <w:sz w:val="18"/>
                <w:szCs w:val="18"/>
              </w:rPr>
              <w:t>年增产片剂</w:t>
            </w:r>
            <w:r>
              <w:rPr>
                <w:rFonts w:hint="eastAsia" w:ascii="Times New Roman" w:hAnsi="Times New Roman" w:cs="Times New Roman"/>
                <w:b w:val="0"/>
                <w:bCs/>
                <w:sz w:val="18"/>
                <w:szCs w:val="18"/>
                <w:lang w:val="en-US" w:eastAsia="zh-CN"/>
              </w:rPr>
              <w:t>5</w:t>
            </w:r>
            <w:r>
              <w:rPr>
                <w:rFonts w:hint="eastAsia" w:ascii="Times New Roman" w:hAnsi="Times New Roman" w:cs="Times New Roman"/>
                <w:b w:val="0"/>
                <w:bCs/>
                <w:sz w:val="18"/>
                <w:szCs w:val="18"/>
              </w:rPr>
              <w:t>吨、口服液</w:t>
            </w:r>
            <w:r>
              <w:rPr>
                <w:rFonts w:hint="eastAsia" w:ascii="Times New Roman" w:hAnsi="Times New Roman" w:cs="Times New Roman"/>
                <w:b w:val="0"/>
                <w:bCs/>
                <w:sz w:val="18"/>
                <w:szCs w:val="18"/>
                <w:lang w:val="en-US" w:eastAsia="zh-CN"/>
              </w:rPr>
              <w:t>100</w:t>
            </w:r>
            <w:r>
              <w:rPr>
                <w:rFonts w:hint="eastAsia" w:ascii="Times New Roman" w:hAnsi="Times New Roman" w:cs="Times New Roman"/>
                <w:b w:val="0"/>
                <w:bCs/>
                <w:sz w:val="18"/>
                <w:szCs w:val="18"/>
              </w:rPr>
              <w:t>吨</w:t>
            </w:r>
          </w:p>
        </w:tc>
        <w:tc>
          <w:tcPr>
            <w:tcW w:w="1843" w:type="dxa"/>
            <w:tcMar>
              <w:left w:w="57" w:type="dxa"/>
              <w:right w:w="57" w:type="dxa"/>
            </w:tcMar>
            <w:vAlign w:val="center"/>
          </w:tcPr>
          <w:p>
            <w:pPr>
              <w:jc w:val="center"/>
              <w:rPr>
                <w:rFonts w:ascii="Times New Roman" w:hAnsi="Times New Roman" w:cs="Times New Roman"/>
                <w:sz w:val="18"/>
                <w:szCs w:val="18"/>
              </w:rPr>
            </w:pPr>
            <w:r>
              <w:rPr>
                <w:rFonts w:ascii="Times New Roman" w:hAnsi="Times New Roman" w:cs="Times New Roman"/>
                <w:b/>
                <w:sz w:val="18"/>
                <w:szCs w:val="18"/>
              </w:rPr>
              <w:t>环评单位</w:t>
            </w:r>
          </w:p>
        </w:tc>
        <w:tc>
          <w:tcPr>
            <w:tcW w:w="3969" w:type="dxa"/>
            <w:gridSpan w:val="4"/>
            <w:tcMar>
              <w:left w:w="57" w:type="dxa"/>
              <w:right w:w="57" w:type="dxa"/>
            </w:tcMar>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江苏苏辰勘察设计研究院有限公司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378"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环评文件审批机关</w:t>
            </w:r>
          </w:p>
        </w:tc>
        <w:tc>
          <w:tcPr>
            <w:tcW w:w="6729" w:type="dxa"/>
            <w:gridSpan w:val="5"/>
            <w:tcMar>
              <w:left w:w="57" w:type="dxa"/>
              <w:right w:w="57" w:type="dxa"/>
            </w:tcMar>
            <w:vAlign w:val="center"/>
          </w:tcPr>
          <w:p>
            <w:pPr>
              <w:jc w:val="center"/>
              <w:rPr>
                <w:rFonts w:ascii="Times New Roman" w:hAnsi="Times New Roman" w:cs="Times New Roman"/>
                <w:color w:val="000000"/>
                <w:sz w:val="18"/>
                <w:szCs w:val="18"/>
              </w:rPr>
            </w:pPr>
            <w:r>
              <w:rPr>
                <w:rFonts w:hint="eastAsia" w:ascii="Times New Roman" w:hAnsi="Times New Roman" w:cs="Times New Roman" w:eastAsiaTheme="minorEastAsia"/>
                <w:sz w:val="18"/>
                <w:szCs w:val="18"/>
                <w:lang w:val="en-US" w:eastAsia="zh-CN"/>
              </w:rPr>
              <w:t>济南市生态环境局商河分局</w:t>
            </w:r>
          </w:p>
        </w:tc>
        <w:tc>
          <w:tcPr>
            <w:tcW w:w="2694"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审批文号</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hint="eastAsia" w:ascii="Times New Roman" w:hAnsi="Times New Roman" w:cs="Times New Roman"/>
                <w:b w:val="0"/>
                <w:bCs/>
                <w:sz w:val="18"/>
                <w:szCs w:val="18"/>
              </w:rPr>
              <w:t>商环报告表[201</w:t>
            </w:r>
            <w:r>
              <w:rPr>
                <w:rFonts w:hint="eastAsia" w:ascii="Times New Roman" w:hAnsi="Times New Roman" w:cs="Times New Roman"/>
                <w:b w:val="0"/>
                <w:bCs/>
                <w:sz w:val="18"/>
                <w:szCs w:val="18"/>
                <w:lang w:val="en-US" w:eastAsia="zh-CN"/>
              </w:rPr>
              <w:t>9</w:t>
            </w:r>
            <w:r>
              <w:rPr>
                <w:rFonts w:hint="eastAsia" w:ascii="Times New Roman" w:hAnsi="Times New Roman" w:cs="Times New Roman"/>
                <w:b w:val="0"/>
                <w:bCs/>
                <w:sz w:val="18"/>
                <w:szCs w:val="18"/>
              </w:rPr>
              <w:t>]</w:t>
            </w:r>
            <w:r>
              <w:rPr>
                <w:rFonts w:hint="eastAsia" w:ascii="Times New Roman" w:hAnsi="Times New Roman" w:cs="Times New Roman"/>
                <w:b w:val="0"/>
                <w:bCs/>
                <w:sz w:val="18"/>
                <w:szCs w:val="18"/>
                <w:lang w:val="en-US" w:eastAsia="zh-CN"/>
              </w:rPr>
              <w:t>111</w:t>
            </w:r>
            <w:r>
              <w:rPr>
                <w:rFonts w:hint="eastAsia" w:ascii="Times New Roman" w:hAnsi="Times New Roman" w:cs="Times New Roman"/>
                <w:b w:val="0"/>
                <w:bCs/>
                <w:sz w:val="18"/>
                <w:szCs w:val="18"/>
              </w:rPr>
              <w:t>号</w:t>
            </w:r>
          </w:p>
        </w:tc>
        <w:tc>
          <w:tcPr>
            <w:tcW w:w="1843"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环评文件类型</w:t>
            </w:r>
          </w:p>
        </w:tc>
        <w:tc>
          <w:tcPr>
            <w:tcW w:w="3969" w:type="dxa"/>
            <w:gridSpan w:val="4"/>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378" w:type="dxa"/>
            <w:gridSpan w:val="3"/>
            <w:tcMar>
              <w:left w:w="57" w:type="dxa"/>
              <w:right w:w="57" w:type="dxa"/>
            </w:tcMar>
            <w:vAlign w:val="center"/>
          </w:tcPr>
          <w:p>
            <w:pPr>
              <w:jc w:val="center"/>
              <w:rPr>
                <w:rFonts w:ascii="Times New Roman" w:hAnsi="Times New Roman" w:cs="Times New Roman"/>
                <w:sz w:val="18"/>
                <w:szCs w:val="18"/>
              </w:rPr>
            </w:pPr>
            <w:r>
              <w:rPr>
                <w:rFonts w:ascii="Times New Roman" w:hAnsi="Times New Roman" w:cs="Times New Roman"/>
                <w:b/>
                <w:sz w:val="18"/>
                <w:szCs w:val="18"/>
              </w:rPr>
              <w:t>开工日期</w:t>
            </w:r>
          </w:p>
        </w:tc>
        <w:tc>
          <w:tcPr>
            <w:tcW w:w="6729" w:type="dxa"/>
            <w:gridSpan w:val="5"/>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2019.11</w:t>
            </w:r>
          </w:p>
        </w:tc>
        <w:tc>
          <w:tcPr>
            <w:tcW w:w="2694" w:type="dxa"/>
            <w:gridSpan w:val="2"/>
            <w:tcMar>
              <w:left w:w="57" w:type="dxa"/>
              <w:right w:w="57" w:type="dxa"/>
            </w:tcMar>
            <w:vAlign w:val="center"/>
          </w:tcPr>
          <w:p>
            <w:pPr>
              <w:jc w:val="center"/>
              <w:rPr>
                <w:rFonts w:ascii="Times New Roman" w:hAnsi="Times New Roman" w:cs="Times New Roman"/>
                <w:b/>
                <w:sz w:val="18"/>
                <w:szCs w:val="18"/>
              </w:rPr>
            </w:pPr>
            <w:r>
              <w:rPr>
                <w:rFonts w:ascii="Times New Roman" w:hAnsi="Times New Roman" w:cs="Times New Roman"/>
                <w:b/>
                <w:sz w:val="18"/>
                <w:szCs w:val="18"/>
              </w:rPr>
              <w:t>竣工日期</w:t>
            </w:r>
          </w:p>
        </w:tc>
        <w:tc>
          <w:tcPr>
            <w:tcW w:w="2976" w:type="dxa"/>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2019.11</w:t>
            </w:r>
          </w:p>
        </w:tc>
        <w:tc>
          <w:tcPr>
            <w:tcW w:w="1843"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排污许可证申领时间</w:t>
            </w:r>
          </w:p>
        </w:tc>
        <w:tc>
          <w:tcPr>
            <w:tcW w:w="3969" w:type="dxa"/>
            <w:gridSpan w:val="4"/>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378"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环保设施设计单位</w:t>
            </w:r>
          </w:p>
        </w:tc>
        <w:tc>
          <w:tcPr>
            <w:tcW w:w="6729" w:type="dxa"/>
            <w:gridSpan w:val="5"/>
            <w:tcMar>
              <w:left w:w="57" w:type="dxa"/>
              <w:right w:w="57" w:type="dxa"/>
            </w:tcMar>
            <w:vAlign w:val="center"/>
          </w:tcPr>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w:t>
            </w:r>
          </w:p>
        </w:tc>
        <w:tc>
          <w:tcPr>
            <w:tcW w:w="2694"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环保设施施工单位</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hint="eastAsia" w:ascii="Times New Roman" w:hAnsi="Times New Roman" w:cs="Times New Roman"/>
                <w:kern w:val="0"/>
                <w:sz w:val="18"/>
                <w:szCs w:val="18"/>
                <w:lang w:val="en-US" w:eastAsia="zh-CN"/>
              </w:rPr>
              <w:t>/</w:t>
            </w:r>
          </w:p>
        </w:tc>
        <w:tc>
          <w:tcPr>
            <w:tcW w:w="1843"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本工程排污许可证编号</w:t>
            </w:r>
          </w:p>
        </w:tc>
        <w:tc>
          <w:tcPr>
            <w:tcW w:w="3969" w:type="dxa"/>
            <w:gridSpan w:val="4"/>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378"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验收单位</w:t>
            </w:r>
          </w:p>
        </w:tc>
        <w:tc>
          <w:tcPr>
            <w:tcW w:w="6729" w:type="dxa"/>
            <w:gridSpan w:val="5"/>
            <w:tcMar>
              <w:left w:w="57" w:type="dxa"/>
              <w:right w:w="57" w:type="dxa"/>
            </w:tcMar>
            <w:vAlign w:val="center"/>
          </w:tcPr>
          <w:p>
            <w:pPr>
              <w:jc w:val="center"/>
              <w:rPr>
                <w:rFonts w:hint="eastAsia" w:ascii="Times New Roman" w:hAnsi="Times New Roman" w:cs="Times New Roman" w:eastAsiaTheme="minorEastAsia"/>
                <w:b/>
                <w:color w:val="000000"/>
                <w:sz w:val="18"/>
                <w:szCs w:val="18"/>
                <w:lang w:eastAsia="zh-CN"/>
              </w:rPr>
            </w:pPr>
            <w:r>
              <w:rPr>
                <w:rFonts w:hint="eastAsia" w:ascii="Times New Roman" w:hAnsi="Times New Roman" w:cs="Times New Roman"/>
                <w:sz w:val="18"/>
                <w:szCs w:val="18"/>
                <w:lang w:val="en-US" w:eastAsia="zh-CN"/>
              </w:rPr>
              <w:t>山东安特牧业科技有限公司</w:t>
            </w:r>
          </w:p>
        </w:tc>
        <w:tc>
          <w:tcPr>
            <w:tcW w:w="2694"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环保设施监测单位</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hint="eastAsia" w:ascii="Times New Roman" w:hAnsi="Times New Roman" w:cs="Times New Roman"/>
                <w:sz w:val="18"/>
                <w:szCs w:val="18"/>
                <w:lang w:eastAsia="zh-CN"/>
              </w:rPr>
              <w:t>庆云县环庆环境检测有限公司</w:t>
            </w:r>
          </w:p>
        </w:tc>
        <w:tc>
          <w:tcPr>
            <w:tcW w:w="1843"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验收监测时工况</w:t>
            </w:r>
          </w:p>
        </w:tc>
        <w:tc>
          <w:tcPr>
            <w:tcW w:w="3969" w:type="dxa"/>
            <w:gridSpan w:val="4"/>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r>
              <w:rPr>
                <w:rFonts w:ascii="Times New Roman" w:hAnsi="Times New Roman" w:cs="Times New Roman"/>
                <w:color w:val="000000" w:themeColor="text1"/>
                <w:sz w:val="18"/>
                <w:szCs w:val="18"/>
                <w14:textFill>
                  <w14:solidFill>
                    <w14:schemeClr w14:val="tx1"/>
                  </w14:solidFill>
                </w14:textFill>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378"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投资总概算（万元）</w:t>
            </w:r>
          </w:p>
        </w:tc>
        <w:tc>
          <w:tcPr>
            <w:tcW w:w="6729" w:type="dxa"/>
            <w:gridSpan w:val="5"/>
            <w:tcMar>
              <w:left w:w="57" w:type="dxa"/>
              <w:right w:w="57" w:type="dxa"/>
            </w:tcMar>
            <w:vAlign w:val="center"/>
          </w:tcPr>
          <w:p>
            <w:pPr>
              <w:jc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color w:val="000000"/>
                <w:sz w:val="18"/>
                <w:szCs w:val="18"/>
                <w:lang w:val="en-US" w:eastAsia="zh-CN"/>
              </w:rPr>
              <w:t>30</w:t>
            </w:r>
          </w:p>
        </w:tc>
        <w:tc>
          <w:tcPr>
            <w:tcW w:w="2694" w:type="dxa"/>
            <w:gridSpan w:val="2"/>
            <w:tcMar>
              <w:left w:w="57" w:type="dxa"/>
              <w:right w:w="57" w:type="dxa"/>
            </w:tcMar>
            <w:vAlign w:val="center"/>
          </w:tcPr>
          <w:p>
            <w:pPr>
              <w:tabs>
                <w:tab w:val="left" w:pos="690"/>
              </w:tabs>
              <w:jc w:val="center"/>
              <w:rPr>
                <w:rFonts w:ascii="Times New Roman" w:hAnsi="Times New Roman" w:cs="Times New Roman"/>
                <w:color w:val="000000"/>
                <w:sz w:val="18"/>
                <w:szCs w:val="18"/>
              </w:rPr>
            </w:pPr>
            <w:r>
              <w:rPr>
                <w:rFonts w:ascii="Times New Roman" w:hAnsi="Times New Roman" w:cs="Times New Roman"/>
                <w:b/>
                <w:color w:val="000000"/>
                <w:sz w:val="18"/>
                <w:szCs w:val="18"/>
              </w:rPr>
              <w:t>环保投资总概算（万元）</w:t>
            </w:r>
          </w:p>
        </w:tc>
        <w:tc>
          <w:tcPr>
            <w:tcW w:w="2976" w:type="dxa"/>
            <w:tcMar>
              <w:left w:w="57" w:type="dxa"/>
              <w:right w:w="57" w:type="dxa"/>
            </w:tcMar>
            <w:vAlign w:val="center"/>
          </w:tcPr>
          <w:p>
            <w:pPr>
              <w:jc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color w:val="000000"/>
                <w:sz w:val="18"/>
                <w:szCs w:val="18"/>
                <w:lang w:val="en-US" w:eastAsia="zh-CN"/>
              </w:rPr>
              <w:t>5</w:t>
            </w:r>
          </w:p>
        </w:tc>
        <w:tc>
          <w:tcPr>
            <w:tcW w:w="1843" w:type="dxa"/>
            <w:tcMar>
              <w:left w:w="57" w:type="dxa"/>
              <w:right w:w="57" w:type="dxa"/>
            </w:tcMar>
            <w:vAlign w:val="center"/>
          </w:tcPr>
          <w:p>
            <w:pPr>
              <w:tabs>
                <w:tab w:val="left" w:pos="690"/>
              </w:tabs>
              <w:jc w:val="center"/>
              <w:rPr>
                <w:rFonts w:ascii="Times New Roman" w:hAnsi="Times New Roman" w:cs="Times New Roman"/>
                <w:color w:val="000000"/>
                <w:sz w:val="18"/>
                <w:szCs w:val="18"/>
              </w:rPr>
            </w:pPr>
            <w:r>
              <w:rPr>
                <w:rFonts w:ascii="Times New Roman" w:hAnsi="Times New Roman" w:cs="Times New Roman"/>
                <w:b/>
                <w:color w:val="000000"/>
                <w:sz w:val="18"/>
                <w:szCs w:val="18"/>
              </w:rPr>
              <w:t>所占比例（%）</w:t>
            </w:r>
          </w:p>
        </w:tc>
        <w:tc>
          <w:tcPr>
            <w:tcW w:w="3969" w:type="dxa"/>
            <w:gridSpan w:val="4"/>
            <w:tcMar>
              <w:left w:w="57" w:type="dxa"/>
              <w:right w:w="57" w:type="dxa"/>
            </w:tcMar>
            <w:vAlign w:val="center"/>
          </w:tcPr>
          <w:p>
            <w:pPr>
              <w:tabs>
                <w:tab w:val="left" w:pos="690"/>
              </w:tabs>
              <w:jc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color w:val="000000"/>
                <w:sz w:val="18"/>
                <w:szCs w:val="18"/>
                <w:lang w:val="en-US" w:eastAsia="zh-CN"/>
              </w:rPr>
              <w:t>16.7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378"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实际总投资</w:t>
            </w:r>
          </w:p>
        </w:tc>
        <w:tc>
          <w:tcPr>
            <w:tcW w:w="6729" w:type="dxa"/>
            <w:gridSpan w:val="5"/>
            <w:tcMar>
              <w:left w:w="57" w:type="dxa"/>
              <w:right w:w="57" w:type="dxa"/>
            </w:tcMar>
            <w:vAlign w:val="center"/>
          </w:tcPr>
          <w:p>
            <w:pPr>
              <w:jc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color w:val="000000"/>
                <w:sz w:val="18"/>
                <w:szCs w:val="18"/>
                <w:lang w:val="en-US" w:eastAsia="zh-CN"/>
              </w:rPr>
              <w:t>15</w:t>
            </w:r>
          </w:p>
        </w:tc>
        <w:tc>
          <w:tcPr>
            <w:tcW w:w="2694" w:type="dxa"/>
            <w:gridSpan w:val="2"/>
            <w:tcMar>
              <w:left w:w="57" w:type="dxa"/>
              <w:right w:w="57" w:type="dxa"/>
            </w:tcMar>
            <w:vAlign w:val="center"/>
          </w:tcPr>
          <w:p>
            <w:pPr>
              <w:ind w:right="300"/>
              <w:jc w:val="center"/>
              <w:rPr>
                <w:rFonts w:ascii="Times New Roman" w:hAnsi="Times New Roman" w:cs="Times New Roman"/>
                <w:b/>
                <w:color w:val="000000"/>
                <w:sz w:val="18"/>
                <w:szCs w:val="18"/>
              </w:rPr>
            </w:pPr>
            <w:r>
              <w:rPr>
                <w:rFonts w:ascii="Times New Roman" w:hAnsi="Times New Roman" w:cs="Times New Roman"/>
                <w:b/>
                <w:color w:val="000000"/>
                <w:sz w:val="18"/>
                <w:szCs w:val="18"/>
              </w:rPr>
              <w:t>实际环保投资（万元）</w:t>
            </w:r>
          </w:p>
        </w:tc>
        <w:tc>
          <w:tcPr>
            <w:tcW w:w="2976" w:type="dxa"/>
            <w:tcMar>
              <w:left w:w="57" w:type="dxa"/>
              <w:right w:w="57" w:type="dxa"/>
            </w:tcMar>
            <w:vAlign w:val="center"/>
          </w:tcPr>
          <w:p>
            <w:pPr>
              <w:jc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color w:val="000000"/>
                <w:sz w:val="18"/>
                <w:szCs w:val="18"/>
                <w:lang w:val="en-US" w:eastAsia="zh-CN"/>
              </w:rPr>
              <w:t>3</w:t>
            </w:r>
          </w:p>
        </w:tc>
        <w:tc>
          <w:tcPr>
            <w:tcW w:w="1843"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所占比例（%）</w:t>
            </w:r>
          </w:p>
        </w:tc>
        <w:tc>
          <w:tcPr>
            <w:tcW w:w="3969" w:type="dxa"/>
            <w:gridSpan w:val="4"/>
            <w:tcMar>
              <w:left w:w="57" w:type="dxa"/>
              <w:right w:w="57" w:type="dxa"/>
            </w:tcMar>
            <w:vAlign w:val="center"/>
          </w:tcPr>
          <w:p>
            <w:pPr>
              <w:jc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color w:val="000000"/>
                <w:sz w:val="18"/>
                <w:szCs w:val="18"/>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378"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废水治理（万元）</w:t>
            </w:r>
          </w:p>
        </w:tc>
        <w:tc>
          <w:tcPr>
            <w:tcW w:w="1059" w:type="dxa"/>
            <w:tcMar>
              <w:left w:w="57" w:type="dxa"/>
              <w:right w:w="57" w:type="dxa"/>
            </w:tcMar>
            <w:vAlign w:val="center"/>
          </w:tcPr>
          <w:p>
            <w:pPr>
              <w:jc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color w:val="000000"/>
                <w:sz w:val="18"/>
                <w:szCs w:val="18"/>
                <w:lang w:val="en-US" w:eastAsia="zh-CN"/>
              </w:rPr>
              <w:t>/</w:t>
            </w:r>
          </w:p>
        </w:tc>
        <w:tc>
          <w:tcPr>
            <w:tcW w:w="1560"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废气治理（万元）</w:t>
            </w:r>
          </w:p>
        </w:tc>
        <w:tc>
          <w:tcPr>
            <w:tcW w:w="1417" w:type="dxa"/>
            <w:tcMar>
              <w:left w:w="57" w:type="dxa"/>
              <w:right w:w="57" w:type="dxa"/>
            </w:tcMar>
            <w:vAlign w:val="center"/>
          </w:tcPr>
          <w:p>
            <w:pPr>
              <w:jc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color w:val="000000"/>
                <w:sz w:val="18"/>
                <w:szCs w:val="18"/>
                <w:lang w:val="en-US" w:eastAsia="zh-CN"/>
              </w:rPr>
              <w:t>2</w:t>
            </w:r>
          </w:p>
        </w:tc>
        <w:tc>
          <w:tcPr>
            <w:tcW w:w="1418"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噪声治理（万元）</w:t>
            </w:r>
          </w:p>
        </w:tc>
        <w:tc>
          <w:tcPr>
            <w:tcW w:w="1275" w:type="dxa"/>
            <w:tcMar>
              <w:left w:w="57" w:type="dxa"/>
              <w:right w:w="57" w:type="dxa"/>
            </w:tcMar>
            <w:vAlign w:val="center"/>
          </w:tcPr>
          <w:p>
            <w:pPr>
              <w:jc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color w:val="000000"/>
                <w:sz w:val="18"/>
                <w:szCs w:val="18"/>
                <w:lang w:val="en-US" w:eastAsia="zh-CN"/>
              </w:rPr>
              <w:t>/</w:t>
            </w:r>
          </w:p>
        </w:tc>
        <w:tc>
          <w:tcPr>
            <w:tcW w:w="2694"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固体废物治理（万元）</w:t>
            </w:r>
          </w:p>
        </w:tc>
        <w:tc>
          <w:tcPr>
            <w:tcW w:w="2976" w:type="dxa"/>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1</w:t>
            </w:r>
          </w:p>
        </w:tc>
        <w:tc>
          <w:tcPr>
            <w:tcW w:w="1843"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绿化及生态（万元）</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其他（万元）</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378"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新增废水处理设施能力</w:t>
            </w:r>
          </w:p>
        </w:tc>
        <w:tc>
          <w:tcPr>
            <w:tcW w:w="6729" w:type="dxa"/>
            <w:gridSpan w:val="5"/>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694"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新增废气处理设施能力</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年平均工作时</w:t>
            </w:r>
          </w:p>
        </w:tc>
        <w:tc>
          <w:tcPr>
            <w:tcW w:w="3969" w:type="dxa"/>
            <w:gridSpan w:val="4"/>
            <w:tcMar>
              <w:left w:w="57" w:type="dxa"/>
              <w:right w:w="57" w:type="dxa"/>
            </w:tcMar>
            <w:vAlign w:val="center"/>
          </w:tcPr>
          <w:p>
            <w:pPr>
              <w:jc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color w:val="000000"/>
                <w:sz w:val="18"/>
                <w:szCs w:val="18"/>
                <w:lang w:val="en-US" w:eastAsia="zh-CN"/>
              </w:rPr>
              <w:t>2400h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947" w:type="dxa"/>
            <w:gridSpan w:val="4"/>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运营单位</w:t>
            </w:r>
          </w:p>
        </w:tc>
        <w:tc>
          <w:tcPr>
            <w:tcW w:w="5454" w:type="dxa"/>
            <w:gridSpan w:val="4"/>
            <w:tcMar>
              <w:left w:w="57" w:type="dxa"/>
              <w:right w:w="57" w:type="dxa"/>
            </w:tcMar>
            <w:vAlign w:val="center"/>
          </w:tcPr>
          <w:p>
            <w:pPr>
              <w:jc w:val="center"/>
              <w:rPr>
                <w:rFonts w:ascii="Times New Roman" w:hAnsi="Times New Roman" w:cs="Times New Roman"/>
                <w:color w:val="000000"/>
                <w:sz w:val="18"/>
                <w:szCs w:val="18"/>
              </w:rPr>
            </w:pPr>
            <w:r>
              <w:rPr>
                <w:rFonts w:hint="eastAsia" w:ascii="Times New Roman" w:hAnsi="Times New Roman" w:cs="Times New Roman"/>
                <w:sz w:val="18"/>
                <w:szCs w:val="18"/>
                <w:lang w:val="en-US" w:eastAsia="zh-CN"/>
              </w:rPr>
              <w:t>山东安特牧业科技有限公司</w:t>
            </w:r>
          </w:p>
        </w:tc>
        <w:tc>
          <w:tcPr>
            <w:tcW w:w="3969" w:type="dxa"/>
            <w:gridSpan w:val="3"/>
            <w:tcMar>
              <w:left w:w="57" w:type="dxa"/>
              <w:right w:w="57" w:type="dxa"/>
            </w:tcMar>
            <w:vAlign w:val="center"/>
          </w:tcPr>
          <w:p>
            <w:pPr>
              <w:jc w:val="center"/>
              <w:rPr>
                <w:rFonts w:ascii="Times New Roman" w:hAnsi="Times New Roman" w:cs="Times New Roman"/>
                <w:sz w:val="18"/>
                <w:szCs w:val="18"/>
              </w:rPr>
            </w:pPr>
            <w:r>
              <w:rPr>
                <w:rFonts w:ascii="Times New Roman" w:hAnsi="Times New Roman" w:cs="Times New Roman"/>
                <w:b/>
                <w:sz w:val="18"/>
                <w:szCs w:val="18"/>
              </w:rPr>
              <w:t>运营单位社会统一信用代码（或组织机构代码）</w:t>
            </w:r>
          </w:p>
        </w:tc>
        <w:tc>
          <w:tcPr>
            <w:tcW w:w="2976" w:type="dxa"/>
            <w:tcMar>
              <w:left w:w="57" w:type="dxa"/>
              <w:right w:w="57" w:type="dxa"/>
            </w:tcMar>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913701266648553864</w:t>
            </w:r>
          </w:p>
        </w:tc>
        <w:tc>
          <w:tcPr>
            <w:tcW w:w="1843"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验收时间</w:t>
            </w:r>
          </w:p>
        </w:tc>
        <w:tc>
          <w:tcPr>
            <w:tcW w:w="3969" w:type="dxa"/>
            <w:gridSpan w:val="4"/>
            <w:tcMar>
              <w:left w:w="57" w:type="dxa"/>
              <w:right w:w="57" w:type="dxa"/>
            </w:tcMar>
            <w:vAlign w:val="center"/>
          </w:tcPr>
          <w:p>
            <w:pPr>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2019.11.25-2019.11.26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91" w:type="dxa"/>
            <w:gridSpan w:val="2"/>
            <w:vMerge w:val="restart"/>
            <w:tcMar>
              <w:left w:w="57" w:type="dxa"/>
              <w:right w:w="57" w:type="dxa"/>
            </w:tcMar>
            <w:vAlign w:val="center"/>
          </w:tcPr>
          <w:p>
            <w:pPr>
              <w:jc w:val="center"/>
              <w:rPr>
                <w:rFonts w:ascii="Times New Roman" w:hAnsi="Times New Roman" w:eastAsia="SimHei" w:cs="Times New Roman"/>
                <w:b/>
                <w:color w:val="000000"/>
                <w:spacing w:val="20"/>
                <w:sz w:val="18"/>
                <w:szCs w:val="18"/>
              </w:rPr>
            </w:pPr>
            <w:r>
              <w:rPr>
                <w:rFonts w:ascii="Times New Roman" w:hAnsi="Times New Roman" w:eastAsia="SimHei" w:cs="Times New Roman"/>
                <w:b/>
                <w:color w:val="000000"/>
                <w:spacing w:val="20"/>
                <w:sz w:val="18"/>
                <w:szCs w:val="18"/>
              </w:rPr>
              <w:t>污染</w:t>
            </w:r>
          </w:p>
          <w:p>
            <w:pPr>
              <w:jc w:val="center"/>
              <w:rPr>
                <w:rFonts w:ascii="Times New Roman" w:hAnsi="Times New Roman" w:eastAsia="SimHei" w:cs="Times New Roman"/>
                <w:b/>
                <w:color w:val="000000"/>
                <w:spacing w:val="20"/>
                <w:sz w:val="18"/>
                <w:szCs w:val="18"/>
              </w:rPr>
            </w:pPr>
            <w:r>
              <w:rPr>
                <w:rFonts w:ascii="Times New Roman" w:hAnsi="Times New Roman" w:eastAsia="SimHei" w:cs="Times New Roman"/>
                <w:b/>
                <w:color w:val="000000"/>
                <w:spacing w:val="20"/>
                <w:sz w:val="18"/>
                <w:szCs w:val="18"/>
              </w:rPr>
              <w:t>物排</w:t>
            </w:r>
          </w:p>
          <w:p>
            <w:pPr>
              <w:jc w:val="center"/>
              <w:rPr>
                <w:rFonts w:ascii="Times New Roman" w:hAnsi="Times New Roman" w:eastAsia="SimHei" w:cs="Times New Roman"/>
                <w:b/>
                <w:color w:val="000000"/>
                <w:spacing w:val="20"/>
                <w:sz w:val="18"/>
                <w:szCs w:val="18"/>
              </w:rPr>
            </w:pPr>
            <w:r>
              <w:rPr>
                <w:rFonts w:ascii="Times New Roman" w:hAnsi="Times New Roman" w:eastAsia="SimHei" w:cs="Times New Roman"/>
                <w:b/>
                <w:color w:val="000000"/>
                <w:spacing w:val="20"/>
                <w:sz w:val="18"/>
                <w:szCs w:val="18"/>
              </w:rPr>
              <w:t>放达</w:t>
            </w:r>
          </w:p>
          <w:p>
            <w:pPr>
              <w:jc w:val="center"/>
              <w:rPr>
                <w:rFonts w:ascii="Times New Roman" w:hAnsi="Times New Roman" w:eastAsia="SimHei" w:cs="Times New Roman"/>
                <w:b/>
                <w:color w:val="000000"/>
                <w:spacing w:val="20"/>
                <w:sz w:val="18"/>
                <w:szCs w:val="18"/>
              </w:rPr>
            </w:pPr>
            <w:r>
              <w:rPr>
                <w:rFonts w:ascii="Times New Roman" w:hAnsi="Times New Roman" w:eastAsia="SimHei" w:cs="Times New Roman"/>
                <w:b/>
                <w:color w:val="000000"/>
                <w:spacing w:val="20"/>
                <w:sz w:val="18"/>
                <w:szCs w:val="18"/>
              </w:rPr>
              <w:t>标与</w:t>
            </w:r>
          </w:p>
          <w:p>
            <w:pPr>
              <w:jc w:val="center"/>
              <w:rPr>
                <w:rFonts w:ascii="Times New Roman" w:hAnsi="Times New Roman" w:eastAsia="SimHei" w:cs="Times New Roman"/>
                <w:b/>
                <w:color w:val="000000"/>
                <w:spacing w:val="20"/>
                <w:sz w:val="18"/>
                <w:szCs w:val="18"/>
              </w:rPr>
            </w:pPr>
            <w:r>
              <w:rPr>
                <w:rFonts w:ascii="Times New Roman" w:hAnsi="Times New Roman" w:eastAsia="SimHei" w:cs="Times New Roman"/>
                <w:b/>
                <w:color w:val="000000"/>
                <w:spacing w:val="20"/>
                <w:sz w:val="18"/>
                <w:szCs w:val="18"/>
              </w:rPr>
              <w:t>总量</w:t>
            </w:r>
          </w:p>
          <w:p>
            <w:pPr>
              <w:jc w:val="center"/>
              <w:rPr>
                <w:rFonts w:ascii="Times New Roman" w:hAnsi="Times New Roman" w:eastAsia="SimHei" w:cs="Times New Roman"/>
                <w:b/>
                <w:color w:val="000000"/>
                <w:spacing w:val="20"/>
                <w:sz w:val="18"/>
                <w:szCs w:val="18"/>
              </w:rPr>
            </w:pPr>
            <w:r>
              <w:rPr>
                <w:rFonts w:ascii="Times New Roman" w:hAnsi="Times New Roman" w:eastAsia="SimHei" w:cs="Times New Roman"/>
                <w:b/>
                <w:color w:val="000000"/>
                <w:spacing w:val="20"/>
                <w:sz w:val="18"/>
                <w:szCs w:val="18"/>
              </w:rPr>
              <w:t>控制（工</w:t>
            </w:r>
          </w:p>
          <w:p>
            <w:pPr>
              <w:jc w:val="center"/>
              <w:rPr>
                <w:rFonts w:ascii="Times New Roman" w:hAnsi="Times New Roman" w:eastAsia="SimHei" w:cs="Times New Roman"/>
                <w:b/>
                <w:color w:val="000000"/>
                <w:spacing w:val="20"/>
                <w:sz w:val="18"/>
                <w:szCs w:val="18"/>
              </w:rPr>
            </w:pPr>
            <w:r>
              <w:rPr>
                <w:rFonts w:ascii="Times New Roman" w:hAnsi="Times New Roman" w:eastAsia="SimHei" w:cs="Times New Roman"/>
                <w:b/>
                <w:color w:val="000000"/>
                <w:spacing w:val="20"/>
                <w:sz w:val="18"/>
                <w:szCs w:val="18"/>
              </w:rPr>
              <w:t>业建</w:t>
            </w:r>
          </w:p>
          <w:p>
            <w:pPr>
              <w:jc w:val="center"/>
              <w:rPr>
                <w:rFonts w:ascii="Times New Roman" w:hAnsi="Times New Roman" w:eastAsia="SimHei" w:cs="Times New Roman"/>
                <w:b/>
                <w:color w:val="000000"/>
                <w:spacing w:val="20"/>
                <w:sz w:val="18"/>
                <w:szCs w:val="18"/>
              </w:rPr>
            </w:pPr>
            <w:r>
              <w:rPr>
                <w:rFonts w:ascii="Times New Roman" w:hAnsi="Times New Roman" w:eastAsia="SimHei" w:cs="Times New Roman"/>
                <w:b/>
                <w:color w:val="000000"/>
                <w:spacing w:val="20"/>
                <w:sz w:val="18"/>
                <w:szCs w:val="18"/>
              </w:rPr>
              <w:t>设项</w:t>
            </w:r>
          </w:p>
          <w:p>
            <w:pPr>
              <w:jc w:val="center"/>
              <w:rPr>
                <w:rFonts w:ascii="Times New Roman" w:hAnsi="Times New Roman" w:eastAsia="SimHei" w:cs="Times New Roman"/>
                <w:b/>
                <w:color w:val="000000"/>
                <w:spacing w:val="20"/>
                <w:sz w:val="18"/>
                <w:szCs w:val="18"/>
              </w:rPr>
            </w:pPr>
            <w:r>
              <w:rPr>
                <w:rFonts w:ascii="Times New Roman" w:hAnsi="Times New Roman" w:eastAsia="SimHei" w:cs="Times New Roman"/>
                <w:b/>
                <w:color w:val="000000"/>
                <w:spacing w:val="20"/>
                <w:sz w:val="18"/>
                <w:szCs w:val="18"/>
              </w:rPr>
              <w:t>目详填）</w:t>
            </w:r>
          </w:p>
        </w:tc>
        <w:tc>
          <w:tcPr>
            <w:tcW w:w="215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污染物</w:t>
            </w:r>
          </w:p>
        </w:tc>
        <w:tc>
          <w:tcPr>
            <w:tcW w:w="1059"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原有排</w:t>
            </w:r>
          </w:p>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放量(1)</w:t>
            </w:r>
          </w:p>
        </w:tc>
        <w:tc>
          <w:tcPr>
            <w:tcW w:w="1560"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本期工程实际排放浓度(2)</w:t>
            </w:r>
          </w:p>
        </w:tc>
        <w:tc>
          <w:tcPr>
            <w:tcW w:w="1417"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本期工程允许排放浓度(3)</w:t>
            </w:r>
          </w:p>
        </w:tc>
        <w:tc>
          <w:tcPr>
            <w:tcW w:w="1418"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本期工程产生量(4)</w:t>
            </w:r>
          </w:p>
        </w:tc>
        <w:tc>
          <w:tcPr>
            <w:tcW w:w="1275"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本期工程自身削减量(5)</w:t>
            </w:r>
          </w:p>
        </w:tc>
        <w:tc>
          <w:tcPr>
            <w:tcW w:w="1418"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本期工程实际排放量(6)</w:t>
            </w:r>
          </w:p>
        </w:tc>
        <w:tc>
          <w:tcPr>
            <w:tcW w:w="1276"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本期工程核定排放总量(7)</w:t>
            </w:r>
          </w:p>
        </w:tc>
        <w:tc>
          <w:tcPr>
            <w:tcW w:w="2976"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本期工程“以新带老”削减量(8)</w:t>
            </w:r>
          </w:p>
        </w:tc>
        <w:tc>
          <w:tcPr>
            <w:tcW w:w="1843"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全厂实际排放总量(9)</w:t>
            </w:r>
          </w:p>
        </w:tc>
        <w:tc>
          <w:tcPr>
            <w:tcW w:w="992"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全厂核定排放总量(10)</w:t>
            </w:r>
          </w:p>
        </w:tc>
        <w:tc>
          <w:tcPr>
            <w:tcW w:w="1776"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区域平衡替代削减量(11)</w:t>
            </w:r>
          </w:p>
        </w:tc>
        <w:tc>
          <w:tcPr>
            <w:tcW w:w="1201"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15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废水</w:t>
            </w:r>
          </w:p>
        </w:tc>
        <w:tc>
          <w:tcPr>
            <w:tcW w:w="1059"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156"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化学需氧量</w:t>
            </w:r>
          </w:p>
        </w:tc>
        <w:tc>
          <w:tcPr>
            <w:tcW w:w="1059"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156"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氨氮</w:t>
            </w:r>
          </w:p>
        </w:tc>
        <w:tc>
          <w:tcPr>
            <w:tcW w:w="1059"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156"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石油类</w:t>
            </w:r>
          </w:p>
        </w:tc>
        <w:tc>
          <w:tcPr>
            <w:tcW w:w="1059"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156" w:type="dxa"/>
            <w:gridSpan w:val="2"/>
            <w:tcMar>
              <w:left w:w="57" w:type="dxa"/>
              <w:right w:w="57" w:type="dxa"/>
            </w:tcMar>
            <w:vAlign w:val="center"/>
          </w:tcPr>
          <w:p>
            <w:pPr>
              <w:jc w:val="center"/>
              <w:rPr>
                <w:rFonts w:ascii="Times New Roman" w:hAnsi="Times New Roman" w:eastAsia="SimHei" w:cs="Times New Roman"/>
                <w:b/>
                <w:color w:val="000000"/>
                <w:sz w:val="18"/>
                <w:szCs w:val="18"/>
              </w:rPr>
            </w:pPr>
            <w:r>
              <w:rPr>
                <w:rFonts w:ascii="Times New Roman" w:hAnsi="Times New Roman" w:cs="Times New Roman"/>
                <w:b/>
                <w:color w:val="000000"/>
                <w:sz w:val="18"/>
                <w:szCs w:val="18"/>
              </w:rPr>
              <w:t>废气</w:t>
            </w:r>
          </w:p>
        </w:tc>
        <w:tc>
          <w:tcPr>
            <w:tcW w:w="1059"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156"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二氧化硫</w:t>
            </w:r>
          </w:p>
        </w:tc>
        <w:tc>
          <w:tcPr>
            <w:tcW w:w="1059"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156"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烟尘</w:t>
            </w:r>
          </w:p>
        </w:tc>
        <w:tc>
          <w:tcPr>
            <w:tcW w:w="1059"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156"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工业粉尘</w:t>
            </w:r>
          </w:p>
        </w:tc>
        <w:tc>
          <w:tcPr>
            <w:tcW w:w="1059"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156"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氮氧化物</w:t>
            </w:r>
          </w:p>
        </w:tc>
        <w:tc>
          <w:tcPr>
            <w:tcW w:w="1059"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156" w:type="dxa"/>
            <w:gridSpan w:val="2"/>
            <w:tcMar>
              <w:left w:w="57" w:type="dxa"/>
              <w:right w:w="57" w:type="dxa"/>
            </w:tcMar>
            <w:vAlign w:val="center"/>
          </w:tcPr>
          <w:p>
            <w:pPr>
              <w:jc w:val="center"/>
              <w:rPr>
                <w:rFonts w:ascii="Times New Roman" w:hAnsi="Times New Roman" w:eastAsia="SimHei" w:cs="Times New Roman"/>
                <w:b/>
                <w:color w:val="000000"/>
                <w:sz w:val="18"/>
                <w:szCs w:val="18"/>
              </w:rPr>
            </w:pPr>
            <w:r>
              <w:rPr>
                <w:rFonts w:ascii="Times New Roman" w:hAnsi="Times New Roman" w:cs="Times New Roman"/>
                <w:b/>
                <w:color w:val="000000"/>
                <w:sz w:val="18"/>
                <w:szCs w:val="18"/>
              </w:rPr>
              <w:t>工业固体废物</w:t>
            </w:r>
          </w:p>
        </w:tc>
        <w:tc>
          <w:tcPr>
            <w:tcW w:w="1059"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FF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1089" w:type="dxa"/>
            <w:vMerge w:val="restart"/>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与项目有关的其他特征污染物</w:t>
            </w:r>
          </w:p>
        </w:tc>
        <w:tc>
          <w:tcPr>
            <w:tcW w:w="106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059"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tcPr>
          <w:p>
            <w:pPr>
              <w:jc w:val="center"/>
              <w:rPr>
                <w:rFonts w:ascii="Times New Roman" w:hAnsi="Times New Roman"/>
              </w:rPr>
            </w:pPr>
            <w:r>
              <w:rPr>
                <w:rFonts w:ascii="Times New Roman" w:hAnsi="Times New Roman" w:cs="Times New Roman"/>
                <w:color w:val="000000"/>
                <w:sz w:val="18"/>
                <w:szCs w:val="18"/>
              </w:rPr>
              <w:t>/</w:t>
            </w:r>
          </w:p>
        </w:tc>
        <w:tc>
          <w:tcPr>
            <w:tcW w:w="1417" w:type="dxa"/>
            <w:tcMar>
              <w:left w:w="57" w:type="dxa"/>
              <w:right w:w="57" w:type="dxa"/>
            </w:tcMar>
          </w:tcPr>
          <w:p>
            <w:pPr>
              <w:jc w:val="center"/>
              <w:rPr>
                <w:rFonts w:ascii="Times New Roman" w:hAnsi="Times New Roman"/>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1089" w:type="dxa"/>
            <w:vMerge w:val="continue"/>
            <w:tcMar>
              <w:left w:w="57" w:type="dxa"/>
              <w:right w:w="57" w:type="dxa"/>
            </w:tcMar>
            <w:vAlign w:val="center"/>
          </w:tcPr>
          <w:p>
            <w:pPr>
              <w:jc w:val="center"/>
              <w:rPr>
                <w:rFonts w:ascii="Times New Roman" w:hAnsi="Times New Roman" w:cs="Times New Roman"/>
                <w:b/>
                <w:color w:val="000000"/>
                <w:sz w:val="18"/>
                <w:szCs w:val="18"/>
              </w:rPr>
            </w:pPr>
          </w:p>
        </w:tc>
        <w:tc>
          <w:tcPr>
            <w:tcW w:w="106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059"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42"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1089" w:type="dxa"/>
            <w:vMerge w:val="continue"/>
            <w:tcMar>
              <w:left w:w="57" w:type="dxa"/>
              <w:right w:w="57" w:type="dxa"/>
            </w:tcMar>
            <w:vAlign w:val="center"/>
          </w:tcPr>
          <w:p>
            <w:pPr>
              <w:jc w:val="center"/>
              <w:rPr>
                <w:rFonts w:ascii="Times New Roman" w:hAnsi="Times New Roman" w:cs="Times New Roman"/>
                <w:b/>
                <w:color w:val="000000"/>
                <w:sz w:val="18"/>
                <w:szCs w:val="18"/>
              </w:rPr>
            </w:pPr>
          </w:p>
        </w:tc>
        <w:tc>
          <w:tcPr>
            <w:tcW w:w="106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059"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76"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776"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bl>
    <w:p>
      <w:pPr>
        <w:rPr>
          <w:rFonts w:ascii="Times New Roman" w:hAnsi="Times New Roman" w:cs="Times New Roman"/>
          <w:color w:val="000000"/>
          <w:sz w:val="15"/>
          <w:szCs w:val="15"/>
        </w:rPr>
      </w:pPr>
      <w:r>
        <w:rPr>
          <w:rFonts w:ascii="Times New Roman" w:hAnsi="Times New Roman" w:cs="Times New Roman"/>
          <w:b/>
          <w:color w:val="000000"/>
          <w:sz w:val="15"/>
          <w:szCs w:val="15"/>
        </w:rPr>
        <w:t>注</w:t>
      </w:r>
      <w:r>
        <w:rPr>
          <w:rFonts w:ascii="Times New Roman" w:hAnsi="Times New Roman" w:cs="Times New Roman"/>
          <w:color w:val="000000"/>
          <w:sz w:val="15"/>
          <w:szCs w:val="15"/>
        </w:rPr>
        <w:t>：1、</w:t>
      </w:r>
      <w:r>
        <w:rPr>
          <w:rFonts w:ascii="Times New Roman" w:hAnsi="Times New Roman" w:cs="Times New Roman"/>
          <w:color w:val="000000"/>
          <w:spacing w:val="-4"/>
          <w:sz w:val="15"/>
          <w:szCs w:val="15"/>
        </w:rPr>
        <w:t>排放增减量：（+）表示增加，（-）表示减少。2、(12)=(6)-(8)-(11)，（9）= (4)-(5)-(8)- (11) +（1）。3、计量单位：废水排放量——万吨/年；废气排放量——万标立方米/年；工业固体废物排放</w:t>
      </w:r>
      <w:r>
        <w:rPr>
          <w:rFonts w:ascii="Times New Roman" w:hAnsi="Times New Roman" w:cs="Times New Roman"/>
          <w:color w:val="000000"/>
          <w:sz w:val="15"/>
          <w:szCs w:val="15"/>
        </w:rPr>
        <w:t>量——万吨/年；水污染物排放浓度——毫克/升</w:t>
      </w:r>
    </w:p>
    <w:p>
      <w:pPr>
        <w:ind w:firstLine="2520" w:firstLineChars="1400"/>
        <w:rPr>
          <w:rFonts w:ascii="Times New Roman" w:hAnsi="Times New Roman" w:cs="Times New Roman"/>
          <w:sz w:val="18"/>
          <w:szCs w:val="18"/>
        </w:rPr>
      </w:pPr>
    </w:p>
    <w:p>
      <w:pPr>
        <w:rPr>
          <w:rFonts w:ascii="Times New Roman" w:hAnsi="Times New Roman" w:cs="Times New Roman"/>
          <w:sz w:val="18"/>
          <w:szCs w:val="18"/>
        </w:rPr>
        <w:sectPr>
          <w:headerReference r:id="rId7" w:type="default"/>
          <w:pgSz w:w="23814" w:h="16840" w:orient="landscape"/>
          <w:pgMar w:top="1418" w:right="1440" w:bottom="851" w:left="144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rPr>
          <w:rFonts w:ascii="Times New Roman" w:hAnsi="Times New Roman" w:eastAsia="SimSun"/>
        </w:rPr>
      </w:pPr>
      <w:r>
        <w:rPr>
          <w:rFonts w:ascii="Times New Roman" w:hAnsi="Times New Roman" w:cs="Times New Roman"/>
          <w:b/>
          <w:spacing w:val="6"/>
          <w:sz w:val="28"/>
          <w:szCs w:val="28"/>
        </w:rPr>
        <w:t>附件2  环评批复意见</w:t>
      </w:r>
    </w:p>
    <w:p>
      <w:pPr>
        <w:pStyle w:val="36"/>
        <w:rPr>
          <w:rFonts w:hint="eastAsia" w:eastAsiaTheme="minorEastAsia"/>
          <w:lang w:eastAsia="zh-CN"/>
        </w:rPr>
      </w:pPr>
      <w:r>
        <w:rPr>
          <w:rFonts w:hint="eastAsia" w:eastAsiaTheme="minorEastAsia"/>
          <w:lang w:eastAsia="zh-CN"/>
        </w:rPr>
        <w:drawing>
          <wp:inline distT="0" distB="0" distL="114300" distR="114300">
            <wp:extent cx="8031480" cy="5779770"/>
            <wp:effectExtent l="0" t="0" r="11430" b="7620"/>
            <wp:docPr id="14" name="图片 1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1"/>
                    <pic:cNvPicPr>
                      <a:picLocks noChangeAspect="1"/>
                    </pic:cNvPicPr>
                  </pic:nvPicPr>
                  <pic:blipFill>
                    <a:blip r:embed="rId17"/>
                    <a:stretch>
                      <a:fillRect/>
                    </a:stretch>
                  </pic:blipFill>
                  <pic:spPr>
                    <a:xfrm rot="5400000">
                      <a:off x="0" y="0"/>
                      <a:ext cx="8031480" cy="5779770"/>
                    </a:xfrm>
                    <a:prstGeom prst="rect">
                      <a:avLst/>
                    </a:prstGeom>
                  </pic:spPr>
                </pic:pic>
              </a:graphicData>
            </a:graphic>
          </wp:inline>
        </w:drawing>
      </w:r>
      <w:r>
        <w:rPr>
          <w:rFonts w:hint="eastAsia" w:eastAsiaTheme="minorEastAsia"/>
          <w:lang w:eastAsia="zh-CN"/>
        </w:rPr>
        <w:drawing>
          <wp:inline distT="0" distB="0" distL="114300" distR="114300">
            <wp:extent cx="8108950" cy="5836285"/>
            <wp:effectExtent l="0" t="0" r="12065" b="6350"/>
            <wp:docPr id="13" name="图片 1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2"/>
                    <pic:cNvPicPr>
                      <a:picLocks noChangeAspect="1"/>
                    </pic:cNvPicPr>
                  </pic:nvPicPr>
                  <pic:blipFill>
                    <a:blip r:embed="rId18"/>
                    <a:stretch>
                      <a:fillRect/>
                    </a:stretch>
                  </pic:blipFill>
                  <pic:spPr>
                    <a:xfrm rot="5400000">
                      <a:off x="0" y="0"/>
                      <a:ext cx="8108950" cy="5836285"/>
                    </a:xfrm>
                    <a:prstGeom prst="rect">
                      <a:avLst/>
                    </a:prstGeom>
                  </pic:spPr>
                </pic:pic>
              </a:graphicData>
            </a:graphic>
          </wp:inline>
        </w:drawing>
      </w:r>
      <w:r>
        <w:rPr>
          <w:rFonts w:hint="eastAsia" w:eastAsiaTheme="minorEastAsia"/>
          <w:lang w:eastAsia="zh-CN"/>
        </w:rPr>
        <w:drawing>
          <wp:inline distT="0" distB="0" distL="114300" distR="114300">
            <wp:extent cx="7858760" cy="5837555"/>
            <wp:effectExtent l="0" t="0" r="10795" b="8890"/>
            <wp:docPr id="10" name="图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3"/>
                    <pic:cNvPicPr>
                      <a:picLocks noChangeAspect="1"/>
                    </pic:cNvPicPr>
                  </pic:nvPicPr>
                  <pic:blipFill>
                    <a:blip r:embed="rId19"/>
                    <a:stretch>
                      <a:fillRect/>
                    </a:stretch>
                  </pic:blipFill>
                  <pic:spPr>
                    <a:xfrm rot="5400000">
                      <a:off x="0" y="0"/>
                      <a:ext cx="7858760" cy="5837555"/>
                    </a:xfrm>
                    <a:prstGeom prst="rect">
                      <a:avLst/>
                    </a:prstGeom>
                  </pic:spPr>
                </pic:pic>
              </a:graphicData>
            </a:graphic>
          </wp:inline>
        </w:drawing>
      </w:r>
    </w:p>
    <w:p>
      <w:pPr>
        <w:rPr>
          <w:rFonts w:hint="eastAsia" w:ascii="Times New Roman" w:hAnsi="Times New Roman" w:cs="Times New Roman" w:eastAsiaTheme="minorEastAsia"/>
          <w:b/>
          <w:spacing w:val="6"/>
          <w:sz w:val="28"/>
          <w:szCs w:val="28"/>
          <w:lang w:eastAsia="zh-CN"/>
        </w:rPr>
      </w:pPr>
    </w:p>
    <w:p>
      <w:pPr>
        <w:pStyle w:val="33"/>
        <w:jc w:val="left"/>
        <w:rPr>
          <w:rFonts w:ascii="Times New Roman" w:hAnsi="Times New Roman" w:cs="Times New Roman"/>
          <w:b/>
          <w:color w:val="auto"/>
          <w:sz w:val="28"/>
          <w:szCs w:val="28"/>
        </w:rPr>
      </w:pPr>
      <w:r>
        <w:rPr>
          <w:rFonts w:ascii="Times New Roman" w:hAnsi="Times New Roman" w:cs="Times New Roman"/>
          <w:b/>
          <w:color w:val="auto"/>
          <w:sz w:val="28"/>
          <w:szCs w:val="28"/>
        </w:rPr>
        <w:t>附件</w:t>
      </w:r>
      <w:r>
        <w:rPr>
          <w:rFonts w:hint="eastAsia" w:ascii="Times New Roman" w:hAnsi="Times New Roman" w:cs="Times New Roman"/>
          <w:b/>
          <w:color w:val="auto"/>
          <w:sz w:val="28"/>
          <w:szCs w:val="28"/>
          <w:lang w:val="en-US" w:eastAsia="zh-CN"/>
        </w:rPr>
        <w:t>3</w:t>
      </w:r>
      <w:r>
        <w:rPr>
          <w:rFonts w:ascii="Times New Roman" w:hAnsi="Times New Roman" w:cs="Times New Roman"/>
          <w:b/>
          <w:color w:val="auto"/>
          <w:sz w:val="28"/>
          <w:szCs w:val="28"/>
        </w:rPr>
        <w:t xml:space="preserve"> 工况证明</w:t>
      </w:r>
    </w:p>
    <w:p>
      <w:pPr>
        <w:pStyle w:val="36"/>
      </w:pPr>
    </w:p>
    <w:p>
      <w:pPr>
        <w:tabs>
          <w:tab w:val="left" w:pos="1095"/>
        </w:tabs>
        <w:jc w:val="center"/>
        <w:rPr>
          <w:rFonts w:hint="eastAsia" w:ascii="Times New Roman" w:hAnsi="Times New Roman" w:cs="Times New Roman" w:eastAsiaTheme="minorEastAsia"/>
          <w:sz w:val="28"/>
          <w:szCs w:val="28"/>
          <w:lang w:eastAsia="zh-CN"/>
        </w:rPr>
      </w:pPr>
      <w:r>
        <w:drawing>
          <wp:inline distT="0" distB="0" distL="114300" distR="114300">
            <wp:extent cx="5758815" cy="5379720"/>
            <wp:effectExtent l="0" t="0" r="1333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5758815" cy="5379720"/>
                    </a:xfrm>
                    <a:prstGeom prst="rect">
                      <a:avLst/>
                    </a:prstGeom>
                    <a:noFill/>
                    <a:ln>
                      <a:noFill/>
                    </a:ln>
                  </pic:spPr>
                </pic:pic>
              </a:graphicData>
            </a:graphic>
          </wp:inline>
        </w:drawing>
      </w:r>
    </w:p>
    <w:p>
      <w:pPr>
        <w:tabs>
          <w:tab w:val="left" w:pos="1095"/>
        </w:tabs>
        <w:jc w:val="center"/>
        <w:rPr>
          <w:rFonts w:ascii="Times New Roman" w:hAnsi="Times New Roman" w:cs="Times New Roman"/>
          <w:sz w:val="28"/>
          <w:szCs w:val="28"/>
        </w:rPr>
        <w:sectPr>
          <w:pgSz w:w="11906" w:h="16838"/>
          <w:pgMar w:top="1701" w:right="1418" w:bottom="1701"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left"/>
        <w:rPr>
          <w:rFonts w:hint="eastAsia" w:ascii="Times New Roman" w:hAnsi="Times New Roman" w:cs="Times New Roman" w:eastAsiaTheme="minorEastAsia"/>
          <w:b/>
          <w:spacing w:val="6"/>
          <w:sz w:val="28"/>
          <w:szCs w:val="28"/>
          <w:lang w:eastAsia="zh-CN"/>
        </w:rPr>
      </w:pPr>
      <w:r>
        <w:rPr>
          <w:rFonts w:ascii="Times New Roman" w:hAnsi="Times New Roman" w:cs="Times New Roman"/>
          <w:b/>
          <w:color w:val="FF0000"/>
          <w:spacing w:val="6"/>
          <w:sz w:val="28"/>
          <w:szCs w:val="28"/>
        </w:rPr>
        <w:t>附件</w:t>
      </w:r>
      <w:r>
        <w:rPr>
          <w:rFonts w:hint="eastAsia" w:ascii="Times New Roman" w:hAnsi="Times New Roman" w:cs="Times New Roman"/>
          <w:b/>
          <w:color w:val="FF0000"/>
          <w:spacing w:val="6"/>
          <w:sz w:val="28"/>
          <w:szCs w:val="28"/>
          <w:lang w:val="en-US" w:eastAsia="zh-CN"/>
        </w:rPr>
        <w:t>4  危废处置合同</w:t>
      </w:r>
      <w:r>
        <w:rPr>
          <w:rFonts w:hint="eastAsia" w:ascii="Times New Roman" w:hAnsi="Times New Roman" w:cs="Times New Roman" w:eastAsiaTheme="minorEastAsia"/>
          <w:b/>
          <w:spacing w:val="6"/>
          <w:sz w:val="28"/>
          <w:szCs w:val="28"/>
          <w:lang w:eastAsia="zh-CN"/>
        </w:rPr>
        <w:drawing>
          <wp:inline distT="0" distB="0" distL="114300" distR="114300">
            <wp:extent cx="5331460" cy="8221980"/>
            <wp:effectExtent l="0" t="0" r="2540" b="7620"/>
            <wp:docPr id="21" name="图片 21" descr="微信图片_2019122316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191223161739"/>
                    <pic:cNvPicPr>
                      <a:picLocks noChangeAspect="1"/>
                    </pic:cNvPicPr>
                  </pic:nvPicPr>
                  <pic:blipFill>
                    <a:blip r:embed="rId21"/>
                    <a:stretch>
                      <a:fillRect/>
                    </a:stretch>
                  </pic:blipFill>
                  <pic:spPr>
                    <a:xfrm>
                      <a:off x="0" y="0"/>
                      <a:ext cx="5331460" cy="8221980"/>
                    </a:xfrm>
                    <a:prstGeom prst="rect">
                      <a:avLst/>
                    </a:prstGeom>
                  </pic:spPr>
                </pic:pic>
              </a:graphicData>
            </a:graphic>
          </wp:inline>
        </w:drawing>
      </w:r>
      <w:r>
        <w:rPr>
          <w:rFonts w:hint="eastAsia" w:ascii="Times New Roman" w:hAnsi="Times New Roman" w:cs="Times New Roman" w:eastAsiaTheme="minorEastAsia"/>
          <w:b/>
          <w:spacing w:val="6"/>
          <w:sz w:val="28"/>
          <w:szCs w:val="28"/>
          <w:lang w:eastAsia="zh-CN"/>
        </w:rPr>
        <w:drawing>
          <wp:inline distT="0" distB="0" distL="114300" distR="114300">
            <wp:extent cx="5378450" cy="8858885"/>
            <wp:effectExtent l="0" t="0" r="12700" b="18415"/>
            <wp:docPr id="20" name="图片 20" descr="微信图片_2019122316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91223161745"/>
                    <pic:cNvPicPr>
                      <a:picLocks noChangeAspect="1"/>
                    </pic:cNvPicPr>
                  </pic:nvPicPr>
                  <pic:blipFill>
                    <a:blip r:embed="rId22"/>
                    <a:stretch>
                      <a:fillRect/>
                    </a:stretch>
                  </pic:blipFill>
                  <pic:spPr>
                    <a:xfrm>
                      <a:off x="0" y="0"/>
                      <a:ext cx="5378450" cy="8858885"/>
                    </a:xfrm>
                    <a:prstGeom prst="rect">
                      <a:avLst/>
                    </a:prstGeom>
                  </pic:spPr>
                </pic:pic>
              </a:graphicData>
            </a:graphic>
          </wp:inline>
        </w:drawing>
      </w:r>
      <w:r>
        <w:rPr>
          <w:rFonts w:hint="eastAsia" w:ascii="Times New Roman" w:hAnsi="Times New Roman" w:cs="Times New Roman" w:eastAsiaTheme="minorEastAsia"/>
          <w:b/>
          <w:spacing w:val="6"/>
          <w:sz w:val="28"/>
          <w:szCs w:val="28"/>
          <w:lang w:eastAsia="zh-CN"/>
        </w:rPr>
        <w:drawing>
          <wp:inline distT="0" distB="0" distL="114300" distR="114300">
            <wp:extent cx="5378450" cy="8858885"/>
            <wp:effectExtent l="0" t="0" r="12700" b="18415"/>
            <wp:docPr id="19" name="图片 19" descr="微信图片_2019122316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91223161748"/>
                    <pic:cNvPicPr>
                      <a:picLocks noChangeAspect="1"/>
                    </pic:cNvPicPr>
                  </pic:nvPicPr>
                  <pic:blipFill>
                    <a:blip r:embed="rId23"/>
                    <a:stretch>
                      <a:fillRect/>
                    </a:stretch>
                  </pic:blipFill>
                  <pic:spPr>
                    <a:xfrm>
                      <a:off x="0" y="0"/>
                      <a:ext cx="5378450" cy="8858885"/>
                    </a:xfrm>
                    <a:prstGeom prst="rect">
                      <a:avLst/>
                    </a:prstGeom>
                  </pic:spPr>
                </pic:pic>
              </a:graphicData>
            </a:graphic>
          </wp:inline>
        </w:drawing>
      </w:r>
      <w:r>
        <w:rPr>
          <w:rFonts w:hint="eastAsia" w:ascii="Times New Roman" w:hAnsi="Times New Roman" w:cs="Times New Roman" w:eastAsiaTheme="minorEastAsia"/>
          <w:b/>
          <w:spacing w:val="6"/>
          <w:sz w:val="28"/>
          <w:szCs w:val="28"/>
          <w:lang w:eastAsia="zh-CN"/>
        </w:rPr>
        <w:drawing>
          <wp:inline distT="0" distB="0" distL="114300" distR="114300">
            <wp:extent cx="5378450" cy="8858885"/>
            <wp:effectExtent l="0" t="0" r="12700" b="18415"/>
            <wp:docPr id="4" name="图片 4" descr="微信图片_2019122413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1224130233"/>
                    <pic:cNvPicPr>
                      <a:picLocks noChangeAspect="1"/>
                    </pic:cNvPicPr>
                  </pic:nvPicPr>
                  <pic:blipFill>
                    <a:blip r:embed="rId24"/>
                    <a:stretch>
                      <a:fillRect/>
                    </a:stretch>
                  </pic:blipFill>
                  <pic:spPr>
                    <a:xfrm>
                      <a:off x="0" y="0"/>
                      <a:ext cx="5378450" cy="8858885"/>
                    </a:xfrm>
                    <a:prstGeom prst="rect">
                      <a:avLst/>
                    </a:prstGeom>
                  </pic:spPr>
                </pic:pic>
              </a:graphicData>
            </a:graphic>
          </wp:inline>
        </w:drawing>
      </w:r>
      <w:r>
        <w:rPr>
          <w:rFonts w:hint="eastAsia" w:ascii="Times New Roman" w:hAnsi="Times New Roman" w:cs="Times New Roman" w:eastAsiaTheme="minorEastAsia"/>
          <w:b/>
          <w:spacing w:val="6"/>
          <w:sz w:val="28"/>
          <w:szCs w:val="28"/>
          <w:lang w:eastAsia="zh-CN"/>
        </w:rPr>
        <w:drawing>
          <wp:inline distT="0" distB="0" distL="114300" distR="114300">
            <wp:extent cx="5378450" cy="8858885"/>
            <wp:effectExtent l="0" t="0" r="12700" b="18415"/>
            <wp:docPr id="5" name="图片 5" descr="微信图片_2019122413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1224130257"/>
                    <pic:cNvPicPr>
                      <a:picLocks noChangeAspect="1"/>
                    </pic:cNvPicPr>
                  </pic:nvPicPr>
                  <pic:blipFill>
                    <a:blip r:embed="rId25"/>
                    <a:stretch>
                      <a:fillRect/>
                    </a:stretch>
                  </pic:blipFill>
                  <pic:spPr>
                    <a:xfrm>
                      <a:off x="0" y="0"/>
                      <a:ext cx="5378450" cy="8858885"/>
                    </a:xfrm>
                    <a:prstGeom prst="rect">
                      <a:avLst/>
                    </a:prstGeom>
                  </pic:spPr>
                </pic:pic>
              </a:graphicData>
            </a:graphic>
          </wp:inline>
        </w:drawing>
      </w:r>
      <w:r>
        <w:rPr>
          <w:rFonts w:hint="eastAsia" w:ascii="Times New Roman" w:hAnsi="Times New Roman" w:cs="Times New Roman" w:eastAsiaTheme="minorEastAsia"/>
          <w:b/>
          <w:spacing w:val="6"/>
          <w:sz w:val="28"/>
          <w:szCs w:val="28"/>
          <w:lang w:eastAsia="zh-CN"/>
        </w:rPr>
        <w:drawing>
          <wp:inline distT="0" distB="0" distL="114300" distR="114300">
            <wp:extent cx="5378450" cy="8858885"/>
            <wp:effectExtent l="0" t="0" r="12700" b="18415"/>
            <wp:docPr id="18" name="图片 18" descr="微信图片_2019122316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91223161751"/>
                    <pic:cNvPicPr>
                      <a:picLocks noChangeAspect="1"/>
                    </pic:cNvPicPr>
                  </pic:nvPicPr>
                  <pic:blipFill>
                    <a:blip r:embed="rId26"/>
                    <a:stretch>
                      <a:fillRect/>
                    </a:stretch>
                  </pic:blipFill>
                  <pic:spPr>
                    <a:xfrm>
                      <a:off x="0" y="0"/>
                      <a:ext cx="5378450" cy="8858885"/>
                    </a:xfrm>
                    <a:prstGeom prst="rect">
                      <a:avLst/>
                    </a:prstGeom>
                  </pic:spPr>
                </pic:pic>
              </a:graphicData>
            </a:graphic>
          </wp:inline>
        </w:drawing>
      </w:r>
    </w:p>
    <w:p>
      <w:pPr>
        <w:pStyle w:val="33"/>
        <w:ind w:left="0" w:leftChars="0" w:firstLine="0" w:firstLineChars="0"/>
        <w:jc w:val="left"/>
        <w:rPr>
          <w:rFonts w:hint="default" w:ascii="Times New Roman" w:hAnsi="Times New Roman" w:cs="Times New Roman" w:eastAsiaTheme="minorEastAsia"/>
          <w:b/>
          <w:color w:val="auto"/>
          <w:spacing w:val="6"/>
          <w:sz w:val="28"/>
          <w:szCs w:val="28"/>
          <w:lang w:val="en-US" w:eastAsia="zh-CN"/>
        </w:rPr>
      </w:pPr>
      <w:r>
        <w:rPr>
          <w:rFonts w:ascii="Times New Roman" w:hAnsi="Times New Roman" w:cs="Times New Roman"/>
          <w:b/>
          <w:color w:val="auto"/>
          <w:spacing w:val="6"/>
          <w:sz w:val="28"/>
          <w:szCs w:val="28"/>
        </w:rPr>
        <w:t>附件</w:t>
      </w:r>
      <w:r>
        <w:rPr>
          <w:rFonts w:hint="eastAsia" w:ascii="Times New Roman" w:hAnsi="Times New Roman" w:cs="Times New Roman"/>
          <w:b/>
          <w:color w:val="auto"/>
          <w:spacing w:val="6"/>
          <w:sz w:val="28"/>
          <w:szCs w:val="28"/>
          <w:lang w:val="en-US" w:eastAsia="zh-CN"/>
        </w:rPr>
        <w:t>5 现场图片及危废间照片</w:t>
      </w:r>
    </w:p>
    <w:tbl>
      <w:tblPr>
        <w:tblStyle w:val="29"/>
        <w:tblW w:w="93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58"/>
        <w:gridCol w:w="46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60" w:hRule="atLeast"/>
        </w:trPr>
        <w:tc>
          <w:tcPr>
            <w:tcW w:w="4658" w:type="dxa"/>
          </w:tcPr>
          <w:p>
            <w:pPr>
              <w:jc w:val="center"/>
              <w:rPr>
                <w:sz w:val="28"/>
              </w:rPr>
            </w:pPr>
            <w:r>
              <w:rPr>
                <w:sz w:val="28"/>
              </w:rPr>
              <mc:AlternateContent>
                <mc:Choice Requires="wps">
                  <w:drawing>
                    <wp:anchor distT="0" distB="0" distL="114300" distR="114300" simplePos="0" relativeHeight="2919848960" behindDoc="0" locked="0" layoutInCell="1" allowOverlap="1">
                      <wp:simplePos x="0" y="0"/>
                      <wp:positionH relativeFrom="column">
                        <wp:posOffset>665480</wp:posOffset>
                      </wp:positionH>
                      <wp:positionV relativeFrom="paragraph">
                        <wp:posOffset>3411220</wp:posOffset>
                      </wp:positionV>
                      <wp:extent cx="1590675" cy="333375"/>
                      <wp:effectExtent l="0" t="0" r="9525" b="9525"/>
                      <wp:wrapNone/>
                      <wp:docPr id="49" name="文本框 49"/>
                      <wp:cNvGraphicFramePr/>
                      <a:graphic xmlns:a="http://schemas.openxmlformats.org/drawingml/2006/main">
                        <a:graphicData uri="http://schemas.microsoft.com/office/word/2010/wordprocessingShape">
                          <wps:wsp>
                            <wps:cNvSpPr txBox="1"/>
                            <wps:spPr>
                              <a:xfrm>
                                <a:off x="0" y="0"/>
                                <a:ext cx="159067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现场废气采样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4pt;margin-top:268.6pt;height:26.25pt;width:125.25pt;z-index:-1375118336;mso-width-relative:page;mso-height-relative:page;" fillcolor="#FFFFFF [3201]" filled="t" stroked="f" coordsize="21600,21600" o:gfxdata="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C+nk9YAAAALAQAADwAAAAAAAAABACAAAAAiAAAAZHJzL2Rvd25yZXYueG1s&#10;UEsBAhQAFAAAAAgAh07iQJekCxUzAgAAQwQAAA4AAAAAAAAAAQAgAAAAJQEAAGRycy9lMm9Eb2Mu&#10;eG1sUEsFBgAAAAAGAAYAWQEAAMoFAAAAAA==&#10;">
                      <v:fill on="t"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现场废气采样</w:t>
                            </w:r>
                          </w:p>
                        </w:txbxContent>
                      </v:textbox>
                    </v:shape>
                  </w:pict>
                </mc:Fallback>
              </mc:AlternateContent>
            </w:r>
            <w:r>
              <w:rPr>
                <w:sz w:val="28"/>
              </w:rPr>
              <w:drawing>
                <wp:inline distT="0" distB="0" distL="114300" distR="114300">
                  <wp:extent cx="2803525" cy="3738245"/>
                  <wp:effectExtent l="0" t="0" r="15875" b="14605"/>
                  <wp:docPr id="16" name="图片 16" descr="微信图片_201912131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1213104603"/>
                          <pic:cNvPicPr>
                            <a:picLocks noChangeAspect="1"/>
                          </pic:cNvPicPr>
                        </pic:nvPicPr>
                        <pic:blipFill>
                          <a:blip r:embed="rId27"/>
                          <a:stretch>
                            <a:fillRect/>
                          </a:stretch>
                        </pic:blipFill>
                        <pic:spPr>
                          <a:xfrm>
                            <a:off x="0" y="0"/>
                            <a:ext cx="2803525" cy="3738245"/>
                          </a:xfrm>
                          <a:prstGeom prst="rect">
                            <a:avLst/>
                          </a:prstGeom>
                        </pic:spPr>
                      </pic:pic>
                    </a:graphicData>
                  </a:graphic>
                </wp:inline>
              </w:drawing>
            </w:r>
            <w:r>
              <w:rPr>
                <w:sz w:val="28"/>
              </w:rPr>
              <w:drawing>
                <wp:inline distT="0" distB="0" distL="114300" distR="114300">
                  <wp:extent cx="2803525" cy="3738245"/>
                  <wp:effectExtent l="0" t="0" r="15875" b="14605"/>
                  <wp:docPr id="11" name="图片 11" descr="微信图片_2019121310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1213104616"/>
                          <pic:cNvPicPr>
                            <a:picLocks noChangeAspect="1"/>
                          </pic:cNvPicPr>
                        </pic:nvPicPr>
                        <pic:blipFill>
                          <a:blip r:embed="rId28"/>
                          <a:stretch>
                            <a:fillRect/>
                          </a:stretch>
                        </pic:blipFill>
                        <pic:spPr>
                          <a:xfrm>
                            <a:off x="0" y="0"/>
                            <a:ext cx="2803525" cy="3738245"/>
                          </a:xfrm>
                          <a:prstGeom prst="rect">
                            <a:avLst/>
                          </a:prstGeom>
                        </pic:spPr>
                      </pic:pic>
                    </a:graphicData>
                  </a:graphic>
                </wp:inline>
              </w:drawing>
            </w:r>
          </w:p>
          <w:p>
            <w:pPr>
              <w:jc w:val="center"/>
              <w:rPr>
                <w:rFonts w:hint="eastAsia" w:ascii="Times New Roman" w:hAnsi="Times New Roman" w:cs="Times New Roman" w:eastAsiaTheme="minorEastAsia"/>
                <w:b/>
                <w:spacing w:val="6"/>
                <w:sz w:val="28"/>
                <w:szCs w:val="28"/>
                <w:vertAlign w:val="baseline"/>
                <w:lang w:eastAsia="zh-CN"/>
              </w:rPr>
            </w:pPr>
          </w:p>
        </w:tc>
        <w:tc>
          <w:tcPr>
            <w:tcW w:w="4658" w:type="dxa"/>
          </w:tcPr>
          <w:p>
            <w:pPr>
              <w:jc w:val="center"/>
            </w:pPr>
            <w:r>
              <mc:AlternateContent>
                <mc:Choice Requires="wps">
                  <w:drawing>
                    <wp:anchor distT="0" distB="0" distL="114300" distR="114300" simplePos="0" relativeHeight="1585751040" behindDoc="0" locked="0" layoutInCell="1" allowOverlap="1">
                      <wp:simplePos x="0" y="0"/>
                      <wp:positionH relativeFrom="column">
                        <wp:posOffset>622300</wp:posOffset>
                      </wp:positionH>
                      <wp:positionV relativeFrom="paragraph">
                        <wp:posOffset>3331210</wp:posOffset>
                      </wp:positionV>
                      <wp:extent cx="1590675" cy="333375"/>
                      <wp:effectExtent l="0" t="0" r="9525" b="9525"/>
                      <wp:wrapNone/>
                      <wp:docPr id="50" name="文本框 50"/>
                      <wp:cNvGraphicFramePr/>
                      <a:graphic xmlns:a="http://schemas.openxmlformats.org/drawingml/2006/main">
                        <a:graphicData uri="http://schemas.microsoft.com/office/word/2010/wordprocessingShape">
                          <wps:wsp>
                            <wps:cNvSpPr txBox="1"/>
                            <wps:spPr>
                              <a:xfrm>
                                <a:off x="0" y="0"/>
                                <a:ext cx="159067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现场废气采样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262.3pt;height:26.25pt;width:125.25pt;z-index:1585751040;mso-width-relative:page;mso-height-relative:page;" fillcolor="#FFFFFF [3201]" filled="t" stroked="f" coordsize="21600,21600" o:gfxdata="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4+tNcAAAAKAQAADwAAAAAAAAABACAAAAAiAAAAZHJzL2Rvd25yZXYueG1s&#10;UEsBAhQAFAAAAAgAh07iQBKc0TAyAgAAQwQAAA4AAAAAAAAAAQAgAAAAJgEAAGRycy9lMm9Eb2Mu&#10;eG1sUEsFBgAAAAAGAAYAWQEAAMoFAAAAAA==&#10;">
                      <v:fill on="t"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现场废气采样</w:t>
                            </w:r>
                          </w:p>
                        </w:txbxContent>
                      </v:textbox>
                    </v:shape>
                  </w:pict>
                </mc:Fallback>
              </mc:AlternateContent>
            </w:r>
            <w:r>
              <w:drawing>
                <wp:inline distT="0" distB="0" distL="114300" distR="114300">
                  <wp:extent cx="2818765" cy="3586480"/>
                  <wp:effectExtent l="0" t="0" r="635" b="13970"/>
                  <wp:docPr id="9" name="图片 9" descr="微信图片_2019121310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1213104629"/>
                          <pic:cNvPicPr>
                            <a:picLocks noChangeAspect="1"/>
                          </pic:cNvPicPr>
                        </pic:nvPicPr>
                        <pic:blipFill>
                          <a:blip r:embed="rId29"/>
                          <a:stretch>
                            <a:fillRect/>
                          </a:stretch>
                        </pic:blipFill>
                        <pic:spPr>
                          <a:xfrm>
                            <a:off x="0" y="0"/>
                            <a:ext cx="2818765" cy="3586480"/>
                          </a:xfrm>
                          <a:prstGeom prst="rect">
                            <a:avLst/>
                          </a:prstGeom>
                        </pic:spPr>
                      </pic:pic>
                    </a:graphicData>
                  </a:graphic>
                </wp:inline>
              </w:drawing>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rPr>
                <w:rFonts w:hint="eastAsia" w:eastAsiaTheme="minorEastAsia"/>
                <w:lang w:eastAsia="zh-CN"/>
              </w:rPr>
            </w:pPr>
          </w:p>
        </w:tc>
      </w:tr>
    </w:tbl>
    <w:p>
      <w:pPr>
        <w:jc w:val="left"/>
        <w:rPr>
          <w:rFonts w:hint="eastAsia" w:ascii="Times New Roman" w:hAnsi="Times New Roman" w:cs="Times New Roman" w:eastAsiaTheme="minorEastAsia"/>
          <w:b/>
          <w:spacing w:val="6"/>
          <w:sz w:val="28"/>
          <w:szCs w:val="28"/>
          <w:lang w:eastAsia="zh-CN"/>
        </w:rPr>
      </w:pPr>
      <w:r>
        <w:rPr>
          <w:rFonts w:hint="eastAsia" w:ascii="Times New Roman" w:hAnsi="Times New Roman" w:cs="Times New Roman" w:eastAsiaTheme="minorEastAsia"/>
          <w:b/>
          <w:spacing w:val="6"/>
          <w:sz w:val="28"/>
          <w:szCs w:val="28"/>
          <w:lang w:eastAsia="zh-CN"/>
        </w:rPr>
        <w:drawing>
          <wp:inline distT="0" distB="0" distL="114300" distR="114300">
            <wp:extent cx="2834005" cy="4057650"/>
            <wp:effectExtent l="0" t="0" r="4445" b="0"/>
            <wp:docPr id="27" name="图片 27" descr="微信图片_2019122316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91223161802"/>
                    <pic:cNvPicPr>
                      <a:picLocks noChangeAspect="1"/>
                    </pic:cNvPicPr>
                  </pic:nvPicPr>
                  <pic:blipFill>
                    <a:blip r:embed="rId30"/>
                    <a:stretch>
                      <a:fillRect/>
                    </a:stretch>
                  </pic:blipFill>
                  <pic:spPr>
                    <a:xfrm>
                      <a:off x="0" y="0"/>
                      <a:ext cx="2834005" cy="4057650"/>
                    </a:xfrm>
                    <a:prstGeom prst="rect">
                      <a:avLst/>
                    </a:prstGeom>
                  </pic:spPr>
                </pic:pic>
              </a:graphicData>
            </a:graphic>
          </wp:inline>
        </w:drawing>
      </w:r>
      <w:r>
        <w:rPr>
          <w:rFonts w:hint="eastAsia" w:ascii="Times New Roman" w:hAnsi="Times New Roman" w:cs="Times New Roman"/>
          <w:b/>
          <w:spacing w:val="6"/>
          <w:sz w:val="28"/>
          <w:szCs w:val="28"/>
          <w:lang w:val="en-US" w:eastAsia="zh-CN"/>
        </w:rPr>
        <w:t xml:space="preserve"> </w:t>
      </w:r>
      <w:r>
        <w:rPr>
          <w:rFonts w:hint="eastAsia" w:ascii="Times New Roman" w:hAnsi="Times New Roman" w:cs="Times New Roman" w:eastAsiaTheme="minorEastAsia"/>
          <w:b/>
          <w:spacing w:val="6"/>
          <w:sz w:val="28"/>
          <w:szCs w:val="28"/>
          <w:lang w:eastAsia="zh-CN"/>
        </w:rPr>
        <w:drawing>
          <wp:inline distT="0" distB="0" distL="114300" distR="114300">
            <wp:extent cx="2564765" cy="4044950"/>
            <wp:effectExtent l="0" t="0" r="6985" b="12700"/>
            <wp:docPr id="26" name="图片 26" descr="微信图片_2019122316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191223161806"/>
                    <pic:cNvPicPr>
                      <a:picLocks noChangeAspect="1"/>
                    </pic:cNvPicPr>
                  </pic:nvPicPr>
                  <pic:blipFill>
                    <a:blip r:embed="rId31"/>
                    <a:stretch>
                      <a:fillRect/>
                    </a:stretch>
                  </pic:blipFill>
                  <pic:spPr>
                    <a:xfrm>
                      <a:off x="0" y="0"/>
                      <a:ext cx="2564765" cy="4044950"/>
                    </a:xfrm>
                    <a:prstGeom prst="rect">
                      <a:avLst/>
                    </a:prstGeom>
                  </pic:spPr>
                </pic:pic>
              </a:graphicData>
            </a:graphic>
          </wp:inline>
        </w:drawing>
      </w:r>
      <w:r>
        <w:rPr>
          <w:rFonts w:hint="eastAsia" w:ascii="Times New Roman" w:hAnsi="Times New Roman" w:cs="Times New Roman"/>
          <w:b/>
          <w:spacing w:val="6"/>
          <w:sz w:val="28"/>
          <w:szCs w:val="28"/>
          <w:lang w:val="en-US" w:eastAsia="zh-CN"/>
        </w:rPr>
        <w:t xml:space="preserve"> </w:t>
      </w:r>
      <w:r>
        <w:rPr>
          <w:rFonts w:hint="eastAsia" w:ascii="Times New Roman" w:hAnsi="Times New Roman" w:cs="Times New Roman" w:eastAsiaTheme="minorEastAsia"/>
          <w:b/>
          <w:spacing w:val="6"/>
          <w:sz w:val="28"/>
          <w:szCs w:val="28"/>
          <w:lang w:eastAsia="zh-CN"/>
        </w:rPr>
        <w:drawing>
          <wp:inline distT="0" distB="0" distL="114300" distR="114300">
            <wp:extent cx="2847340" cy="4608195"/>
            <wp:effectExtent l="0" t="0" r="10160" b="1905"/>
            <wp:docPr id="25" name="图片 25" descr="微信图片_2019122316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191223161815"/>
                    <pic:cNvPicPr>
                      <a:picLocks noChangeAspect="1"/>
                    </pic:cNvPicPr>
                  </pic:nvPicPr>
                  <pic:blipFill>
                    <a:blip r:embed="rId32"/>
                    <a:stretch>
                      <a:fillRect/>
                    </a:stretch>
                  </pic:blipFill>
                  <pic:spPr>
                    <a:xfrm>
                      <a:off x="0" y="0"/>
                      <a:ext cx="2847340" cy="4608195"/>
                    </a:xfrm>
                    <a:prstGeom prst="rect">
                      <a:avLst/>
                    </a:prstGeom>
                  </pic:spPr>
                </pic:pic>
              </a:graphicData>
            </a:graphic>
          </wp:inline>
        </w:drawing>
      </w:r>
    </w:p>
    <w:p>
      <w:pPr>
        <w:pStyle w:val="33"/>
        <w:ind w:left="0" w:leftChars="0" w:firstLine="0" w:firstLineChars="0"/>
        <w:jc w:val="left"/>
        <w:rPr>
          <w:rFonts w:hint="eastAsia" w:eastAsia="KaiTi"/>
          <w:lang w:eastAsia="zh-CN"/>
        </w:rPr>
      </w:pPr>
      <w:r>
        <w:rPr>
          <w:rFonts w:ascii="Times New Roman" w:hAnsi="Times New Roman" w:cs="Times New Roman"/>
          <w:b/>
          <w:color w:val="auto"/>
          <w:spacing w:val="6"/>
          <w:sz w:val="28"/>
          <w:szCs w:val="28"/>
        </w:rPr>
        <w:t>附件</w:t>
      </w:r>
      <w:r>
        <w:rPr>
          <w:rFonts w:hint="eastAsia" w:ascii="Times New Roman" w:hAnsi="Times New Roman" w:cs="Times New Roman"/>
          <w:b/>
          <w:color w:val="auto"/>
          <w:spacing w:val="6"/>
          <w:sz w:val="28"/>
          <w:szCs w:val="28"/>
          <w:lang w:val="en-US" w:eastAsia="zh-CN"/>
        </w:rPr>
        <w:t>6 污水处理协议</w:t>
      </w:r>
    </w:p>
    <w:p>
      <w:pPr>
        <w:pStyle w:val="2"/>
        <w:ind w:left="0" w:leftChars="0" w:firstLine="0" w:firstLineChars="0"/>
        <w:rPr>
          <w:rFonts w:ascii="Times New Roman" w:hAnsi="Times New Roman" w:cs="Times New Roman"/>
          <w:b/>
          <w:spacing w:val="6"/>
          <w:sz w:val="28"/>
          <w:szCs w:val="28"/>
        </w:rPr>
      </w:pPr>
      <w:r>
        <w:rPr>
          <w:rFonts w:hint="eastAsia" w:eastAsia="KaiTi"/>
          <w:lang w:eastAsia="zh-CN"/>
        </w:rPr>
        <w:drawing>
          <wp:inline distT="0" distB="0" distL="114300" distR="114300">
            <wp:extent cx="5759450" cy="7920990"/>
            <wp:effectExtent l="0" t="0" r="12700" b="3810"/>
            <wp:docPr id="17" name="图片 17" descr="340640955343f13270b6223adc8b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40640955343f13270b6223adc8ba66"/>
                    <pic:cNvPicPr>
                      <a:picLocks noChangeAspect="1"/>
                    </pic:cNvPicPr>
                  </pic:nvPicPr>
                  <pic:blipFill>
                    <a:blip r:embed="rId33"/>
                    <a:stretch>
                      <a:fillRect/>
                    </a:stretch>
                  </pic:blipFill>
                  <pic:spPr>
                    <a:xfrm>
                      <a:off x="0" y="0"/>
                      <a:ext cx="5759450" cy="7920990"/>
                    </a:xfrm>
                    <a:prstGeom prst="rect">
                      <a:avLst/>
                    </a:prstGeom>
                  </pic:spPr>
                </pic:pic>
              </a:graphicData>
            </a:graphic>
          </wp:inline>
        </w:drawing>
      </w:r>
      <w:r>
        <w:rPr>
          <w:rFonts w:hint="eastAsia" w:eastAsia="KaiTi"/>
          <w:lang w:eastAsia="zh-CN"/>
        </w:rPr>
        <w:drawing>
          <wp:inline distT="0" distB="0" distL="114300" distR="114300">
            <wp:extent cx="5750560" cy="8082280"/>
            <wp:effectExtent l="0" t="0" r="2540" b="13970"/>
            <wp:docPr id="24" name="图片 2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
                    <pic:cNvPicPr>
                      <a:picLocks noChangeAspect="1"/>
                    </pic:cNvPicPr>
                  </pic:nvPicPr>
                  <pic:blipFill>
                    <a:blip r:embed="rId34"/>
                    <a:stretch>
                      <a:fillRect/>
                    </a:stretch>
                  </pic:blipFill>
                  <pic:spPr>
                    <a:xfrm>
                      <a:off x="0" y="0"/>
                      <a:ext cx="5750560" cy="8082280"/>
                    </a:xfrm>
                    <a:prstGeom prst="rect">
                      <a:avLst/>
                    </a:prstGeom>
                  </pic:spPr>
                </pic:pic>
              </a:graphicData>
            </a:graphic>
          </wp:inline>
        </w:drawing>
      </w:r>
      <w:r>
        <w:rPr>
          <w:rFonts w:hint="eastAsia" w:eastAsia="KaiTi"/>
          <w:lang w:eastAsia="zh-CN"/>
        </w:rPr>
        <w:drawing>
          <wp:inline distT="0" distB="0" distL="114300" distR="114300">
            <wp:extent cx="5750560" cy="8673465"/>
            <wp:effectExtent l="0" t="0" r="2540" b="13335"/>
            <wp:docPr id="23" name="图片 2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2"/>
                    <pic:cNvPicPr>
                      <a:picLocks noChangeAspect="1"/>
                    </pic:cNvPicPr>
                  </pic:nvPicPr>
                  <pic:blipFill>
                    <a:blip r:embed="rId35"/>
                    <a:stretch>
                      <a:fillRect/>
                    </a:stretch>
                  </pic:blipFill>
                  <pic:spPr>
                    <a:xfrm>
                      <a:off x="0" y="0"/>
                      <a:ext cx="5750560" cy="8673465"/>
                    </a:xfrm>
                    <a:prstGeom prst="rect">
                      <a:avLst/>
                    </a:prstGeom>
                  </pic:spPr>
                </pic:pic>
              </a:graphicData>
            </a:graphic>
          </wp:inline>
        </w:drawing>
      </w:r>
      <w:r>
        <w:rPr>
          <w:rFonts w:hint="eastAsia" w:eastAsia="KaiTi"/>
          <w:lang w:eastAsia="zh-CN"/>
        </w:rPr>
        <w:drawing>
          <wp:inline distT="0" distB="0" distL="114300" distR="114300">
            <wp:extent cx="5750560" cy="8380730"/>
            <wp:effectExtent l="0" t="0" r="2540" b="1270"/>
            <wp:docPr id="22" name="图片 2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3"/>
                    <pic:cNvPicPr>
                      <a:picLocks noChangeAspect="1"/>
                    </pic:cNvPicPr>
                  </pic:nvPicPr>
                  <pic:blipFill>
                    <a:blip r:embed="rId36"/>
                    <a:stretch>
                      <a:fillRect/>
                    </a:stretch>
                  </pic:blipFill>
                  <pic:spPr>
                    <a:xfrm>
                      <a:off x="0" y="0"/>
                      <a:ext cx="5750560" cy="8380730"/>
                    </a:xfrm>
                    <a:prstGeom prst="rect">
                      <a:avLst/>
                    </a:prstGeom>
                  </pic:spPr>
                </pic:pic>
              </a:graphicData>
            </a:graphic>
          </wp:inline>
        </w:drawing>
      </w:r>
      <w:r>
        <w:rPr>
          <w:rFonts w:hint="eastAsia" w:eastAsia="KaiTi"/>
          <w:lang w:eastAsia="zh-CN"/>
        </w:rPr>
        <w:drawing>
          <wp:inline distT="0" distB="0" distL="114300" distR="114300">
            <wp:extent cx="5750560" cy="8199755"/>
            <wp:effectExtent l="0" t="0" r="2540" b="10795"/>
            <wp:docPr id="15" name="图片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
                    <pic:cNvPicPr>
                      <a:picLocks noChangeAspect="1"/>
                    </pic:cNvPicPr>
                  </pic:nvPicPr>
                  <pic:blipFill>
                    <a:blip r:embed="rId37"/>
                    <a:stretch>
                      <a:fillRect/>
                    </a:stretch>
                  </pic:blipFill>
                  <pic:spPr>
                    <a:xfrm>
                      <a:off x="0" y="0"/>
                      <a:ext cx="5750560" cy="8199755"/>
                    </a:xfrm>
                    <a:prstGeom prst="rect">
                      <a:avLst/>
                    </a:prstGeom>
                  </pic:spPr>
                </pic:pic>
              </a:graphicData>
            </a:graphic>
          </wp:inline>
        </w:drawing>
      </w:r>
      <w:r>
        <w:rPr>
          <w:rFonts w:hint="eastAsia" w:eastAsia="KaiTi"/>
          <w:lang w:eastAsia="zh-CN"/>
        </w:rPr>
        <w:drawing>
          <wp:inline distT="0" distB="0" distL="114300" distR="114300">
            <wp:extent cx="5750560" cy="8119745"/>
            <wp:effectExtent l="0" t="0" r="2540" b="14605"/>
            <wp:docPr id="8" name="图片 8"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5"/>
                    <pic:cNvPicPr>
                      <a:picLocks noChangeAspect="1"/>
                    </pic:cNvPicPr>
                  </pic:nvPicPr>
                  <pic:blipFill>
                    <a:blip r:embed="rId38"/>
                    <a:stretch>
                      <a:fillRect/>
                    </a:stretch>
                  </pic:blipFill>
                  <pic:spPr>
                    <a:xfrm>
                      <a:off x="0" y="0"/>
                      <a:ext cx="5750560" cy="8119745"/>
                    </a:xfrm>
                    <a:prstGeom prst="rect">
                      <a:avLst/>
                    </a:prstGeom>
                  </pic:spPr>
                </pic:pic>
              </a:graphicData>
            </a:graphic>
          </wp:inline>
        </w:drawing>
      </w:r>
      <w:r>
        <w:rPr>
          <w:rFonts w:hint="eastAsia" w:eastAsia="KaiTi"/>
          <w:lang w:eastAsia="zh-CN"/>
        </w:rPr>
        <w:drawing>
          <wp:inline distT="0" distB="0" distL="114300" distR="114300">
            <wp:extent cx="5750560" cy="8391525"/>
            <wp:effectExtent l="0" t="0" r="2540" b="9525"/>
            <wp:docPr id="6" name="图片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
                    <pic:cNvPicPr>
                      <a:picLocks noChangeAspect="1"/>
                    </pic:cNvPicPr>
                  </pic:nvPicPr>
                  <pic:blipFill>
                    <a:blip r:embed="rId39"/>
                    <a:stretch>
                      <a:fillRect/>
                    </a:stretch>
                  </pic:blipFill>
                  <pic:spPr>
                    <a:xfrm>
                      <a:off x="0" y="0"/>
                      <a:ext cx="5750560" cy="8391525"/>
                    </a:xfrm>
                    <a:prstGeom prst="rect">
                      <a:avLst/>
                    </a:prstGeom>
                  </pic:spPr>
                </pic:pic>
              </a:graphicData>
            </a:graphic>
          </wp:inline>
        </w:drawing>
      </w:r>
      <w:bookmarkStart w:id="12" w:name="_GoBack"/>
      <w:bookmarkEnd w:id="12"/>
      <w:r>
        <w:rPr>
          <w:rFonts w:ascii="Times New Roman" w:hAnsi="Times New Roman" w:cs="Times New Roman"/>
          <w:b/>
          <w:spacing w:val="6"/>
          <w:sz w:val="28"/>
          <w:szCs w:val="28"/>
        </w:rPr>
        <w:t xml:space="preserve">     </w:t>
      </w:r>
    </w:p>
    <w:sectPr>
      <w:pgSz w:w="11907" w:h="16839"/>
      <w:pgMar w:top="1440" w:right="1418" w:bottom="1440" w:left="1418" w:header="851" w:footer="992" w:gutter="0"/>
      <w:pgBorders>
        <w:top w:val="none" w:sz="0" w:space="0"/>
        <w:left w:val="none" w:sz="0" w:space="0"/>
        <w:bottom w:val="none" w:sz="0" w:space="0"/>
        <w:right w:val="none" w:sz="0" w:space="0"/>
      </w:pgBorders>
      <w:pgNumType w:fmt="decimal"/>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KaiTi">
    <w:panose1 w:val="02010609060101010101"/>
    <w:charset w:val="86"/>
    <w:family w:val="auto"/>
    <w:pitch w:val="default"/>
    <w:sig w:usb0="800002BF" w:usb1="38CF7CFA" w:usb2="00000016" w:usb3="00000000" w:csb0="00040001" w:csb1="00000000"/>
  </w:font>
  <w:font w:name="仿宋_GB2312">
    <w:altName w:val="FangSong"/>
    <w:panose1 w:val="02010609030101010101"/>
    <w:charset w:val="86"/>
    <w:family w:val="roma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华文新魏">
    <w:altName w:val="SimSun"/>
    <w:panose1 w:val="02010800040101010101"/>
    <w:charset w:val="86"/>
    <w:family w:val="auto"/>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10205"/>
        <w:tab w:val="clear" w:pos="4153"/>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10205"/>
        <w:tab w:val="clear" w:pos="4153"/>
        <w:tab w:val="clear" w:pos="8306"/>
      </w:tabs>
      <w:jc w:val="left"/>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0"/>
      </w:pBdr>
      <w:tabs>
        <w:tab w:val="right" w:pos="10205"/>
        <w:tab w:val="clear" w:pos="4153"/>
        <w:tab w:val="clear" w:pos="8306"/>
      </w:tabs>
      <w:rPr>
        <w:rFonts w:ascii="Times New Roman" w:hAnsi="Times New Roman"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10205"/>
        <w:tab w:val="clear" w:pos="4153"/>
        <w:tab w:val="clear" w:pos="8306"/>
      </w:tabs>
      <w:jc w:val="left"/>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A03379"/>
    <w:multiLevelType w:val="singleLevel"/>
    <w:tmpl w:val="97A03379"/>
    <w:lvl w:ilvl="0" w:tentative="0">
      <w:start w:val="2"/>
      <w:numFmt w:val="decimal"/>
      <w:suff w:val="nothing"/>
      <w:lvlText w:val="（%1）"/>
      <w:lvlJc w:val="left"/>
    </w:lvl>
  </w:abstractNum>
  <w:abstractNum w:abstractNumId="1">
    <w:nsid w:val="A9BBBF33"/>
    <w:multiLevelType w:val="singleLevel"/>
    <w:tmpl w:val="A9BBBF33"/>
    <w:lvl w:ilvl="0" w:tentative="0">
      <w:start w:val="4"/>
      <w:numFmt w:val="decimal"/>
      <w:lvlText w:val="(%1)"/>
      <w:lvlJc w:val="left"/>
      <w:pPr>
        <w:tabs>
          <w:tab w:val="left" w:pos="312"/>
        </w:tabs>
      </w:pPr>
    </w:lvl>
  </w:abstractNum>
  <w:abstractNum w:abstractNumId="2">
    <w:nsid w:val="B8C33A24"/>
    <w:multiLevelType w:val="singleLevel"/>
    <w:tmpl w:val="B8C33A24"/>
    <w:lvl w:ilvl="0" w:tentative="0">
      <w:start w:val="1"/>
      <w:numFmt w:val="decimal"/>
      <w:suff w:val="space"/>
      <w:lvlText w:val="%1、"/>
      <w:lvlJc w:val="left"/>
    </w:lvl>
  </w:abstractNum>
  <w:abstractNum w:abstractNumId="3">
    <w:nsid w:val="F54B57FF"/>
    <w:multiLevelType w:val="singleLevel"/>
    <w:tmpl w:val="F54B57FF"/>
    <w:lvl w:ilvl="0" w:tentative="0">
      <w:start w:val="2"/>
      <w:numFmt w:val="decimal"/>
      <w:suff w:val="nothing"/>
      <w:lvlText w:val="%1、"/>
      <w:lvlJc w:val="left"/>
    </w:lvl>
  </w:abstractNum>
  <w:abstractNum w:abstractNumId="4">
    <w:nsid w:val="58B90205"/>
    <w:multiLevelType w:val="multilevel"/>
    <w:tmpl w:val="58B90205"/>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3AC3F8A"/>
    <w:multiLevelType w:val="singleLevel"/>
    <w:tmpl w:val="63AC3F8A"/>
    <w:lvl w:ilvl="0" w:tentative="0">
      <w:start w:val="2"/>
      <w:numFmt w:val="chineseCounting"/>
      <w:suff w:val="nothing"/>
      <w:lvlText w:val="%1、"/>
      <w:lvlJc w:val="left"/>
      <w:pPr>
        <w:ind w:left="400" w:leftChars="0" w:firstLine="0" w:firstLineChars="0"/>
      </w:pPr>
      <w:rPr>
        <w:rFonts w:hint="eastAsia"/>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744"/>
    <w:rsid w:val="0000193A"/>
    <w:rsid w:val="00002C6B"/>
    <w:rsid w:val="00002F86"/>
    <w:rsid w:val="00003A5B"/>
    <w:rsid w:val="00003DB2"/>
    <w:rsid w:val="00003E72"/>
    <w:rsid w:val="00004EC7"/>
    <w:rsid w:val="000053C4"/>
    <w:rsid w:val="000055FA"/>
    <w:rsid w:val="0000643E"/>
    <w:rsid w:val="0000665D"/>
    <w:rsid w:val="00006AE9"/>
    <w:rsid w:val="00006D24"/>
    <w:rsid w:val="0000760A"/>
    <w:rsid w:val="0001072E"/>
    <w:rsid w:val="00010771"/>
    <w:rsid w:val="00010922"/>
    <w:rsid w:val="00010BCB"/>
    <w:rsid w:val="00011226"/>
    <w:rsid w:val="000119CD"/>
    <w:rsid w:val="00011A7D"/>
    <w:rsid w:val="00011AB6"/>
    <w:rsid w:val="00012470"/>
    <w:rsid w:val="00012E72"/>
    <w:rsid w:val="000150A6"/>
    <w:rsid w:val="000163A4"/>
    <w:rsid w:val="0001727C"/>
    <w:rsid w:val="00017C21"/>
    <w:rsid w:val="00020082"/>
    <w:rsid w:val="00020933"/>
    <w:rsid w:val="00020CE9"/>
    <w:rsid w:val="000214CF"/>
    <w:rsid w:val="00021A70"/>
    <w:rsid w:val="00021FD7"/>
    <w:rsid w:val="00022120"/>
    <w:rsid w:val="00022284"/>
    <w:rsid w:val="000233D4"/>
    <w:rsid w:val="00023805"/>
    <w:rsid w:val="00024476"/>
    <w:rsid w:val="00024EB2"/>
    <w:rsid w:val="00025043"/>
    <w:rsid w:val="00026EF0"/>
    <w:rsid w:val="000274ED"/>
    <w:rsid w:val="00030203"/>
    <w:rsid w:val="000316A9"/>
    <w:rsid w:val="00031ABC"/>
    <w:rsid w:val="00032718"/>
    <w:rsid w:val="000329C9"/>
    <w:rsid w:val="00033211"/>
    <w:rsid w:val="00033FC9"/>
    <w:rsid w:val="000357C1"/>
    <w:rsid w:val="0003701B"/>
    <w:rsid w:val="000373E5"/>
    <w:rsid w:val="00040724"/>
    <w:rsid w:val="00040E86"/>
    <w:rsid w:val="00041EA4"/>
    <w:rsid w:val="00041EEB"/>
    <w:rsid w:val="000421EF"/>
    <w:rsid w:val="0004225C"/>
    <w:rsid w:val="00042686"/>
    <w:rsid w:val="00042A2C"/>
    <w:rsid w:val="00043956"/>
    <w:rsid w:val="00044861"/>
    <w:rsid w:val="000448E7"/>
    <w:rsid w:val="0004596D"/>
    <w:rsid w:val="00045B3D"/>
    <w:rsid w:val="0004692A"/>
    <w:rsid w:val="00046A48"/>
    <w:rsid w:val="00046DA4"/>
    <w:rsid w:val="000504AF"/>
    <w:rsid w:val="0005196A"/>
    <w:rsid w:val="00051AF0"/>
    <w:rsid w:val="00051C48"/>
    <w:rsid w:val="00052B73"/>
    <w:rsid w:val="00052C1C"/>
    <w:rsid w:val="0005362A"/>
    <w:rsid w:val="000544ED"/>
    <w:rsid w:val="00055121"/>
    <w:rsid w:val="00055F01"/>
    <w:rsid w:val="000600AB"/>
    <w:rsid w:val="0006057F"/>
    <w:rsid w:val="000609B6"/>
    <w:rsid w:val="00060BF4"/>
    <w:rsid w:val="000628B0"/>
    <w:rsid w:val="00062B99"/>
    <w:rsid w:val="00062C25"/>
    <w:rsid w:val="00062F68"/>
    <w:rsid w:val="00063416"/>
    <w:rsid w:val="0006376E"/>
    <w:rsid w:val="00064432"/>
    <w:rsid w:val="000662BB"/>
    <w:rsid w:val="0006641F"/>
    <w:rsid w:val="00066B39"/>
    <w:rsid w:val="000670E2"/>
    <w:rsid w:val="000675E0"/>
    <w:rsid w:val="00070601"/>
    <w:rsid w:val="000714BD"/>
    <w:rsid w:val="00071516"/>
    <w:rsid w:val="0007189B"/>
    <w:rsid w:val="000720B3"/>
    <w:rsid w:val="00072CB5"/>
    <w:rsid w:val="000732ED"/>
    <w:rsid w:val="00073B1F"/>
    <w:rsid w:val="0007440D"/>
    <w:rsid w:val="00075D85"/>
    <w:rsid w:val="00076435"/>
    <w:rsid w:val="000770CE"/>
    <w:rsid w:val="00080141"/>
    <w:rsid w:val="00080C2C"/>
    <w:rsid w:val="00082248"/>
    <w:rsid w:val="000822E2"/>
    <w:rsid w:val="00082315"/>
    <w:rsid w:val="0008388E"/>
    <w:rsid w:val="00083B05"/>
    <w:rsid w:val="000840AB"/>
    <w:rsid w:val="000843F0"/>
    <w:rsid w:val="000846C8"/>
    <w:rsid w:val="00085C8B"/>
    <w:rsid w:val="00087656"/>
    <w:rsid w:val="0008798B"/>
    <w:rsid w:val="0009003F"/>
    <w:rsid w:val="0009012C"/>
    <w:rsid w:val="000902E4"/>
    <w:rsid w:val="000911E4"/>
    <w:rsid w:val="00091221"/>
    <w:rsid w:val="000919F0"/>
    <w:rsid w:val="00092352"/>
    <w:rsid w:val="00092B2A"/>
    <w:rsid w:val="00093315"/>
    <w:rsid w:val="00093783"/>
    <w:rsid w:val="00094223"/>
    <w:rsid w:val="00095C4E"/>
    <w:rsid w:val="00097A42"/>
    <w:rsid w:val="000A2028"/>
    <w:rsid w:val="000A2412"/>
    <w:rsid w:val="000A31CE"/>
    <w:rsid w:val="000A36C6"/>
    <w:rsid w:val="000A3BDC"/>
    <w:rsid w:val="000A428C"/>
    <w:rsid w:val="000A6C25"/>
    <w:rsid w:val="000A782F"/>
    <w:rsid w:val="000A7937"/>
    <w:rsid w:val="000B1F6D"/>
    <w:rsid w:val="000B2622"/>
    <w:rsid w:val="000B2844"/>
    <w:rsid w:val="000B2DB1"/>
    <w:rsid w:val="000B3851"/>
    <w:rsid w:val="000B39A5"/>
    <w:rsid w:val="000B45EA"/>
    <w:rsid w:val="000B4A97"/>
    <w:rsid w:val="000B51DA"/>
    <w:rsid w:val="000B5C4F"/>
    <w:rsid w:val="000B5C64"/>
    <w:rsid w:val="000B5EBB"/>
    <w:rsid w:val="000B6F8F"/>
    <w:rsid w:val="000B7D88"/>
    <w:rsid w:val="000B7D8A"/>
    <w:rsid w:val="000C0124"/>
    <w:rsid w:val="000C0D4F"/>
    <w:rsid w:val="000C1076"/>
    <w:rsid w:val="000C17FC"/>
    <w:rsid w:val="000C1F05"/>
    <w:rsid w:val="000C2C0B"/>
    <w:rsid w:val="000C3431"/>
    <w:rsid w:val="000C3668"/>
    <w:rsid w:val="000C36AE"/>
    <w:rsid w:val="000C405F"/>
    <w:rsid w:val="000C4B67"/>
    <w:rsid w:val="000C4C6A"/>
    <w:rsid w:val="000C4DEE"/>
    <w:rsid w:val="000C4F51"/>
    <w:rsid w:val="000C59A0"/>
    <w:rsid w:val="000C5C92"/>
    <w:rsid w:val="000C5FF9"/>
    <w:rsid w:val="000C6040"/>
    <w:rsid w:val="000C6661"/>
    <w:rsid w:val="000D0497"/>
    <w:rsid w:val="000D1985"/>
    <w:rsid w:val="000D20A4"/>
    <w:rsid w:val="000D4010"/>
    <w:rsid w:val="000D43F2"/>
    <w:rsid w:val="000D4DD1"/>
    <w:rsid w:val="000D5403"/>
    <w:rsid w:val="000D571F"/>
    <w:rsid w:val="000D5729"/>
    <w:rsid w:val="000D5ACE"/>
    <w:rsid w:val="000D600D"/>
    <w:rsid w:val="000D6163"/>
    <w:rsid w:val="000D75A5"/>
    <w:rsid w:val="000D7AA3"/>
    <w:rsid w:val="000D7C0D"/>
    <w:rsid w:val="000D7CE0"/>
    <w:rsid w:val="000E0BAC"/>
    <w:rsid w:val="000E1247"/>
    <w:rsid w:val="000E1434"/>
    <w:rsid w:val="000E34B7"/>
    <w:rsid w:val="000E44F8"/>
    <w:rsid w:val="000E52E9"/>
    <w:rsid w:val="000E554F"/>
    <w:rsid w:val="000E6167"/>
    <w:rsid w:val="000E6B63"/>
    <w:rsid w:val="000E6C68"/>
    <w:rsid w:val="000E78D4"/>
    <w:rsid w:val="000E7974"/>
    <w:rsid w:val="000F18EA"/>
    <w:rsid w:val="000F1A41"/>
    <w:rsid w:val="000F1FCF"/>
    <w:rsid w:val="000F2805"/>
    <w:rsid w:val="000F2AFE"/>
    <w:rsid w:val="000F2C84"/>
    <w:rsid w:val="000F2D2A"/>
    <w:rsid w:val="000F30CC"/>
    <w:rsid w:val="000F5AE1"/>
    <w:rsid w:val="000F6390"/>
    <w:rsid w:val="000F7C46"/>
    <w:rsid w:val="00101744"/>
    <w:rsid w:val="001018DF"/>
    <w:rsid w:val="00102278"/>
    <w:rsid w:val="001027BE"/>
    <w:rsid w:val="00102D1F"/>
    <w:rsid w:val="00102FB4"/>
    <w:rsid w:val="00103DC3"/>
    <w:rsid w:val="00103E9F"/>
    <w:rsid w:val="00104546"/>
    <w:rsid w:val="00105791"/>
    <w:rsid w:val="001071E0"/>
    <w:rsid w:val="001106C5"/>
    <w:rsid w:val="00111A62"/>
    <w:rsid w:val="00112C96"/>
    <w:rsid w:val="00112ECA"/>
    <w:rsid w:val="00113926"/>
    <w:rsid w:val="0011406E"/>
    <w:rsid w:val="00114465"/>
    <w:rsid w:val="00114CAC"/>
    <w:rsid w:val="00114CAE"/>
    <w:rsid w:val="00115303"/>
    <w:rsid w:val="001157C1"/>
    <w:rsid w:val="00116212"/>
    <w:rsid w:val="0011621C"/>
    <w:rsid w:val="001168AE"/>
    <w:rsid w:val="00116E57"/>
    <w:rsid w:val="00117C2B"/>
    <w:rsid w:val="00120293"/>
    <w:rsid w:val="00120FA3"/>
    <w:rsid w:val="00121DD6"/>
    <w:rsid w:val="00122405"/>
    <w:rsid w:val="00123A6D"/>
    <w:rsid w:val="00123B43"/>
    <w:rsid w:val="00124F8E"/>
    <w:rsid w:val="001251D5"/>
    <w:rsid w:val="00125522"/>
    <w:rsid w:val="00125789"/>
    <w:rsid w:val="00125BE4"/>
    <w:rsid w:val="0012631C"/>
    <w:rsid w:val="00126981"/>
    <w:rsid w:val="00127BF5"/>
    <w:rsid w:val="00130834"/>
    <w:rsid w:val="00130A14"/>
    <w:rsid w:val="00130A42"/>
    <w:rsid w:val="00130B63"/>
    <w:rsid w:val="0013105D"/>
    <w:rsid w:val="00133395"/>
    <w:rsid w:val="00133EC6"/>
    <w:rsid w:val="001347B7"/>
    <w:rsid w:val="00134EA3"/>
    <w:rsid w:val="00135132"/>
    <w:rsid w:val="00137164"/>
    <w:rsid w:val="00137A13"/>
    <w:rsid w:val="0014018C"/>
    <w:rsid w:val="001405D6"/>
    <w:rsid w:val="00141819"/>
    <w:rsid w:val="00141A6A"/>
    <w:rsid w:val="00141D5B"/>
    <w:rsid w:val="00141D86"/>
    <w:rsid w:val="00141FC5"/>
    <w:rsid w:val="001437B7"/>
    <w:rsid w:val="00144A7C"/>
    <w:rsid w:val="001455AE"/>
    <w:rsid w:val="001470D2"/>
    <w:rsid w:val="0015099E"/>
    <w:rsid w:val="00150C2E"/>
    <w:rsid w:val="00151A64"/>
    <w:rsid w:val="00151A6B"/>
    <w:rsid w:val="00152C60"/>
    <w:rsid w:val="00153B98"/>
    <w:rsid w:val="001542B3"/>
    <w:rsid w:val="00157924"/>
    <w:rsid w:val="0016085D"/>
    <w:rsid w:val="0016119A"/>
    <w:rsid w:val="00161985"/>
    <w:rsid w:val="00161A0A"/>
    <w:rsid w:val="00162279"/>
    <w:rsid w:val="0016268A"/>
    <w:rsid w:val="00162E1A"/>
    <w:rsid w:val="0016370F"/>
    <w:rsid w:val="001642C1"/>
    <w:rsid w:val="00164390"/>
    <w:rsid w:val="00166847"/>
    <w:rsid w:val="00167E77"/>
    <w:rsid w:val="00170462"/>
    <w:rsid w:val="001718A5"/>
    <w:rsid w:val="00172470"/>
    <w:rsid w:val="001730BA"/>
    <w:rsid w:val="00173274"/>
    <w:rsid w:val="00173B22"/>
    <w:rsid w:val="00174F8F"/>
    <w:rsid w:val="001754DF"/>
    <w:rsid w:val="0017638C"/>
    <w:rsid w:val="0017649E"/>
    <w:rsid w:val="00176E1D"/>
    <w:rsid w:val="00177CDD"/>
    <w:rsid w:val="0018014A"/>
    <w:rsid w:val="00180811"/>
    <w:rsid w:val="0018092D"/>
    <w:rsid w:val="00182A45"/>
    <w:rsid w:val="0018342C"/>
    <w:rsid w:val="00183C40"/>
    <w:rsid w:val="001852E6"/>
    <w:rsid w:val="001861FC"/>
    <w:rsid w:val="0018639B"/>
    <w:rsid w:val="001868E6"/>
    <w:rsid w:val="001870EE"/>
    <w:rsid w:val="001874B9"/>
    <w:rsid w:val="001905F5"/>
    <w:rsid w:val="001911FC"/>
    <w:rsid w:val="001915EC"/>
    <w:rsid w:val="001921EF"/>
    <w:rsid w:val="00193465"/>
    <w:rsid w:val="00194155"/>
    <w:rsid w:val="00194448"/>
    <w:rsid w:val="00194891"/>
    <w:rsid w:val="00195426"/>
    <w:rsid w:val="00195766"/>
    <w:rsid w:val="00195BEA"/>
    <w:rsid w:val="0019607D"/>
    <w:rsid w:val="00196632"/>
    <w:rsid w:val="00197FCE"/>
    <w:rsid w:val="001A06D7"/>
    <w:rsid w:val="001A1027"/>
    <w:rsid w:val="001A1B53"/>
    <w:rsid w:val="001A1F61"/>
    <w:rsid w:val="001A2AC3"/>
    <w:rsid w:val="001A2E16"/>
    <w:rsid w:val="001A2E49"/>
    <w:rsid w:val="001A3BE6"/>
    <w:rsid w:val="001A48FE"/>
    <w:rsid w:val="001A52A9"/>
    <w:rsid w:val="001A5772"/>
    <w:rsid w:val="001A5C80"/>
    <w:rsid w:val="001A695C"/>
    <w:rsid w:val="001A7779"/>
    <w:rsid w:val="001A7A2C"/>
    <w:rsid w:val="001B0089"/>
    <w:rsid w:val="001B00CB"/>
    <w:rsid w:val="001B1162"/>
    <w:rsid w:val="001B17BC"/>
    <w:rsid w:val="001B4D1F"/>
    <w:rsid w:val="001B5F8A"/>
    <w:rsid w:val="001B6B14"/>
    <w:rsid w:val="001B7BAC"/>
    <w:rsid w:val="001C0A84"/>
    <w:rsid w:val="001C0B08"/>
    <w:rsid w:val="001C1967"/>
    <w:rsid w:val="001C1A78"/>
    <w:rsid w:val="001C1D2E"/>
    <w:rsid w:val="001C1E1E"/>
    <w:rsid w:val="001C1F3B"/>
    <w:rsid w:val="001C21AE"/>
    <w:rsid w:val="001C2791"/>
    <w:rsid w:val="001C3404"/>
    <w:rsid w:val="001C44E5"/>
    <w:rsid w:val="001C4527"/>
    <w:rsid w:val="001C481F"/>
    <w:rsid w:val="001C494E"/>
    <w:rsid w:val="001C4B0C"/>
    <w:rsid w:val="001C559B"/>
    <w:rsid w:val="001C55FE"/>
    <w:rsid w:val="001C5CC2"/>
    <w:rsid w:val="001C7223"/>
    <w:rsid w:val="001C77FB"/>
    <w:rsid w:val="001C7D0A"/>
    <w:rsid w:val="001C7DD8"/>
    <w:rsid w:val="001C7F82"/>
    <w:rsid w:val="001D096F"/>
    <w:rsid w:val="001D0E98"/>
    <w:rsid w:val="001D1418"/>
    <w:rsid w:val="001D3C87"/>
    <w:rsid w:val="001D43B4"/>
    <w:rsid w:val="001D4B16"/>
    <w:rsid w:val="001D558B"/>
    <w:rsid w:val="001D5BB6"/>
    <w:rsid w:val="001D5D43"/>
    <w:rsid w:val="001D6BA1"/>
    <w:rsid w:val="001D7B44"/>
    <w:rsid w:val="001D7C73"/>
    <w:rsid w:val="001E0E54"/>
    <w:rsid w:val="001E10AD"/>
    <w:rsid w:val="001E16A9"/>
    <w:rsid w:val="001E1E07"/>
    <w:rsid w:val="001E243A"/>
    <w:rsid w:val="001E39AB"/>
    <w:rsid w:val="001E3AE6"/>
    <w:rsid w:val="001E4278"/>
    <w:rsid w:val="001E4B18"/>
    <w:rsid w:val="001E56EC"/>
    <w:rsid w:val="001E5ED4"/>
    <w:rsid w:val="001E5FC5"/>
    <w:rsid w:val="001E67B9"/>
    <w:rsid w:val="001F00F0"/>
    <w:rsid w:val="001F10BB"/>
    <w:rsid w:val="001F118A"/>
    <w:rsid w:val="001F15E5"/>
    <w:rsid w:val="001F1920"/>
    <w:rsid w:val="001F1BDF"/>
    <w:rsid w:val="001F275A"/>
    <w:rsid w:val="001F28C6"/>
    <w:rsid w:val="001F5350"/>
    <w:rsid w:val="001F6A20"/>
    <w:rsid w:val="001F6A56"/>
    <w:rsid w:val="001F6E36"/>
    <w:rsid w:val="001F7EF1"/>
    <w:rsid w:val="002005EB"/>
    <w:rsid w:val="002008F5"/>
    <w:rsid w:val="00200DDA"/>
    <w:rsid w:val="00201595"/>
    <w:rsid w:val="00201E8A"/>
    <w:rsid w:val="00202684"/>
    <w:rsid w:val="00202F43"/>
    <w:rsid w:val="002037EC"/>
    <w:rsid w:val="00203832"/>
    <w:rsid w:val="00203BC4"/>
    <w:rsid w:val="00204021"/>
    <w:rsid w:val="002043F8"/>
    <w:rsid w:val="00205133"/>
    <w:rsid w:val="002066D7"/>
    <w:rsid w:val="002075A9"/>
    <w:rsid w:val="00207658"/>
    <w:rsid w:val="00210870"/>
    <w:rsid w:val="00210A0D"/>
    <w:rsid w:val="00211EDF"/>
    <w:rsid w:val="0021254B"/>
    <w:rsid w:val="00212B04"/>
    <w:rsid w:val="002142EE"/>
    <w:rsid w:val="002147BC"/>
    <w:rsid w:val="00214DF5"/>
    <w:rsid w:val="00215662"/>
    <w:rsid w:val="00215EFF"/>
    <w:rsid w:val="00216B38"/>
    <w:rsid w:val="00220BF3"/>
    <w:rsid w:val="00221889"/>
    <w:rsid w:val="00222D9E"/>
    <w:rsid w:val="00224333"/>
    <w:rsid w:val="00224578"/>
    <w:rsid w:val="00224BC2"/>
    <w:rsid w:val="00225AFF"/>
    <w:rsid w:val="00225C40"/>
    <w:rsid w:val="00225F28"/>
    <w:rsid w:val="0022616F"/>
    <w:rsid w:val="00226571"/>
    <w:rsid w:val="00226920"/>
    <w:rsid w:val="002269A8"/>
    <w:rsid w:val="00226AB3"/>
    <w:rsid w:val="00227845"/>
    <w:rsid w:val="00227C75"/>
    <w:rsid w:val="002307E9"/>
    <w:rsid w:val="00231757"/>
    <w:rsid w:val="00232491"/>
    <w:rsid w:val="00234AB7"/>
    <w:rsid w:val="00234C8C"/>
    <w:rsid w:val="00235EFC"/>
    <w:rsid w:val="0023635C"/>
    <w:rsid w:val="00237725"/>
    <w:rsid w:val="002378CC"/>
    <w:rsid w:val="00237B1E"/>
    <w:rsid w:val="0024006C"/>
    <w:rsid w:val="00240271"/>
    <w:rsid w:val="0024087A"/>
    <w:rsid w:val="002416BC"/>
    <w:rsid w:val="002420AC"/>
    <w:rsid w:val="002422C1"/>
    <w:rsid w:val="00242FF9"/>
    <w:rsid w:val="00243662"/>
    <w:rsid w:val="002439BE"/>
    <w:rsid w:val="00244489"/>
    <w:rsid w:val="00244F83"/>
    <w:rsid w:val="002454A8"/>
    <w:rsid w:val="002454FF"/>
    <w:rsid w:val="00245B99"/>
    <w:rsid w:val="00245CE6"/>
    <w:rsid w:val="00246D83"/>
    <w:rsid w:val="002476D1"/>
    <w:rsid w:val="00247E37"/>
    <w:rsid w:val="00250787"/>
    <w:rsid w:val="00250ECA"/>
    <w:rsid w:val="00251D53"/>
    <w:rsid w:val="00254A3C"/>
    <w:rsid w:val="00255B89"/>
    <w:rsid w:val="00255DCF"/>
    <w:rsid w:val="00256C00"/>
    <w:rsid w:val="00257C98"/>
    <w:rsid w:val="00260650"/>
    <w:rsid w:val="002606B2"/>
    <w:rsid w:val="00260E14"/>
    <w:rsid w:val="00260E18"/>
    <w:rsid w:val="00261BBB"/>
    <w:rsid w:val="00261E26"/>
    <w:rsid w:val="00262245"/>
    <w:rsid w:val="00262E3F"/>
    <w:rsid w:val="002645E5"/>
    <w:rsid w:val="00264769"/>
    <w:rsid w:val="00264F8F"/>
    <w:rsid w:val="00266829"/>
    <w:rsid w:val="0026709E"/>
    <w:rsid w:val="00267E7B"/>
    <w:rsid w:val="0027097B"/>
    <w:rsid w:val="002718C6"/>
    <w:rsid w:val="00273002"/>
    <w:rsid w:val="00274CF1"/>
    <w:rsid w:val="00275129"/>
    <w:rsid w:val="00275250"/>
    <w:rsid w:val="002762F4"/>
    <w:rsid w:val="00276579"/>
    <w:rsid w:val="002766BB"/>
    <w:rsid w:val="0027719F"/>
    <w:rsid w:val="00277A76"/>
    <w:rsid w:val="002816D9"/>
    <w:rsid w:val="00282B17"/>
    <w:rsid w:val="00282F5E"/>
    <w:rsid w:val="00283BBB"/>
    <w:rsid w:val="00283DE7"/>
    <w:rsid w:val="00283E47"/>
    <w:rsid w:val="002849A0"/>
    <w:rsid w:val="00284A12"/>
    <w:rsid w:val="00284B7C"/>
    <w:rsid w:val="00284F51"/>
    <w:rsid w:val="002865C6"/>
    <w:rsid w:val="002869A9"/>
    <w:rsid w:val="00286B1F"/>
    <w:rsid w:val="00287662"/>
    <w:rsid w:val="00287839"/>
    <w:rsid w:val="00287A9B"/>
    <w:rsid w:val="002906A2"/>
    <w:rsid w:val="00290FAB"/>
    <w:rsid w:val="0029120F"/>
    <w:rsid w:val="002914DA"/>
    <w:rsid w:val="002924FB"/>
    <w:rsid w:val="00292EB1"/>
    <w:rsid w:val="00294376"/>
    <w:rsid w:val="00294AD3"/>
    <w:rsid w:val="00295EA7"/>
    <w:rsid w:val="0029634D"/>
    <w:rsid w:val="00297222"/>
    <w:rsid w:val="00297D5C"/>
    <w:rsid w:val="002A091C"/>
    <w:rsid w:val="002A0FE5"/>
    <w:rsid w:val="002A29F3"/>
    <w:rsid w:val="002A2B33"/>
    <w:rsid w:val="002A2EF5"/>
    <w:rsid w:val="002A2FA8"/>
    <w:rsid w:val="002A503B"/>
    <w:rsid w:val="002A5A1F"/>
    <w:rsid w:val="002A5AF3"/>
    <w:rsid w:val="002A6564"/>
    <w:rsid w:val="002A6AB9"/>
    <w:rsid w:val="002A6BDC"/>
    <w:rsid w:val="002A7B59"/>
    <w:rsid w:val="002B0F9E"/>
    <w:rsid w:val="002B16DD"/>
    <w:rsid w:val="002B1E82"/>
    <w:rsid w:val="002B3E1A"/>
    <w:rsid w:val="002B525D"/>
    <w:rsid w:val="002B5276"/>
    <w:rsid w:val="002B6472"/>
    <w:rsid w:val="002B68FF"/>
    <w:rsid w:val="002B6A0D"/>
    <w:rsid w:val="002B79C9"/>
    <w:rsid w:val="002B7F63"/>
    <w:rsid w:val="002C0E03"/>
    <w:rsid w:val="002C174E"/>
    <w:rsid w:val="002C1802"/>
    <w:rsid w:val="002C1A8B"/>
    <w:rsid w:val="002C2A85"/>
    <w:rsid w:val="002C2B7E"/>
    <w:rsid w:val="002C2D26"/>
    <w:rsid w:val="002C4ACE"/>
    <w:rsid w:val="002C4C76"/>
    <w:rsid w:val="002C533B"/>
    <w:rsid w:val="002C5B1E"/>
    <w:rsid w:val="002C6265"/>
    <w:rsid w:val="002C63CE"/>
    <w:rsid w:val="002C6791"/>
    <w:rsid w:val="002D02B6"/>
    <w:rsid w:val="002D0387"/>
    <w:rsid w:val="002D1575"/>
    <w:rsid w:val="002D216E"/>
    <w:rsid w:val="002D2646"/>
    <w:rsid w:val="002D28AB"/>
    <w:rsid w:val="002D2F52"/>
    <w:rsid w:val="002D2F7D"/>
    <w:rsid w:val="002D3019"/>
    <w:rsid w:val="002D336F"/>
    <w:rsid w:val="002D3782"/>
    <w:rsid w:val="002D3EBB"/>
    <w:rsid w:val="002D4C7F"/>
    <w:rsid w:val="002D4FDF"/>
    <w:rsid w:val="002D51EF"/>
    <w:rsid w:val="002D5660"/>
    <w:rsid w:val="002D65D1"/>
    <w:rsid w:val="002D668B"/>
    <w:rsid w:val="002D6F31"/>
    <w:rsid w:val="002D7C54"/>
    <w:rsid w:val="002E2564"/>
    <w:rsid w:val="002E33B1"/>
    <w:rsid w:val="002E4257"/>
    <w:rsid w:val="002E51E6"/>
    <w:rsid w:val="002E6EAD"/>
    <w:rsid w:val="002E6FCA"/>
    <w:rsid w:val="002F1193"/>
    <w:rsid w:val="002F14A7"/>
    <w:rsid w:val="002F14E7"/>
    <w:rsid w:val="002F275D"/>
    <w:rsid w:val="002F27C8"/>
    <w:rsid w:val="002F2F9C"/>
    <w:rsid w:val="002F3EC3"/>
    <w:rsid w:val="002F4232"/>
    <w:rsid w:val="002F51B6"/>
    <w:rsid w:val="002F52F1"/>
    <w:rsid w:val="002F6302"/>
    <w:rsid w:val="002F67DB"/>
    <w:rsid w:val="002F70D9"/>
    <w:rsid w:val="002F7A8A"/>
    <w:rsid w:val="002F7DCC"/>
    <w:rsid w:val="00300102"/>
    <w:rsid w:val="00300803"/>
    <w:rsid w:val="00300DAA"/>
    <w:rsid w:val="00300EBA"/>
    <w:rsid w:val="0030144B"/>
    <w:rsid w:val="00301589"/>
    <w:rsid w:val="00301E60"/>
    <w:rsid w:val="0030200E"/>
    <w:rsid w:val="003027FF"/>
    <w:rsid w:val="00302A37"/>
    <w:rsid w:val="00302A84"/>
    <w:rsid w:val="00303773"/>
    <w:rsid w:val="00303B4C"/>
    <w:rsid w:val="00303F22"/>
    <w:rsid w:val="00304289"/>
    <w:rsid w:val="003058E1"/>
    <w:rsid w:val="00306A8C"/>
    <w:rsid w:val="00306B32"/>
    <w:rsid w:val="00306C45"/>
    <w:rsid w:val="00306F5A"/>
    <w:rsid w:val="003073E3"/>
    <w:rsid w:val="00307CF0"/>
    <w:rsid w:val="003110A2"/>
    <w:rsid w:val="00311797"/>
    <w:rsid w:val="003135FB"/>
    <w:rsid w:val="003136BE"/>
    <w:rsid w:val="003146A5"/>
    <w:rsid w:val="00314DAB"/>
    <w:rsid w:val="0031514E"/>
    <w:rsid w:val="00315407"/>
    <w:rsid w:val="00315BE3"/>
    <w:rsid w:val="00316883"/>
    <w:rsid w:val="00316BCC"/>
    <w:rsid w:val="00316C4D"/>
    <w:rsid w:val="00317690"/>
    <w:rsid w:val="003176C1"/>
    <w:rsid w:val="00320E82"/>
    <w:rsid w:val="00320FFF"/>
    <w:rsid w:val="0032114C"/>
    <w:rsid w:val="00321334"/>
    <w:rsid w:val="0032196E"/>
    <w:rsid w:val="0032296F"/>
    <w:rsid w:val="003234BB"/>
    <w:rsid w:val="003235CC"/>
    <w:rsid w:val="00323D28"/>
    <w:rsid w:val="00323DB5"/>
    <w:rsid w:val="00323E13"/>
    <w:rsid w:val="0032582F"/>
    <w:rsid w:val="00325994"/>
    <w:rsid w:val="00325C36"/>
    <w:rsid w:val="00325CA6"/>
    <w:rsid w:val="00326630"/>
    <w:rsid w:val="003271D2"/>
    <w:rsid w:val="003276BC"/>
    <w:rsid w:val="00327BBA"/>
    <w:rsid w:val="00331076"/>
    <w:rsid w:val="003312EF"/>
    <w:rsid w:val="00331794"/>
    <w:rsid w:val="00331E5C"/>
    <w:rsid w:val="00332196"/>
    <w:rsid w:val="00332E4D"/>
    <w:rsid w:val="00333104"/>
    <w:rsid w:val="0033369F"/>
    <w:rsid w:val="00334D17"/>
    <w:rsid w:val="003352E4"/>
    <w:rsid w:val="003360FE"/>
    <w:rsid w:val="00337ADD"/>
    <w:rsid w:val="00342977"/>
    <w:rsid w:val="00342A07"/>
    <w:rsid w:val="003432B4"/>
    <w:rsid w:val="00343859"/>
    <w:rsid w:val="00343914"/>
    <w:rsid w:val="00343E19"/>
    <w:rsid w:val="00344522"/>
    <w:rsid w:val="00344F10"/>
    <w:rsid w:val="003455FD"/>
    <w:rsid w:val="00345A0F"/>
    <w:rsid w:val="00345C05"/>
    <w:rsid w:val="00346308"/>
    <w:rsid w:val="00346514"/>
    <w:rsid w:val="00346640"/>
    <w:rsid w:val="003466A6"/>
    <w:rsid w:val="003467B8"/>
    <w:rsid w:val="003467D0"/>
    <w:rsid w:val="00347FAB"/>
    <w:rsid w:val="003501FA"/>
    <w:rsid w:val="00350C28"/>
    <w:rsid w:val="00352425"/>
    <w:rsid w:val="00352A83"/>
    <w:rsid w:val="00353108"/>
    <w:rsid w:val="00353B27"/>
    <w:rsid w:val="00353DFB"/>
    <w:rsid w:val="00354A8C"/>
    <w:rsid w:val="00354AC4"/>
    <w:rsid w:val="00354DCA"/>
    <w:rsid w:val="00355900"/>
    <w:rsid w:val="0035596C"/>
    <w:rsid w:val="00355B65"/>
    <w:rsid w:val="00355CAA"/>
    <w:rsid w:val="00360371"/>
    <w:rsid w:val="0036111E"/>
    <w:rsid w:val="00361DA1"/>
    <w:rsid w:val="003621AD"/>
    <w:rsid w:val="003623AD"/>
    <w:rsid w:val="00362692"/>
    <w:rsid w:val="00362EFB"/>
    <w:rsid w:val="0036341A"/>
    <w:rsid w:val="00363887"/>
    <w:rsid w:val="00363C5A"/>
    <w:rsid w:val="003655A9"/>
    <w:rsid w:val="00365D7E"/>
    <w:rsid w:val="003661C5"/>
    <w:rsid w:val="00366620"/>
    <w:rsid w:val="003667DA"/>
    <w:rsid w:val="00367512"/>
    <w:rsid w:val="00373615"/>
    <w:rsid w:val="00373893"/>
    <w:rsid w:val="00373C3C"/>
    <w:rsid w:val="00373E74"/>
    <w:rsid w:val="003745C7"/>
    <w:rsid w:val="00375192"/>
    <w:rsid w:val="00375A77"/>
    <w:rsid w:val="00375B79"/>
    <w:rsid w:val="0037669D"/>
    <w:rsid w:val="003768B8"/>
    <w:rsid w:val="003773F3"/>
    <w:rsid w:val="003801DA"/>
    <w:rsid w:val="003806D1"/>
    <w:rsid w:val="0038288A"/>
    <w:rsid w:val="00382C1D"/>
    <w:rsid w:val="00382DBE"/>
    <w:rsid w:val="00382ED8"/>
    <w:rsid w:val="00383450"/>
    <w:rsid w:val="00383A3B"/>
    <w:rsid w:val="00384AE2"/>
    <w:rsid w:val="0038501F"/>
    <w:rsid w:val="003854DF"/>
    <w:rsid w:val="00385822"/>
    <w:rsid w:val="00387B92"/>
    <w:rsid w:val="00390710"/>
    <w:rsid w:val="00393405"/>
    <w:rsid w:val="003935D7"/>
    <w:rsid w:val="00393FD0"/>
    <w:rsid w:val="003942F0"/>
    <w:rsid w:val="00394337"/>
    <w:rsid w:val="003943F9"/>
    <w:rsid w:val="00397FE4"/>
    <w:rsid w:val="003A0292"/>
    <w:rsid w:val="003A0567"/>
    <w:rsid w:val="003A0708"/>
    <w:rsid w:val="003A0D39"/>
    <w:rsid w:val="003A1540"/>
    <w:rsid w:val="003A1B24"/>
    <w:rsid w:val="003A383C"/>
    <w:rsid w:val="003A3C42"/>
    <w:rsid w:val="003A42A0"/>
    <w:rsid w:val="003A4578"/>
    <w:rsid w:val="003A553C"/>
    <w:rsid w:val="003A77E2"/>
    <w:rsid w:val="003A78A3"/>
    <w:rsid w:val="003A7AAB"/>
    <w:rsid w:val="003A7AC1"/>
    <w:rsid w:val="003A7E15"/>
    <w:rsid w:val="003B0025"/>
    <w:rsid w:val="003B0A9B"/>
    <w:rsid w:val="003B17A8"/>
    <w:rsid w:val="003B17CF"/>
    <w:rsid w:val="003B1DD8"/>
    <w:rsid w:val="003B2177"/>
    <w:rsid w:val="003B2768"/>
    <w:rsid w:val="003B320C"/>
    <w:rsid w:val="003B3BA5"/>
    <w:rsid w:val="003B47BA"/>
    <w:rsid w:val="003B4DB9"/>
    <w:rsid w:val="003B4FC9"/>
    <w:rsid w:val="003B6874"/>
    <w:rsid w:val="003B694F"/>
    <w:rsid w:val="003B6F2F"/>
    <w:rsid w:val="003B7684"/>
    <w:rsid w:val="003C0AD8"/>
    <w:rsid w:val="003C0B1F"/>
    <w:rsid w:val="003C1644"/>
    <w:rsid w:val="003C24DF"/>
    <w:rsid w:val="003C39A8"/>
    <w:rsid w:val="003C3D7F"/>
    <w:rsid w:val="003C415C"/>
    <w:rsid w:val="003C4449"/>
    <w:rsid w:val="003C4CDB"/>
    <w:rsid w:val="003C51DA"/>
    <w:rsid w:val="003C5614"/>
    <w:rsid w:val="003C58FC"/>
    <w:rsid w:val="003C5C7E"/>
    <w:rsid w:val="003C5DC6"/>
    <w:rsid w:val="003C5E97"/>
    <w:rsid w:val="003C7F31"/>
    <w:rsid w:val="003D04EB"/>
    <w:rsid w:val="003D1711"/>
    <w:rsid w:val="003D2279"/>
    <w:rsid w:val="003D2304"/>
    <w:rsid w:val="003D2F9E"/>
    <w:rsid w:val="003D3F98"/>
    <w:rsid w:val="003D547A"/>
    <w:rsid w:val="003D5E8F"/>
    <w:rsid w:val="003D5FED"/>
    <w:rsid w:val="003D6093"/>
    <w:rsid w:val="003D641E"/>
    <w:rsid w:val="003D6540"/>
    <w:rsid w:val="003D68F2"/>
    <w:rsid w:val="003D7000"/>
    <w:rsid w:val="003D7CE4"/>
    <w:rsid w:val="003E18DB"/>
    <w:rsid w:val="003E1BE9"/>
    <w:rsid w:val="003E225E"/>
    <w:rsid w:val="003E2999"/>
    <w:rsid w:val="003E3F25"/>
    <w:rsid w:val="003F0869"/>
    <w:rsid w:val="003F15E8"/>
    <w:rsid w:val="003F1B9A"/>
    <w:rsid w:val="003F3AB4"/>
    <w:rsid w:val="003F4BB9"/>
    <w:rsid w:val="003F598B"/>
    <w:rsid w:val="003F68EB"/>
    <w:rsid w:val="003F728B"/>
    <w:rsid w:val="003F78D9"/>
    <w:rsid w:val="00400215"/>
    <w:rsid w:val="0040083F"/>
    <w:rsid w:val="00400AEB"/>
    <w:rsid w:val="0040114E"/>
    <w:rsid w:val="00402151"/>
    <w:rsid w:val="004021EB"/>
    <w:rsid w:val="0040262D"/>
    <w:rsid w:val="00403D73"/>
    <w:rsid w:val="004048D7"/>
    <w:rsid w:val="0040629B"/>
    <w:rsid w:val="00406904"/>
    <w:rsid w:val="00406D3B"/>
    <w:rsid w:val="00406DF5"/>
    <w:rsid w:val="00407FA0"/>
    <w:rsid w:val="00410C18"/>
    <w:rsid w:val="00410F31"/>
    <w:rsid w:val="00411C36"/>
    <w:rsid w:val="00411DB3"/>
    <w:rsid w:val="004130F4"/>
    <w:rsid w:val="0041327B"/>
    <w:rsid w:val="0041327D"/>
    <w:rsid w:val="00413586"/>
    <w:rsid w:val="00413931"/>
    <w:rsid w:val="00413FFF"/>
    <w:rsid w:val="00414042"/>
    <w:rsid w:val="004162B6"/>
    <w:rsid w:val="004165BA"/>
    <w:rsid w:val="00417790"/>
    <w:rsid w:val="00420618"/>
    <w:rsid w:val="00420D31"/>
    <w:rsid w:val="00420EE5"/>
    <w:rsid w:val="004215C4"/>
    <w:rsid w:val="004216AE"/>
    <w:rsid w:val="004219AA"/>
    <w:rsid w:val="0042293E"/>
    <w:rsid w:val="00422DA5"/>
    <w:rsid w:val="004231E0"/>
    <w:rsid w:val="0042371B"/>
    <w:rsid w:val="004237FE"/>
    <w:rsid w:val="00423989"/>
    <w:rsid w:val="00423C2B"/>
    <w:rsid w:val="004245F5"/>
    <w:rsid w:val="00424731"/>
    <w:rsid w:val="00425353"/>
    <w:rsid w:val="004256EF"/>
    <w:rsid w:val="0042607C"/>
    <w:rsid w:val="00426F77"/>
    <w:rsid w:val="00427AAA"/>
    <w:rsid w:val="0043003C"/>
    <w:rsid w:val="004300E4"/>
    <w:rsid w:val="00430C43"/>
    <w:rsid w:val="00430C7B"/>
    <w:rsid w:val="00430FC4"/>
    <w:rsid w:val="00431154"/>
    <w:rsid w:val="004311C8"/>
    <w:rsid w:val="00432160"/>
    <w:rsid w:val="00432253"/>
    <w:rsid w:val="00432921"/>
    <w:rsid w:val="00432AEF"/>
    <w:rsid w:val="00432C96"/>
    <w:rsid w:val="004337BD"/>
    <w:rsid w:val="00434362"/>
    <w:rsid w:val="00434EF7"/>
    <w:rsid w:val="004357D6"/>
    <w:rsid w:val="00435FD9"/>
    <w:rsid w:val="00436834"/>
    <w:rsid w:val="00436FE0"/>
    <w:rsid w:val="004372F9"/>
    <w:rsid w:val="00441E1D"/>
    <w:rsid w:val="00442606"/>
    <w:rsid w:val="00442FEE"/>
    <w:rsid w:val="0044318C"/>
    <w:rsid w:val="0044381A"/>
    <w:rsid w:val="004439D4"/>
    <w:rsid w:val="00444726"/>
    <w:rsid w:val="00445070"/>
    <w:rsid w:val="004451F6"/>
    <w:rsid w:val="004464CA"/>
    <w:rsid w:val="004464F4"/>
    <w:rsid w:val="00446B63"/>
    <w:rsid w:val="00446C86"/>
    <w:rsid w:val="00446EAC"/>
    <w:rsid w:val="004472FD"/>
    <w:rsid w:val="00447440"/>
    <w:rsid w:val="00447E46"/>
    <w:rsid w:val="00452B8D"/>
    <w:rsid w:val="00453D82"/>
    <w:rsid w:val="004553A7"/>
    <w:rsid w:val="00456236"/>
    <w:rsid w:val="00456A44"/>
    <w:rsid w:val="00456F72"/>
    <w:rsid w:val="004573F7"/>
    <w:rsid w:val="00457DFA"/>
    <w:rsid w:val="00457F1B"/>
    <w:rsid w:val="00460544"/>
    <w:rsid w:val="00460816"/>
    <w:rsid w:val="00460C83"/>
    <w:rsid w:val="004627BD"/>
    <w:rsid w:val="00462E58"/>
    <w:rsid w:val="00463B8E"/>
    <w:rsid w:val="00463DB5"/>
    <w:rsid w:val="0046437F"/>
    <w:rsid w:val="004644AF"/>
    <w:rsid w:val="004644B0"/>
    <w:rsid w:val="00464ADC"/>
    <w:rsid w:val="00464D04"/>
    <w:rsid w:val="0046524F"/>
    <w:rsid w:val="004653D4"/>
    <w:rsid w:val="00465D9D"/>
    <w:rsid w:val="0046668B"/>
    <w:rsid w:val="00466E8B"/>
    <w:rsid w:val="00467ACC"/>
    <w:rsid w:val="00471277"/>
    <w:rsid w:val="00471E96"/>
    <w:rsid w:val="00472019"/>
    <w:rsid w:val="004720B4"/>
    <w:rsid w:val="0047222E"/>
    <w:rsid w:val="00472510"/>
    <w:rsid w:val="004726EC"/>
    <w:rsid w:val="00472C35"/>
    <w:rsid w:val="004731D1"/>
    <w:rsid w:val="004735F0"/>
    <w:rsid w:val="004737F8"/>
    <w:rsid w:val="00473CEC"/>
    <w:rsid w:val="00474241"/>
    <w:rsid w:val="00474505"/>
    <w:rsid w:val="00475123"/>
    <w:rsid w:val="0047744D"/>
    <w:rsid w:val="00481120"/>
    <w:rsid w:val="004813F5"/>
    <w:rsid w:val="00481551"/>
    <w:rsid w:val="00481A93"/>
    <w:rsid w:val="00481C63"/>
    <w:rsid w:val="004829DC"/>
    <w:rsid w:val="00482C89"/>
    <w:rsid w:val="00483B76"/>
    <w:rsid w:val="004845DC"/>
    <w:rsid w:val="00484A6E"/>
    <w:rsid w:val="00485509"/>
    <w:rsid w:val="004855C7"/>
    <w:rsid w:val="00485E08"/>
    <w:rsid w:val="00485EA4"/>
    <w:rsid w:val="00486865"/>
    <w:rsid w:val="004873F3"/>
    <w:rsid w:val="00490D60"/>
    <w:rsid w:val="00491812"/>
    <w:rsid w:val="00491A5B"/>
    <w:rsid w:val="0049203C"/>
    <w:rsid w:val="004920D7"/>
    <w:rsid w:val="004925CA"/>
    <w:rsid w:val="00492BA7"/>
    <w:rsid w:val="00492D4C"/>
    <w:rsid w:val="004930EE"/>
    <w:rsid w:val="00493D1D"/>
    <w:rsid w:val="00494799"/>
    <w:rsid w:val="00494A29"/>
    <w:rsid w:val="004955C9"/>
    <w:rsid w:val="0049568F"/>
    <w:rsid w:val="004973DC"/>
    <w:rsid w:val="00497854"/>
    <w:rsid w:val="00497869"/>
    <w:rsid w:val="004A0AEF"/>
    <w:rsid w:val="004A0D5E"/>
    <w:rsid w:val="004A3433"/>
    <w:rsid w:val="004A372C"/>
    <w:rsid w:val="004A5588"/>
    <w:rsid w:val="004A678C"/>
    <w:rsid w:val="004A67FE"/>
    <w:rsid w:val="004A6A19"/>
    <w:rsid w:val="004A75B1"/>
    <w:rsid w:val="004A7725"/>
    <w:rsid w:val="004A79C1"/>
    <w:rsid w:val="004B0172"/>
    <w:rsid w:val="004B228F"/>
    <w:rsid w:val="004B2F3F"/>
    <w:rsid w:val="004B397E"/>
    <w:rsid w:val="004B531A"/>
    <w:rsid w:val="004B5897"/>
    <w:rsid w:val="004B5DDF"/>
    <w:rsid w:val="004B6607"/>
    <w:rsid w:val="004B690B"/>
    <w:rsid w:val="004B6DE6"/>
    <w:rsid w:val="004B74F8"/>
    <w:rsid w:val="004B7512"/>
    <w:rsid w:val="004B78BE"/>
    <w:rsid w:val="004C2206"/>
    <w:rsid w:val="004C25B5"/>
    <w:rsid w:val="004C2641"/>
    <w:rsid w:val="004C3424"/>
    <w:rsid w:val="004C503A"/>
    <w:rsid w:val="004C51CC"/>
    <w:rsid w:val="004C5882"/>
    <w:rsid w:val="004C5DE1"/>
    <w:rsid w:val="004C5EEC"/>
    <w:rsid w:val="004C6C1E"/>
    <w:rsid w:val="004C707C"/>
    <w:rsid w:val="004C7B54"/>
    <w:rsid w:val="004C7BDC"/>
    <w:rsid w:val="004D0291"/>
    <w:rsid w:val="004D228D"/>
    <w:rsid w:val="004D2569"/>
    <w:rsid w:val="004D283D"/>
    <w:rsid w:val="004D38AD"/>
    <w:rsid w:val="004D51B7"/>
    <w:rsid w:val="004D6151"/>
    <w:rsid w:val="004D6F99"/>
    <w:rsid w:val="004D7005"/>
    <w:rsid w:val="004D72C6"/>
    <w:rsid w:val="004E0DE4"/>
    <w:rsid w:val="004E12EE"/>
    <w:rsid w:val="004E1C0D"/>
    <w:rsid w:val="004E2ECE"/>
    <w:rsid w:val="004E3B7D"/>
    <w:rsid w:val="004E3E67"/>
    <w:rsid w:val="004E6182"/>
    <w:rsid w:val="004E7738"/>
    <w:rsid w:val="004E7EED"/>
    <w:rsid w:val="004F033A"/>
    <w:rsid w:val="004F062C"/>
    <w:rsid w:val="004F09D1"/>
    <w:rsid w:val="004F129A"/>
    <w:rsid w:val="004F3058"/>
    <w:rsid w:val="004F4165"/>
    <w:rsid w:val="004F4A8B"/>
    <w:rsid w:val="004F500A"/>
    <w:rsid w:val="004F5AD3"/>
    <w:rsid w:val="004F64C7"/>
    <w:rsid w:val="004F7847"/>
    <w:rsid w:val="004F7BFA"/>
    <w:rsid w:val="0050074F"/>
    <w:rsid w:val="00501831"/>
    <w:rsid w:val="00501D40"/>
    <w:rsid w:val="00502560"/>
    <w:rsid w:val="005028DD"/>
    <w:rsid w:val="0050367C"/>
    <w:rsid w:val="00503987"/>
    <w:rsid w:val="00503A2C"/>
    <w:rsid w:val="005062BC"/>
    <w:rsid w:val="00510964"/>
    <w:rsid w:val="00510E40"/>
    <w:rsid w:val="00511A15"/>
    <w:rsid w:val="005123CD"/>
    <w:rsid w:val="00512C01"/>
    <w:rsid w:val="005131B0"/>
    <w:rsid w:val="00513A44"/>
    <w:rsid w:val="00514F25"/>
    <w:rsid w:val="0051594B"/>
    <w:rsid w:val="00516206"/>
    <w:rsid w:val="00517F86"/>
    <w:rsid w:val="00520F5C"/>
    <w:rsid w:val="005216A2"/>
    <w:rsid w:val="00522BCE"/>
    <w:rsid w:val="0052456B"/>
    <w:rsid w:val="005252AB"/>
    <w:rsid w:val="005254DD"/>
    <w:rsid w:val="00525F5D"/>
    <w:rsid w:val="00526E8C"/>
    <w:rsid w:val="00527239"/>
    <w:rsid w:val="0053022A"/>
    <w:rsid w:val="005315AF"/>
    <w:rsid w:val="00531BAC"/>
    <w:rsid w:val="0053206F"/>
    <w:rsid w:val="005333B9"/>
    <w:rsid w:val="00534E5C"/>
    <w:rsid w:val="00535293"/>
    <w:rsid w:val="0053559B"/>
    <w:rsid w:val="00535CC6"/>
    <w:rsid w:val="00536449"/>
    <w:rsid w:val="00536A92"/>
    <w:rsid w:val="00536B1B"/>
    <w:rsid w:val="0053736D"/>
    <w:rsid w:val="005379F6"/>
    <w:rsid w:val="00541A14"/>
    <w:rsid w:val="00541CD1"/>
    <w:rsid w:val="00542A9B"/>
    <w:rsid w:val="0054348D"/>
    <w:rsid w:val="005438E1"/>
    <w:rsid w:val="00543E30"/>
    <w:rsid w:val="00545BA1"/>
    <w:rsid w:val="00546184"/>
    <w:rsid w:val="005469AC"/>
    <w:rsid w:val="00546DF6"/>
    <w:rsid w:val="005474CC"/>
    <w:rsid w:val="005509BD"/>
    <w:rsid w:val="005510D7"/>
    <w:rsid w:val="005514EC"/>
    <w:rsid w:val="005529C2"/>
    <w:rsid w:val="00552ACB"/>
    <w:rsid w:val="005537EF"/>
    <w:rsid w:val="00553AEA"/>
    <w:rsid w:val="00554130"/>
    <w:rsid w:val="00554EF2"/>
    <w:rsid w:val="005560A6"/>
    <w:rsid w:val="00556B22"/>
    <w:rsid w:val="0056167F"/>
    <w:rsid w:val="005619CD"/>
    <w:rsid w:val="005639F2"/>
    <w:rsid w:val="005649C2"/>
    <w:rsid w:val="00565575"/>
    <w:rsid w:val="005670ED"/>
    <w:rsid w:val="00567E87"/>
    <w:rsid w:val="00567F3D"/>
    <w:rsid w:val="00570744"/>
    <w:rsid w:val="0057107A"/>
    <w:rsid w:val="00571D86"/>
    <w:rsid w:val="005724F3"/>
    <w:rsid w:val="00572BB0"/>
    <w:rsid w:val="00572BD0"/>
    <w:rsid w:val="00572E39"/>
    <w:rsid w:val="00572F8E"/>
    <w:rsid w:val="005755C0"/>
    <w:rsid w:val="0057577B"/>
    <w:rsid w:val="005758A9"/>
    <w:rsid w:val="00575E1A"/>
    <w:rsid w:val="005803D5"/>
    <w:rsid w:val="0058091F"/>
    <w:rsid w:val="0058096D"/>
    <w:rsid w:val="00581023"/>
    <w:rsid w:val="005819F1"/>
    <w:rsid w:val="00581DF5"/>
    <w:rsid w:val="00583681"/>
    <w:rsid w:val="005838E7"/>
    <w:rsid w:val="0058448A"/>
    <w:rsid w:val="005856B9"/>
    <w:rsid w:val="00585B59"/>
    <w:rsid w:val="0058610D"/>
    <w:rsid w:val="00586735"/>
    <w:rsid w:val="00586ED6"/>
    <w:rsid w:val="005903CD"/>
    <w:rsid w:val="00590A08"/>
    <w:rsid w:val="00590ADC"/>
    <w:rsid w:val="00590B4A"/>
    <w:rsid w:val="00591A6E"/>
    <w:rsid w:val="00591F53"/>
    <w:rsid w:val="005920E3"/>
    <w:rsid w:val="0059261A"/>
    <w:rsid w:val="00592F4A"/>
    <w:rsid w:val="0059308D"/>
    <w:rsid w:val="0059362E"/>
    <w:rsid w:val="00594098"/>
    <w:rsid w:val="005940F8"/>
    <w:rsid w:val="0059411D"/>
    <w:rsid w:val="00594AA7"/>
    <w:rsid w:val="00596088"/>
    <w:rsid w:val="005966B3"/>
    <w:rsid w:val="005970FE"/>
    <w:rsid w:val="00597372"/>
    <w:rsid w:val="005974A0"/>
    <w:rsid w:val="00597CFD"/>
    <w:rsid w:val="005A00C6"/>
    <w:rsid w:val="005A010E"/>
    <w:rsid w:val="005A0637"/>
    <w:rsid w:val="005A0837"/>
    <w:rsid w:val="005A1E59"/>
    <w:rsid w:val="005A4312"/>
    <w:rsid w:val="005A5FF6"/>
    <w:rsid w:val="005A6571"/>
    <w:rsid w:val="005B10AD"/>
    <w:rsid w:val="005B173A"/>
    <w:rsid w:val="005B1C6C"/>
    <w:rsid w:val="005B1E41"/>
    <w:rsid w:val="005B2C88"/>
    <w:rsid w:val="005B379E"/>
    <w:rsid w:val="005B43AC"/>
    <w:rsid w:val="005B52E9"/>
    <w:rsid w:val="005B534C"/>
    <w:rsid w:val="005B5EB0"/>
    <w:rsid w:val="005B610A"/>
    <w:rsid w:val="005B6437"/>
    <w:rsid w:val="005B7AD2"/>
    <w:rsid w:val="005B7E8F"/>
    <w:rsid w:val="005C0434"/>
    <w:rsid w:val="005C17AB"/>
    <w:rsid w:val="005C1DED"/>
    <w:rsid w:val="005C2125"/>
    <w:rsid w:val="005C3C9E"/>
    <w:rsid w:val="005C3D63"/>
    <w:rsid w:val="005C477F"/>
    <w:rsid w:val="005C4C75"/>
    <w:rsid w:val="005C5EF5"/>
    <w:rsid w:val="005C6A00"/>
    <w:rsid w:val="005C70E9"/>
    <w:rsid w:val="005D00E2"/>
    <w:rsid w:val="005D0182"/>
    <w:rsid w:val="005D0359"/>
    <w:rsid w:val="005D0709"/>
    <w:rsid w:val="005D0859"/>
    <w:rsid w:val="005D1173"/>
    <w:rsid w:val="005D178C"/>
    <w:rsid w:val="005D1AE0"/>
    <w:rsid w:val="005D22A8"/>
    <w:rsid w:val="005D243C"/>
    <w:rsid w:val="005D27D6"/>
    <w:rsid w:val="005D2AD7"/>
    <w:rsid w:val="005D2FFE"/>
    <w:rsid w:val="005D4331"/>
    <w:rsid w:val="005D505C"/>
    <w:rsid w:val="005D62BE"/>
    <w:rsid w:val="005D6BFE"/>
    <w:rsid w:val="005D7623"/>
    <w:rsid w:val="005D7E5E"/>
    <w:rsid w:val="005E0203"/>
    <w:rsid w:val="005E0484"/>
    <w:rsid w:val="005E0913"/>
    <w:rsid w:val="005E1AC6"/>
    <w:rsid w:val="005E22EA"/>
    <w:rsid w:val="005E396A"/>
    <w:rsid w:val="005E4813"/>
    <w:rsid w:val="005E491D"/>
    <w:rsid w:val="005E4A1E"/>
    <w:rsid w:val="005E54AC"/>
    <w:rsid w:val="005E5FD1"/>
    <w:rsid w:val="005E7409"/>
    <w:rsid w:val="005E7BA0"/>
    <w:rsid w:val="005E7F04"/>
    <w:rsid w:val="005F0808"/>
    <w:rsid w:val="005F0DF9"/>
    <w:rsid w:val="005F0FD9"/>
    <w:rsid w:val="005F2048"/>
    <w:rsid w:val="005F2166"/>
    <w:rsid w:val="005F2E2B"/>
    <w:rsid w:val="005F2FEC"/>
    <w:rsid w:val="005F3441"/>
    <w:rsid w:val="005F44AC"/>
    <w:rsid w:val="005F44DC"/>
    <w:rsid w:val="005F4E55"/>
    <w:rsid w:val="005F528D"/>
    <w:rsid w:val="005F58F4"/>
    <w:rsid w:val="005F5D06"/>
    <w:rsid w:val="005F5E34"/>
    <w:rsid w:val="005F5F40"/>
    <w:rsid w:val="005F6045"/>
    <w:rsid w:val="005F6563"/>
    <w:rsid w:val="005F6DA3"/>
    <w:rsid w:val="005F7ABE"/>
    <w:rsid w:val="005F7E49"/>
    <w:rsid w:val="00600D88"/>
    <w:rsid w:val="00601091"/>
    <w:rsid w:val="00601C53"/>
    <w:rsid w:val="00602508"/>
    <w:rsid w:val="00602916"/>
    <w:rsid w:val="00605FCE"/>
    <w:rsid w:val="006063CF"/>
    <w:rsid w:val="0060693E"/>
    <w:rsid w:val="00606E1D"/>
    <w:rsid w:val="00607872"/>
    <w:rsid w:val="00607B4D"/>
    <w:rsid w:val="006100C5"/>
    <w:rsid w:val="00610A20"/>
    <w:rsid w:val="00611A50"/>
    <w:rsid w:val="0061204C"/>
    <w:rsid w:val="006123A7"/>
    <w:rsid w:val="00612836"/>
    <w:rsid w:val="0061298B"/>
    <w:rsid w:val="00613E1A"/>
    <w:rsid w:val="006146FD"/>
    <w:rsid w:val="006148ED"/>
    <w:rsid w:val="0061528B"/>
    <w:rsid w:val="0061560F"/>
    <w:rsid w:val="00615637"/>
    <w:rsid w:val="00615E8E"/>
    <w:rsid w:val="0061622C"/>
    <w:rsid w:val="00617ED0"/>
    <w:rsid w:val="00620310"/>
    <w:rsid w:val="0062033B"/>
    <w:rsid w:val="006207FE"/>
    <w:rsid w:val="00621737"/>
    <w:rsid w:val="006218FF"/>
    <w:rsid w:val="00624C2C"/>
    <w:rsid w:val="00624F8C"/>
    <w:rsid w:val="0062553E"/>
    <w:rsid w:val="0062557E"/>
    <w:rsid w:val="0062572B"/>
    <w:rsid w:val="00625BF6"/>
    <w:rsid w:val="00625DB0"/>
    <w:rsid w:val="0062734E"/>
    <w:rsid w:val="00627D48"/>
    <w:rsid w:val="0063038E"/>
    <w:rsid w:val="00630CCD"/>
    <w:rsid w:val="00630FEB"/>
    <w:rsid w:val="00631CED"/>
    <w:rsid w:val="00632866"/>
    <w:rsid w:val="0063373D"/>
    <w:rsid w:val="006339E8"/>
    <w:rsid w:val="006345E0"/>
    <w:rsid w:val="006346A9"/>
    <w:rsid w:val="0063482A"/>
    <w:rsid w:val="006349BC"/>
    <w:rsid w:val="006349F8"/>
    <w:rsid w:val="00634BAF"/>
    <w:rsid w:val="00634F20"/>
    <w:rsid w:val="00635852"/>
    <w:rsid w:val="0063664B"/>
    <w:rsid w:val="00636B29"/>
    <w:rsid w:val="0063722A"/>
    <w:rsid w:val="00637826"/>
    <w:rsid w:val="006378BF"/>
    <w:rsid w:val="00637AEE"/>
    <w:rsid w:val="00640968"/>
    <w:rsid w:val="00640D05"/>
    <w:rsid w:val="00642914"/>
    <w:rsid w:val="006442CE"/>
    <w:rsid w:val="00644326"/>
    <w:rsid w:val="006450D4"/>
    <w:rsid w:val="00645428"/>
    <w:rsid w:val="00645E77"/>
    <w:rsid w:val="00646DAC"/>
    <w:rsid w:val="00646EC9"/>
    <w:rsid w:val="006475A3"/>
    <w:rsid w:val="00650342"/>
    <w:rsid w:val="00651841"/>
    <w:rsid w:val="006521A0"/>
    <w:rsid w:val="00652441"/>
    <w:rsid w:val="006525C4"/>
    <w:rsid w:val="00652959"/>
    <w:rsid w:val="00653396"/>
    <w:rsid w:val="0065382B"/>
    <w:rsid w:val="006548D4"/>
    <w:rsid w:val="00654B9C"/>
    <w:rsid w:val="00655094"/>
    <w:rsid w:val="00655468"/>
    <w:rsid w:val="00655AD4"/>
    <w:rsid w:val="00655EAF"/>
    <w:rsid w:val="006567A3"/>
    <w:rsid w:val="006569A9"/>
    <w:rsid w:val="00656A92"/>
    <w:rsid w:val="00656C56"/>
    <w:rsid w:val="0065708F"/>
    <w:rsid w:val="00657FF7"/>
    <w:rsid w:val="006609DB"/>
    <w:rsid w:val="00660EB8"/>
    <w:rsid w:val="0066154D"/>
    <w:rsid w:val="006617C2"/>
    <w:rsid w:val="00662665"/>
    <w:rsid w:val="006626AC"/>
    <w:rsid w:val="0066286C"/>
    <w:rsid w:val="00663FDF"/>
    <w:rsid w:val="006647E6"/>
    <w:rsid w:val="006656CD"/>
    <w:rsid w:val="0066596D"/>
    <w:rsid w:val="00665B77"/>
    <w:rsid w:val="00666A07"/>
    <w:rsid w:val="00667DB3"/>
    <w:rsid w:val="00670221"/>
    <w:rsid w:val="006705F8"/>
    <w:rsid w:val="006718E1"/>
    <w:rsid w:val="00671B34"/>
    <w:rsid w:val="00672F8C"/>
    <w:rsid w:val="006730A1"/>
    <w:rsid w:val="00674A7F"/>
    <w:rsid w:val="0067571E"/>
    <w:rsid w:val="00677A77"/>
    <w:rsid w:val="00677B48"/>
    <w:rsid w:val="00680A0F"/>
    <w:rsid w:val="00680F97"/>
    <w:rsid w:val="00682D44"/>
    <w:rsid w:val="006831C6"/>
    <w:rsid w:val="00683B59"/>
    <w:rsid w:val="0068504D"/>
    <w:rsid w:val="00685C76"/>
    <w:rsid w:val="00686FC3"/>
    <w:rsid w:val="0068738C"/>
    <w:rsid w:val="00687444"/>
    <w:rsid w:val="00687CD6"/>
    <w:rsid w:val="006900F1"/>
    <w:rsid w:val="006901D0"/>
    <w:rsid w:val="00690464"/>
    <w:rsid w:val="0069049D"/>
    <w:rsid w:val="00691206"/>
    <w:rsid w:val="00691228"/>
    <w:rsid w:val="00691BEE"/>
    <w:rsid w:val="0069294E"/>
    <w:rsid w:val="006930CE"/>
    <w:rsid w:val="006936BD"/>
    <w:rsid w:val="00694983"/>
    <w:rsid w:val="00694B2B"/>
    <w:rsid w:val="00697140"/>
    <w:rsid w:val="00697827"/>
    <w:rsid w:val="006A046C"/>
    <w:rsid w:val="006A080D"/>
    <w:rsid w:val="006A19B3"/>
    <w:rsid w:val="006A1A29"/>
    <w:rsid w:val="006A2856"/>
    <w:rsid w:val="006A2A55"/>
    <w:rsid w:val="006A3087"/>
    <w:rsid w:val="006A40F2"/>
    <w:rsid w:val="006A4786"/>
    <w:rsid w:val="006A4B5D"/>
    <w:rsid w:val="006A4CC1"/>
    <w:rsid w:val="006A4F66"/>
    <w:rsid w:val="006A5823"/>
    <w:rsid w:val="006A7BC8"/>
    <w:rsid w:val="006B0C0A"/>
    <w:rsid w:val="006B13E7"/>
    <w:rsid w:val="006B16E7"/>
    <w:rsid w:val="006B18A2"/>
    <w:rsid w:val="006B2B27"/>
    <w:rsid w:val="006B2DF0"/>
    <w:rsid w:val="006B2F66"/>
    <w:rsid w:val="006B3609"/>
    <w:rsid w:val="006B46B5"/>
    <w:rsid w:val="006B484F"/>
    <w:rsid w:val="006B4F08"/>
    <w:rsid w:val="006B6F35"/>
    <w:rsid w:val="006B7148"/>
    <w:rsid w:val="006C0264"/>
    <w:rsid w:val="006C04A2"/>
    <w:rsid w:val="006C08B6"/>
    <w:rsid w:val="006C0D74"/>
    <w:rsid w:val="006C1B58"/>
    <w:rsid w:val="006C1BDA"/>
    <w:rsid w:val="006C1FBA"/>
    <w:rsid w:val="006C2246"/>
    <w:rsid w:val="006C22E8"/>
    <w:rsid w:val="006C306B"/>
    <w:rsid w:val="006C34DA"/>
    <w:rsid w:val="006C35AD"/>
    <w:rsid w:val="006C42C9"/>
    <w:rsid w:val="006C4718"/>
    <w:rsid w:val="006C49ED"/>
    <w:rsid w:val="006C4AC6"/>
    <w:rsid w:val="006C51FB"/>
    <w:rsid w:val="006C5842"/>
    <w:rsid w:val="006C5C7E"/>
    <w:rsid w:val="006C5E38"/>
    <w:rsid w:val="006C62E1"/>
    <w:rsid w:val="006C7751"/>
    <w:rsid w:val="006C7E66"/>
    <w:rsid w:val="006D035D"/>
    <w:rsid w:val="006D2146"/>
    <w:rsid w:val="006D2474"/>
    <w:rsid w:val="006D3D61"/>
    <w:rsid w:val="006D4001"/>
    <w:rsid w:val="006D451B"/>
    <w:rsid w:val="006D494B"/>
    <w:rsid w:val="006D4ED7"/>
    <w:rsid w:val="006D57C4"/>
    <w:rsid w:val="006D60F9"/>
    <w:rsid w:val="006D712D"/>
    <w:rsid w:val="006D74E6"/>
    <w:rsid w:val="006E01B4"/>
    <w:rsid w:val="006E079E"/>
    <w:rsid w:val="006E0FAD"/>
    <w:rsid w:val="006E223D"/>
    <w:rsid w:val="006E3310"/>
    <w:rsid w:val="006E3509"/>
    <w:rsid w:val="006E3CF4"/>
    <w:rsid w:val="006E5F16"/>
    <w:rsid w:val="006E68EC"/>
    <w:rsid w:val="006F0495"/>
    <w:rsid w:val="006F07FB"/>
    <w:rsid w:val="006F0882"/>
    <w:rsid w:val="006F0B99"/>
    <w:rsid w:val="006F1F03"/>
    <w:rsid w:val="006F2F23"/>
    <w:rsid w:val="006F3821"/>
    <w:rsid w:val="006F401A"/>
    <w:rsid w:val="006F47E8"/>
    <w:rsid w:val="006F4880"/>
    <w:rsid w:val="006F4E26"/>
    <w:rsid w:val="006F505F"/>
    <w:rsid w:val="006F57C3"/>
    <w:rsid w:val="006F61C0"/>
    <w:rsid w:val="006F65CF"/>
    <w:rsid w:val="006F71D6"/>
    <w:rsid w:val="006F757C"/>
    <w:rsid w:val="007008B8"/>
    <w:rsid w:val="00700A1A"/>
    <w:rsid w:val="00700BA5"/>
    <w:rsid w:val="00700FFD"/>
    <w:rsid w:val="00701348"/>
    <w:rsid w:val="00701488"/>
    <w:rsid w:val="00701B4D"/>
    <w:rsid w:val="00701E2C"/>
    <w:rsid w:val="00701F0A"/>
    <w:rsid w:val="0070208B"/>
    <w:rsid w:val="00702210"/>
    <w:rsid w:val="007022AC"/>
    <w:rsid w:val="0070258C"/>
    <w:rsid w:val="00703B5C"/>
    <w:rsid w:val="00704A3A"/>
    <w:rsid w:val="00704BA6"/>
    <w:rsid w:val="00704C7B"/>
    <w:rsid w:val="00705034"/>
    <w:rsid w:val="00705ED8"/>
    <w:rsid w:val="007064B0"/>
    <w:rsid w:val="00707204"/>
    <w:rsid w:val="007101F4"/>
    <w:rsid w:val="0071025D"/>
    <w:rsid w:val="00710415"/>
    <w:rsid w:val="007109AB"/>
    <w:rsid w:val="00711795"/>
    <w:rsid w:val="007117AB"/>
    <w:rsid w:val="00711BFE"/>
    <w:rsid w:val="007134B7"/>
    <w:rsid w:val="00714624"/>
    <w:rsid w:val="00715BA7"/>
    <w:rsid w:val="00715BC1"/>
    <w:rsid w:val="0071667C"/>
    <w:rsid w:val="00717042"/>
    <w:rsid w:val="00720295"/>
    <w:rsid w:val="0072063D"/>
    <w:rsid w:val="0072096B"/>
    <w:rsid w:val="0072115F"/>
    <w:rsid w:val="00722E32"/>
    <w:rsid w:val="007240E9"/>
    <w:rsid w:val="007242B1"/>
    <w:rsid w:val="00724420"/>
    <w:rsid w:val="007248F9"/>
    <w:rsid w:val="0072509A"/>
    <w:rsid w:val="007255B1"/>
    <w:rsid w:val="007260CF"/>
    <w:rsid w:val="007262FC"/>
    <w:rsid w:val="00726B85"/>
    <w:rsid w:val="00727C6D"/>
    <w:rsid w:val="00730A99"/>
    <w:rsid w:val="007310DD"/>
    <w:rsid w:val="0073129B"/>
    <w:rsid w:val="00731459"/>
    <w:rsid w:val="007319AE"/>
    <w:rsid w:val="00731ECA"/>
    <w:rsid w:val="007325A3"/>
    <w:rsid w:val="00732725"/>
    <w:rsid w:val="00732C91"/>
    <w:rsid w:val="007331B8"/>
    <w:rsid w:val="007336CA"/>
    <w:rsid w:val="00733939"/>
    <w:rsid w:val="00733CC3"/>
    <w:rsid w:val="00733DD6"/>
    <w:rsid w:val="00733F86"/>
    <w:rsid w:val="0073402B"/>
    <w:rsid w:val="007341C7"/>
    <w:rsid w:val="00734EC8"/>
    <w:rsid w:val="00735468"/>
    <w:rsid w:val="007359E1"/>
    <w:rsid w:val="00735D99"/>
    <w:rsid w:val="007361AD"/>
    <w:rsid w:val="007368E5"/>
    <w:rsid w:val="00736E9B"/>
    <w:rsid w:val="00740D4C"/>
    <w:rsid w:val="00742037"/>
    <w:rsid w:val="00742884"/>
    <w:rsid w:val="0074385B"/>
    <w:rsid w:val="007443EE"/>
    <w:rsid w:val="00744735"/>
    <w:rsid w:val="00744C0E"/>
    <w:rsid w:val="00747452"/>
    <w:rsid w:val="0074758E"/>
    <w:rsid w:val="00747642"/>
    <w:rsid w:val="007502AC"/>
    <w:rsid w:val="00750590"/>
    <w:rsid w:val="0075149C"/>
    <w:rsid w:val="00751E89"/>
    <w:rsid w:val="00752403"/>
    <w:rsid w:val="00754843"/>
    <w:rsid w:val="00754A77"/>
    <w:rsid w:val="00754B13"/>
    <w:rsid w:val="00754B9D"/>
    <w:rsid w:val="00754BB8"/>
    <w:rsid w:val="007555B8"/>
    <w:rsid w:val="007556FA"/>
    <w:rsid w:val="00755A96"/>
    <w:rsid w:val="00755F27"/>
    <w:rsid w:val="00756182"/>
    <w:rsid w:val="007566C9"/>
    <w:rsid w:val="007573A6"/>
    <w:rsid w:val="00757663"/>
    <w:rsid w:val="007606C7"/>
    <w:rsid w:val="00760A0C"/>
    <w:rsid w:val="00761347"/>
    <w:rsid w:val="007616D0"/>
    <w:rsid w:val="00761767"/>
    <w:rsid w:val="007623BB"/>
    <w:rsid w:val="00762573"/>
    <w:rsid w:val="007627C4"/>
    <w:rsid w:val="00762C84"/>
    <w:rsid w:val="0076314C"/>
    <w:rsid w:val="00763C20"/>
    <w:rsid w:val="00763E89"/>
    <w:rsid w:val="00764BF2"/>
    <w:rsid w:val="00765991"/>
    <w:rsid w:val="00765D32"/>
    <w:rsid w:val="00765EC0"/>
    <w:rsid w:val="00766879"/>
    <w:rsid w:val="0076787F"/>
    <w:rsid w:val="00767921"/>
    <w:rsid w:val="00767A45"/>
    <w:rsid w:val="00770403"/>
    <w:rsid w:val="0077041A"/>
    <w:rsid w:val="007706EE"/>
    <w:rsid w:val="00772634"/>
    <w:rsid w:val="007726C2"/>
    <w:rsid w:val="007729B3"/>
    <w:rsid w:val="0077354E"/>
    <w:rsid w:val="00773E42"/>
    <w:rsid w:val="007742F9"/>
    <w:rsid w:val="00774631"/>
    <w:rsid w:val="00775A1E"/>
    <w:rsid w:val="00776BB1"/>
    <w:rsid w:val="00780317"/>
    <w:rsid w:val="007815B0"/>
    <w:rsid w:val="00781BF0"/>
    <w:rsid w:val="00782BB1"/>
    <w:rsid w:val="00783971"/>
    <w:rsid w:val="0078405E"/>
    <w:rsid w:val="00784154"/>
    <w:rsid w:val="00785EF6"/>
    <w:rsid w:val="00786160"/>
    <w:rsid w:val="007868DF"/>
    <w:rsid w:val="00786ACB"/>
    <w:rsid w:val="00786C30"/>
    <w:rsid w:val="007875A3"/>
    <w:rsid w:val="00787991"/>
    <w:rsid w:val="0079038D"/>
    <w:rsid w:val="007909A7"/>
    <w:rsid w:val="00790AE2"/>
    <w:rsid w:val="007912AC"/>
    <w:rsid w:val="00791EE0"/>
    <w:rsid w:val="007927E9"/>
    <w:rsid w:val="0079303B"/>
    <w:rsid w:val="00793592"/>
    <w:rsid w:val="0079554A"/>
    <w:rsid w:val="0079665E"/>
    <w:rsid w:val="00797763"/>
    <w:rsid w:val="007A0510"/>
    <w:rsid w:val="007A15FB"/>
    <w:rsid w:val="007A1BBF"/>
    <w:rsid w:val="007A202F"/>
    <w:rsid w:val="007A2FC3"/>
    <w:rsid w:val="007A3244"/>
    <w:rsid w:val="007A38D9"/>
    <w:rsid w:val="007A4C1E"/>
    <w:rsid w:val="007A571C"/>
    <w:rsid w:val="007A59E1"/>
    <w:rsid w:val="007A630D"/>
    <w:rsid w:val="007A68D1"/>
    <w:rsid w:val="007A7583"/>
    <w:rsid w:val="007A78A8"/>
    <w:rsid w:val="007A7DAD"/>
    <w:rsid w:val="007A7DFE"/>
    <w:rsid w:val="007B0022"/>
    <w:rsid w:val="007B08C7"/>
    <w:rsid w:val="007B0932"/>
    <w:rsid w:val="007B0C91"/>
    <w:rsid w:val="007B0EEC"/>
    <w:rsid w:val="007B1761"/>
    <w:rsid w:val="007B2BA5"/>
    <w:rsid w:val="007B33B9"/>
    <w:rsid w:val="007B37CD"/>
    <w:rsid w:val="007B5946"/>
    <w:rsid w:val="007B5E04"/>
    <w:rsid w:val="007B6951"/>
    <w:rsid w:val="007B6A0F"/>
    <w:rsid w:val="007B6B6C"/>
    <w:rsid w:val="007B7711"/>
    <w:rsid w:val="007C0976"/>
    <w:rsid w:val="007C135F"/>
    <w:rsid w:val="007C1791"/>
    <w:rsid w:val="007C2849"/>
    <w:rsid w:val="007C2A3A"/>
    <w:rsid w:val="007C40B1"/>
    <w:rsid w:val="007C4BE7"/>
    <w:rsid w:val="007C51DB"/>
    <w:rsid w:val="007C5378"/>
    <w:rsid w:val="007C5A2F"/>
    <w:rsid w:val="007C6034"/>
    <w:rsid w:val="007C62E8"/>
    <w:rsid w:val="007C645C"/>
    <w:rsid w:val="007C68FC"/>
    <w:rsid w:val="007C7383"/>
    <w:rsid w:val="007D075B"/>
    <w:rsid w:val="007D1447"/>
    <w:rsid w:val="007D14B0"/>
    <w:rsid w:val="007D1752"/>
    <w:rsid w:val="007D19E4"/>
    <w:rsid w:val="007D2137"/>
    <w:rsid w:val="007D343C"/>
    <w:rsid w:val="007D352D"/>
    <w:rsid w:val="007D43C9"/>
    <w:rsid w:val="007D4431"/>
    <w:rsid w:val="007D63C7"/>
    <w:rsid w:val="007D68E8"/>
    <w:rsid w:val="007D6E42"/>
    <w:rsid w:val="007D78CE"/>
    <w:rsid w:val="007D7EA7"/>
    <w:rsid w:val="007E0D36"/>
    <w:rsid w:val="007E10F1"/>
    <w:rsid w:val="007E1BD8"/>
    <w:rsid w:val="007E2820"/>
    <w:rsid w:val="007E39FA"/>
    <w:rsid w:val="007E4A57"/>
    <w:rsid w:val="007E539A"/>
    <w:rsid w:val="007E53CD"/>
    <w:rsid w:val="007E5B5D"/>
    <w:rsid w:val="007E5C43"/>
    <w:rsid w:val="007E5C5C"/>
    <w:rsid w:val="007E6719"/>
    <w:rsid w:val="007E72BC"/>
    <w:rsid w:val="007F1192"/>
    <w:rsid w:val="007F1331"/>
    <w:rsid w:val="007F14C6"/>
    <w:rsid w:val="007F1BFF"/>
    <w:rsid w:val="007F1EF8"/>
    <w:rsid w:val="007F26D0"/>
    <w:rsid w:val="007F3836"/>
    <w:rsid w:val="007F65F4"/>
    <w:rsid w:val="008000D1"/>
    <w:rsid w:val="00800358"/>
    <w:rsid w:val="008012C4"/>
    <w:rsid w:val="00801B96"/>
    <w:rsid w:val="00801E37"/>
    <w:rsid w:val="00802704"/>
    <w:rsid w:val="00803390"/>
    <w:rsid w:val="0080341A"/>
    <w:rsid w:val="008044C1"/>
    <w:rsid w:val="00804B85"/>
    <w:rsid w:val="008054E4"/>
    <w:rsid w:val="00805D11"/>
    <w:rsid w:val="008060EC"/>
    <w:rsid w:val="008062E6"/>
    <w:rsid w:val="00806896"/>
    <w:rsid w:val="00806D88"/>
    <w:rsid w:val="00807C0C"/>
    <w:rsid w:val="00810380"/>
    <w:rsid w:val="00810384"/>
    <w:rsid w:val="00811351"/>
    <w:rsid w:val="008116FF"/>
    <w:rsid w:val="00811B60"/>
    <w:rsid w:val="00811E7F"/>
    <w:rsid w:val="00811F33"/>
    <w:rsid w:val="008125E5"/>
    <w:rsid w:val="00812B31"/>
    <w:rsid w:val="00812BAB"/>
    <w:rsid w:val="00815B94"/>
    <w:rsid w:val="008168F3"/>
    <w:rsid w:val="008174E6"/>
    <w:rsid w:val="00817646"/>
    <w:rsid w:val="00817C6F"/>
    <w:rsid w:val="008203EC"/>
    <w:rsid w:val="008209FA"/>
    <w:rsid w:val="00820B56"/>
    <w:rsid w:val="00820E96"/>
    <w:rsid w:val="00821540"/>
    <w:rsid w:val="008215D6"/>
    <w:rsid w:val="00823171"/>
    <w:rsid w:val="0082519E"/>
    <w:rsid w:val="00825439"/>
    <w:rsid w:val="00825CD9"/>
    <w:rsid w:val="00825F77"/>
    <w:rsid w:val="00826A84"/>
    <w:rsid w:val="00830AE0"/>
    <w:rsid w:val="008317FB"/>
    <w:rsid w:val="008324E4"/>
    <w:rsid w:val="00833113"/>
    <w:rsid w:val="00833989"/>
    <w:rsid w:val="00835195"/>
    <w:rsid w:val="008356D6"/>
    <w:rsid w:val="00836A59"/>
    <w:rsid w:val="0083796D"/>
    <w:rsid w:val="00837D5C"/>
    <w:rsid w:val="008408F9"/>
    <w:rsid w:val="00840E03"/>
    <w:rsid w:val="00840E0D"/>
    <w:rsid w:val="00840EA5"/>
    <w:rsid w:val="0084371E"/>
    <w:rsid w:val="008437D9"/>
    <w:rsid w:val="00844764"/>
    <w:rsid w:val="0084482C"/>
    <w:rsid w:val="00844B7C"/>
    <w:rsid w:val="00845BAC"/>
    <w:rsid w:val="0084643E"/>
    <w:rsid w:val="0084651B"/>
    <w:rsid w:val="00846D5F"/>
    <w:rsid w:val="00846DB9"/>
    <w:rsid w:val="008507EE"/>
    <w:rsid w:val="0085080C"/>
    <w:rsid w:val="00850844"/>
    <w:rsid w:val="00850E1D"/>
    <w:rsid w:val="00851543"/>
    <w:rsid w:val="00852B62"/>
    <w:rsid w:val="008537A8"/>
    <w:rsid w:val="00853A86"/>
    <w:rsid w:val="00853C05"/>
    <w:rsid w:val="00853C5D"/>
    <w:rsid w:val="0085436B"/>
    <w:rsid w:val="008552BB"/>
    <w:rsid w:val="0085592A"/>
    <w:rsid w:val="00855FD1"/>
    <w:rsid w:val="00856210"/>
    <w:rsid w:val="008571C6"/>
    <w:rsid w:val="00861366"/>
    <w:rsid w:val="00861E5A"/>
    <w:rsid w:val="008624DA"/>
    <w:rsid w:val="00862B05"/>
    <w:rsid w:val="00863033"/>
    <w:rsid w:val="008643FE"/>
    <w:rsid w:val="00864492"/>
    <w:rsid w:val="00865B3F"/>
    <w:rsid w:val="00865C27"/>
    <w:rsid w:val="00866583"/>
    <w:rsid w:val="00866ACE"/>
    <w:rsid w:val="00867CF4"/>
    <w:rsid w:val="0087168C"/>
    <w:rsid w:val="00871D48"/>
    <w:rsid w:val="008723F2"/>
    <w:rsid w:val="00873122"/>
    <w:rsid w:val="00873D13"/>
    <w:rsid w:val="0087462F"/>
    <w:rsid w:val="0087494F"/>
    <w:rsid w:val="00874E15"/>
    <w:rsid w:val="008753C7"/>
    <w:rsid w:val="008760EE"/>
    <w:rsid w:val="0087627B"/>
    <w:rsid w:val="00876378"/>
    <w:rsid w:val="00877784"/>
    <w:rsid w:val="0087791A"/>
    <w:rsid w:val="00877DB7"/>
    <w:rsid w:val="008804DA"/>
    <w:rsid w:val="00880781"/>
    <w:rsid w:val="00881C79"/>
    <w:rsid w:val="00881FDA"/>
    <w:rsid w:val="008829DB"/>
    <w:rsid w:val="00882FF5"/>
    <w:rsid w:val="00883A14"/>
    <w:rsid w:val="00884192"/>
    <w:rsid w:val="008844D3"/>
    <w:rsid w:val="00884FCC"/>
    <w:rsid w:val="00885FA4"/>
    <w:rsid w:val="00886287"/>
    <w:rsid w:val="0088694A"/>
    <w:rsid w:val="00886A53"/>
    <w:rsid w:val="00886CFF"/>
    <w:rsid w:val="00886F3C"/>
    <w:rsid w:val="00890129"/>
    <w:rsid w:val="008904F0"/>
    <w:rsid w:val="008906E5"/>
    <w:rsid w:val="00890B73"/>
    <w:rsid w:val="00891346"/>
    <w:rsid w:val="00891660"/>
    <w:rsid w:val="00891890"/>
    <w:rsid w:val="00892598"/>
    <w:rsid w:val="00892694"/>
    <w:rsid w:val="00893044"/>
    <w:rsid w:val="008931FA"/>
    <w:rsid w:val="00893959"/>
    <w:rsid w:val="008947F5"/>
    <w:rsid w:val="00894C0D"/>
    <w:rsid w:val="008952F7"/>
    <w:rsid w:val="00895E25"/>
    <w:rsid w:val="00895E8E"/>
    <w:rsid w:val="0089635A"/>
    <w:rsid w:val="00897B5F"/>
    <w:rsid w:val="00897E60"/>
    <w:rsid w:val="008A0A0F"/>
    <w:rsid w:val="008A0EB7"/>
    <w:rsid w:val="008A0ECB"/>
    <w:rsid w:val="008A10E2"/>
    <w:rsid w:val="008A18DE"/>
    <w:rsid w:val="008A1E96"/>
    <w:rsid w:val="008A25DD"/>
    <w:rsid w:val="008A3235"/>
    <w:rsid w:val="008A4BB6"/>
    <w:rsid w:val="008A69AE"/>
    <w:rsid w:val="008A7098"/>
    <w:rsid w:val="008A7324"/>
    <w:rsid w:val="008B0145"/>
    <w:rsid w:val="008B01C6"/>
    <w:rsid w:val="008B062F"/>
    <w:rsid w:val="008B0D98"/>
    <w:rsid w:val="008B1E5D"/>
    <w:rsid w:val="008B24E6"/>
    <w:rsid w:val="008B2E47"/>
    <w:rsid w:val="008B3C4D"/>
    <w:rsid w:val="008B4E3E"/>
    <w:rsid w:val="008B5065"/>
    <w:rsid w:val="008B518B"/>
    <w:rsid w:val="008B51F0"/>
    <w:rsid w:val="008B62C2"/>
    <w:rsid w:val="008B6D7C"/>
    <w:rsid w:val="008B7263"/>
    <w:rsid w:val="008B7F8A"/>
    <w:rsid w:val="008C03FB"/>
    <w:rsid w:val="008C1107"/>
    <w:rsid w:val="008C1F0E"/>
    <w:rsid w:val="008C2840"/>
    <w:rsid w:val="008C2F5F"/>
    <w:rsid w:val="008C62CB"/>
    <w:rsid w:val="008C68DA"/>
    <w:rsid w:val="008C6D59"/>
    <w:rsid w:val="008C7D18"/>
    <w:rsid w:val="008D10F1"/>
    <w:rsid w:val="008D2A82"/>
    <w:rsid w:val="008D32BF"/>
    <w:rsid w:val="008D3517"/>
    <w:rsid w:val="008D3641"/>
    <w:rsid w:val="008D392C"/>
    <w:rsid w:val="008D3A01"/>
    <w:rsid w:val="008D568D"/>
    <w:rsid w:val="008D5AEE"/>
    <w:rsid w:val="008D6A8B"/>
    <w:rsid w:val="008D768B"/>
    <w:rsid w:val="008D7914"/>
    <w:rsid w:val="008D7E10"/>
    <w:rsid w:val="008E0167"/>
    <w:rsid w:val="008E078F"/>
    <w:rsid w:val="008E1430"/>
    <w:rsid w:val="008E215F"/>
    <w:rsid w:val="008E2BB5"/>
    <w:rsid w:val="008E33D0"/>
    <w:rsid w:val="008E397E"/>
    <w:rsid w:val="008E3E69"/>
    <w:rsid w:val="008E4255"/>
    <w:rsid w:val="008E429A"/>
    <w:rsid w:val="008E4CCB"/>
    <w:rsid w:val="008E51BF"/>
    <w:rsid w:val="008E5C44"/>
    <w:rsid w:val="008E6988"/>
    <w:rsid w:val="008E6E0E"/>
    <w:rsid w:val="008E72A1"/>
    <w:rsid w:val="008E76E4"/>
    <w:rsid w:val="008E7A4B"/>
    <w:rsid w:val="008F171A"/>
    <w:rsid w:val="008F1C43"/>
    <w:rsid w:val="008F1D91"/>
    <w:rsid w:val="008F2845"/>
    <w:rsid w:val="008F32C3"/>
    <w:rsid w:val="008F3C7C"/>
    <w:rsid w:val="008F3DEC"/>
    <w:rsid w:val="008F5F0A"/>
    <w:rsid w:val="008F6E5C"/>
    <w:rsid w:val="008F7C63"/>
    <w:rsid w:val="008F7D3E"/>
    <w:rsid w:val="0090129F"/>
    <w:rsid w:val="009012D1"/>
    <w:rsid w:val="00901889"/>
    <w:rsid w:val="00901CAF"/>
    <w:rsid w:val="0090202F"/>
    <w:rsid w:val="00902565"/>
    <w:rsid w:val="00902BBC"/>
    <w:rsid w:val="00902C01"/>
    <w:rsid w:val="00902C54"/>
    <w:rsid w:val="009038AE"/>
    <w:rsid w:val="00905A03"/>
    <w:rsid w:val="00905BDE"/>
    <w:rsid w:val="009062A6"/>
    <w:rsid w:val="00907ADF"/>
    <w:rsid w:val="009101D1"/>
    <w:rsid w:val="00910E28"/>
    <w:rsid w:val="00911561"/>
    <w:rsid w:val="0091248A"/>
    <w:rsid w:val="00912C68"/>
    <w:rsid w:val="009132A6"/>
    <w:rsid w:val="00913532"/>
    <w:rsid w:val="00913583"/>
    <w:rsid w:val="009138AC"/>
    <w:rsid w:val="00913F5C"/>
    <w:rsid w:val="009152A0"/>
    <w:rsid w:val="009154CC"/>
    <w:rsid w:val="0091655D"/>
    <w:rsid w:val="009172BF"/>
    <w:rsid w:val="00920882"/>
    <w:rsid w:val="00920E87"/>
    <w:rsid w:val="00922143"/>
    <w:rsid w:val="0092265E"/>
    <w:rsid w:val="0092272E"/>
    <w:rsid w:val="00923139"/>
    <w:rsid w:val="009238A8"/>
    <w:rsid w:val="00924BE9"/>
    <w:rsid w:val="0092660A"/>
    <w:rsid w:val="00926629"/>
    <w:rsid w:val="009267D6"/>
    <w:rsid w:val="009273FD"/>
    <w:rsid w:val="009274C6"/>
    <w:rsid w:val="00927996"/>
    <w:rsid w:val="00927CC6"/>
    <w:rsid w:val="00930841"/>
    <w:rsid w:val="00930FCD"/>
    <w:rsid w:val="009317F0"/>
    <w:rsid w:val="00931B43"/>
    <w:rsid w:val="00932A59"/>
    <w:rsid w:val="00932C17"/>
    <w:rsid w:val="00933878"/>
    <w:rsid w:val="00934A66"/>
    <w:rsid w:val="0093563E"/>
    <w:rsid w:val="00935B2F"/>
    <w:rsid w:val="00936055"/>
    <w:rsid w:val="00936137"/>
    <w:rsid w:val="0093678D"/>
    <w:rsid w:val="0093685E"/>
    <w:rsid w:val="00936F2D"/>
    <w:rsid w:val="00937C4D"/>
    <w:rsid w:val="00941476"/>
    <w:rsid w:val="009426E6"/>
    <w:rsid w:val="0094357B"/>
    <w:rsid w:val="009441F9"/>
    <w:rsid w:val="0094494B"/>
    <w:rsid w:val="00944D4A"/>
    <w:rsid w:val="00946672"/>
    <w:rsid w:val="0095035C"/>
    <w:rsid w:val="009504DA"/>
    <w:rsid w:val="00952207"/>
    <w:rsid w:val="0095240F"/>
    <w:rsid w:val="009526AC"/>
    <w:rsid w:val="00952CCB"/>
    <w:rsid w:val="00952E6E"/>
    <w:rsid w:val="009535B1"/>
    <w:rsid w:val="00955851"/>
    <w:rsid w:val="00955D1E"/>
    <w:rsid w:val="0095649B"/>
    <w:rsid w:val="00956D0C"/>
    <w:rsid w:val="00956E01"/>
    <w:rsid w:val="00956E95"/>
    <w:rsid w:val="0095716F"/>
    <w:rsid w:val="00957579"/>
    <w:rsid w:val="00957B41"/>
    <w:rsid w:val="00960131"/>
    <w:rsid w:val="009606CB"/>
    <w:rsid w:val="0096156C"/>
    <w:rsid w:val="00962A81"/>
    <w:rsid w:val="00963FF4"/>
    <w:rsid w:val="00964338"/>
    <w:rsid w:val="00964380"/>
    <w:rsid w:val="0096648E"/>
    <w:rsid w:val="009664F9"/>
    <w:rsid w:val="00966798"/>
    <w:rsid w:val="00967721"/>
    <w:rsid w:val="00967F1F"/>
    <w:rsid w:val="00967FFB"/>
    <w:rsid w:val="00971975"/>
    <w:rsid w:val="009720BA"/>
    <w:rsid w:val="009721D5"/>
    <w:rsid w:val="00973157"/>
    <w:rsid w:val="009733FF"/>
    <w:rsid w:val="00973E91"/>
    <w:rsid w:val="00974409"/>
    <w:rsid w:val="009770BC"/>
    <w:rsid w:val="0098071E"/>
    <w:rsid w:val="00981884"/>
    <w:rsid w:val="00981F0D"/>
    <w:rsid w:val="00982960"/>
    <w:rsid w:val="00983E52"/>
    <w:rsid w:val="00985D53"/>
    <w:rsid w:val="009863EB"/>
    <w:rsid w:val="00986839"/>
    <w:rsid w:val="00986B06"/>
    <w:rsid w:val="00986FB9"/>
    <w:rsid w:val="00987549"/>
    <w:rsid w:val="009876BD"/>
    <w:rsid w:val="00990659"/>
    <w:rsid w:val="00990772"/>
    <w:rsid w:val="009916CA"/>
    <w:rsid w:val="0099282B"/>
    <w:rsid w:val="00992E30"/>
    <w:rsid w:val="00993DD3"/>
    <w:rsid w:val="00994A52"/>
    <w:rsid w:val="00994ABF"/>
    <w:rsid w:val="009955F8"/>
    <w:rsid w:val="00997AAD"/>
    <w:rsid w:val="00997D6D"/>
    <w:rsid w:val="00997FDA"/>
    <w:rsid w:val="009A02FC"/>
    <w:rsid w:val="009A066D"/>
    <w:rsid w:val="009A0A15"/>
    <w:rsid w:val="009A0A77"/>
    <w:rsid w:val="009A1FA7"/>
    <w:rsid w:val="009A2D44"/>
    <w:rsid w:val="009A3563"/>
    <w:rsid w:val="009A3883"/>
    <w:rsid w:val="009A4352"/>
    <w:rsid w:val="009A46EF"/>
    <w:rsid w:val="009A5404"/>
    <w:rsid w:val="009A565D"/>
    <w:rsid w:val="009A56FE"/>
    <w:rsid w:val="009A7C4E"/>
    <w:rsid w:val="009A7FA1"/>
    <w:rsid w:val="009B05E9"/>
    <w:rsid w:val="009B0627"/>
    <w:rsid w:val="009B0DC8"/>
    <w:rsid w:val="009B17F5"/>
    <w:rsid w:val="009B1D32"/>
    <w:rsid w:val="009B20B4"/>
    <w:rsid w:val="009B3519"/>
    <w:rsid w:val="009B3C9D"/>
    <w:rsid w:val="009B41C9"/>
    <w:rsid w:val="009B45D3"/>
    <w:rsid w:val="009B5276"/>
    <w:rsid w:val="009B5662"/>
    <w:rsid w:val="009B61FC"/>
    <w:rsid w:val="009B62BD"/>
    <w:rsid w:val="009B6BBE"/>
    <w:rsid w:val="009B7DCC"/>
    <w:rsid w:val="009B7EBB"/>
    <w:rsid w:val="009C055E"/>
    <w:rsid w:val="009C0617"/>
    <w:rsid w:val="009C0B70"/>
    <w:rsid w:val="009C1B73"/>
    <w:rsid w:val="009C1E82"/>
    <w:rsid w:val="009C36CE"/>
    <w:rsid w:val="009C3740"/>
    <w:rsid w:val="009C393B"/>
    <w:rsid w:val="009C4079"/>
    <w:rsid w:val="009C42B6"/>
    <w:rsid w:val="009C4923"/>
    <w:rsid w:val="009C50C6"/>
    <w:rsid w:val="009C5E24"/>
    <w:rsid w:val="009C7508"/>
    <w:rsid w:val="009C7662"/>
    <w:rsid w:val="009D0801"/>
    <w:rsid w:val="009D092F"/>
    <w:rsid w:val="009D0FB5"/>
    <w:rsid w:val="009D13FB"/>
    <w:rsid w:val="009D1F01"/>
    <w:rsid w:val="009D2241"/>
    <w:rsid w:val="009D2495"/>
    <w:rsid w:val="009D2961"/>
    <w:rsid w:val="009D2A14"/>
    <w:rsid w:val="009D2BAE"/>
    <w:rsid w:val="009D3AF1"/>
    <w:rsid w:val="009D3DFE"/>
    <w:rsid w:val="009D4B04"/>
    <w:rsid w:val="009D4D74"/>
    <w:rsid w:val="009D5134"/>
    <w:rsid w:val="009D61A3"/>
    <w:rsid w:val="009D7DD0"/>
    <w:rsid w:val="009E1EE6"/>
    <w:rsid w:val="009E4DA4"/>
    <w:rsid w:val="009E513F"/>
    <w:rsid w:val="009E57F9"/>
    <w:rsid w:val="009E767F"/>
    <w:rsid w:val="009E7887"/>
    <w:rsid w:val="009F07AF"/>
    <w:rsid w:val="009F08F4"/>
    <w:rsid w:val="009F0BE6"/>
    <w:rsid w:val="009F0E95"/>
    <w:rsid w:val="009F1B1A"/>
    <w:rsid w:val="009F3173"/>
    <w:rsid w:val="009F3AE7"/>
    <w:rsid w:val="009F5A37"/>
    <w:rsid w:val="009F7BC2"/>
    <w:rsid w:val="00A002CB"/>
    <w:rsid w:val="00A00E0E"/>
    <w:rsid w:val="00A00FDD"/>
    <w:rsid w:val="00A010F0"/>
    <w:rsid w:val="00A012FD"/>
    <w:rsid w:val="00A01971"/>
    <w:rsid w:val="00A036A5"/>
    <w:rsid w:val="00A0419A"/>
    <w:rsid w:val="00A046E8"/>
    <w:rsid w:val="00A0494D"/>
    <w:rsid w:val="00A0542E"/>
    <w:rsid w:val="00A05B65"/>
    <w:rsid w:val="00A06560"/>
    <w:rsid w:val="00A06625"/>
    <w:rsid w:val="00A0765F"/>
    <w:rsid w:val="00A07A66"/>
    <w:rsid w:val="00A1100F"/>
    <w:rsid w:val="00A11A66"/>
    <w:rsid w:val="00A1212E"/>
    <w:rsid w:val="00A124D7"/>
    <w:rsid w:val="00A13992"/>
    <w:rsid w:val="00A15668"/>
    <w:rsid w:val="00A157CB"/>
    <w:rsid w:val="00A162DF"/>
    <w:rsid w:val="00A164C5"/>
    <w:rsid w:val="00A169C1"/>
    <w:rsid w:val="00A16A2D"/>
    <w:rsid w:val="00A20E6A"/>
    <w:rsid w:val="00A21FCE"/>
    <w:rsid w:val="00A22868"/>
    <w:rsid w:val="00A23FC8"/>
    <w:rsid w:val="00A24BF2"/>
    <w:rsid w:val="00A25AE5"/>
    <w:rsid w:val="00A26071"/>
    <w:rsid w:val="00A27013"/>
    <w:rsid w:val="00A2748C"/>
    <w:rsid w:val="00A27505"/>
    <w:rsid w:val="00A27CC2"/>
    <w:rsid w:val="00A27DFF"/>
    <w:rsid w:val="00A27F7E"/>
    <w:rsid w:val="00A30014"/>
    <w:rsid w:val="00A30798"/>
    <w:rsid w:val="00A31786"/>
    <w:rsid w:val="00A327F1"/>
    <w:rsid w:val="00A32C65"/>
    <w:rsid w:val="00A32D25"/>
    <w:rsid w:val="00A331BB"/>
    <w:rsid w:val="00A33A85"/>
    <w:rsid w:val="00A34A84"/>
    <w:rsid w:val="00A34D6F"/>
    <w:rsid w:val="00A35544"/>
    <w:rsid w:val="00A35D79"/>
    <w:rsid w:val="00A35EF7"/>
    <w:rsid w:val="00A365CB"/>
    <w:rsid w:val="00A36B9F"/>
    <w:rsid w:val="00A37CBD"/>
    <w:rsid w:val="00A406BF"/>
    <w:rsid w:val="00A40913"/>
    <w:rsid w:val="00A41025"/>
    <w:rsid w:val="00A412F4"/>
    <w:rsid w:val="00A415FF"/>
    <w:rsid w:val="00A41A90"/>
    <w:rsid w:val="00A41B4B"/>
    <w:rsid w:val="00A41F5F"/>
    <w:rsid w:val="00A42E88"/>
    <w:rsid w:val="00A43DEE"/>
    <w:rsid w:val="00A44B3E"/>
    <w:rsid w:val="00A453EC"/>
    <w:rsid w:val="00A45C80"/>
    <w:rsid w:val="00A45F17"/>
    <w:rsid w:val="00A463B7"/>
    <w:rsid w:val="00A463ED"/>
    <w:rsid w:val="00A46894"/>
    <w:rsid w:val="00A4718A"/>
    <w:rsid w:val="00A47711"/>
    <w:rsid w:val="00A47D6E"/>
    <w:rsid w:val="00A505E5"/>
    <w:rsid w:val="00A51265"/>
    <w:rsid w:val="00A512F7"/>
    <w:rsid w:val="00A51EA9"/>
    <w:rsid w:val="00A5228E"/>
    <w:rsid w:val="00A523DF"/>
    <w:rsid w:val="00A52A5E"/>
    <w:rsid w:val="00A531ED"/>
    <w:rsid w:val="00A5328A"/>
    <w:rsid w:val="00A541B5"/>
    <w:rsid w:val="00A542F3"/>
    <w:rsid w:val="00A5436B"/>
    <w:rsid w:val="00A54C54"/>
    <w:rsid w:val="00A56A81"/>
    <w:rsid w:val="00A56B4E"/>
    <w:rsid w:val="00A56ECF"/>
    <w:rsid w:val="00A571BD"/>
    <w:rsid w:val="00A57904"/>
    <w:rsid w:val="00A62E9C"/>
    <w:rsid w:val="00A64EDC"/>
    <w:rsid w:val="00A6501C"/>
    <w:rsid w:val="00A651C1"/>
    <w:rsid w:val="00A65964"/>
    <w:rsid w:val="00A660EC"/>
    <w:rsid w:val="00A66595"/>
    <w:rsid w:val="00A706EF"/>
    <w:rsid w:val="00A706F2"/>
    <w:rsid w:val="00A70D88"/>
    <w:rsid w:val="00A70FF9"/>
    <w:rsid w:val="00A72EB0"/>
    <w:rsid w:val="00A732B1"/>
    <w:rsid w:val="00A73A0D"/>
    <w:rsid w:val="00A73A94"/>
    <w:rsid w:val="00A73B19"/>
    <w:rsid w:val="00A74C15"/>
    <w:rsid w:val="00A74E0B"/>
    <w:rsid w:val="00A75775"/>
    <w:rsid w:val="00A758E0"/>
    <w:rsid w:val="00A764B1"/>
    <w:rsid w:val="00A76A05"/>
    <w:rsid w:val="00A76ACA"/>
    <w:rsid w:val="00A76BF0"/>
    <w:rsid w:val="00A76CDE"/>
    <w:rsid w:val="00A7774E"/>
    <w:rsid w:val="00A80165"/>
    <w:rsid w:val="00A8100C"/>
    <w:rsid w:val="00A810AA"/>
    <w:rsid w:val="00A81352"/>
    <w:rsid w:val="00A816FA"/>
    <w:rsid w:val="00A81E33"/>
    <w:rsid w:val="00A82378"/>
    <w:rsid w:val="00A83970"/>
    <w:rsid w:val="00A839A3"/>
    <w:rsid w:val="00A851A6"/>
    <w:rsid w:val="00A860CA"/>
    <w:rsid w:val="00A86B18"/>
    <w:rsid w:val="00A86C61"/>
    <w:rsid w:val="00A87443"/>
    <w:rsid w:val="00A90327"/>
    <w:rsid w:val="00A90926"/>
    <w:rsid w:val="00A90A38"/>
    <w:rsid w:val="00A90B86"/>
    <w:rsid w:val="00A913DF"/>
    <w:rsid w:val="00A92FF7"/>
    <w:rsid w:val="00A932BF"/>
    <w:rsid w:val="00A93583"/>
    <w:rsid w:val="00A935F4"/>
    <w:rsid w:val="00A93FB3"/>
    <w:rsid w:val="00A945EE"/>
    <w:rsid w:val="00A946FA"/>
    <w:rsid w:val="00A94895"/>
    <w:rsid w:val="00A9605D"/>
    <w:rsid w:val="00A96739"/>
    <w:rsid w:val="00A96DC4"/>
    <w:rsid w:val="00A96FEB"/>
    <w:rsid w:val="00A977AA"/>
    <w:rsid w:val="00AA0099"/>
    <w:rsid w:val="00AA171F"/>
    <w:rsid w:val="00AA39A9"/>
    <w:rsid w:val="00AA63E2"/>
    <w:rsid w:val="00AA6A13"/>
    <w:rsid w:val="00AA6F0E"/>
    <w:rsid w:val="00AB0F2B"/>
    <w:rsid w:val="00AB1D59"/>
    <w:rsid w:val="00AB1D94"/>
    <w:rsid w:val="00AB2052"/>
    <w:rsid w:val="00AB2198"/>
    <w:rsid w:val="00AB23C7"/>
    <w:rsid w:val="00AB2B2F"/>
    <w:rsid w:val="00AB329D"/>
    <w:rsid w:val="00AB3EC7"/>
    <w:rsid w:val="00AB53BF"/>
    <w:rsid w:val="00AB5AA3"/>
    <w:rsid w:val="00AB63E5"/>
    <w:rsid w:val="00AB67B4"/>
    <w:rsid w:val="00AB76CD"/>
    <w:rsid w:val="00AB7FCC"/>
    <w:rsid w:val="00AC0447"/>
    <w:rsid w:val="00AC05C1"/>
    <w:rsid w:val="00AC080A"/>
    <w:rsid w:val="00AC0CEF"/>
    <w:rsid w:val="00AC1084"/>
    <w:rsid w:val="00AC1135"/>
    <w:rsid w:val="00AC21A1"/>
    <w:rsid w:val="00AC23BF"/>
    <w:rsid w:val="00AC2B9D"/>
    <w:rsid w:val="00AC359D"/>
    <w:rsid w:val="00AC363D"/>
    <w:rsid w:val="00AC5D3E"/>
    <w:rsid w:val="00AC626D"/>
    <w:rsid w:val="00AC6F1A"/>
    <w:rsid w:val="00AC74D2"/>
    <w:rsid w:val="00AD0718"/>
    <w:rsid w:val="00AD0891"/>
    <w:rsid w:val="00AD0F5B"/>
    <w:rsid w:val="00AD2637"/>
    <w:rsid w:val="00AD2D54"/>
    <w:rsid w:val="00AD3BE6"/>
    <w:rsid w:val="00AD3BF3"/>
    <w:rsid w:val="00AD3DFC"/>
    <w:rsid w:val="00AD41A4"/>
    <w:rsid w:val="00AD4514"/>
    <w:rsid w:val="00AD473B"/>
    <w:rsid w:val="00AD4BFA"/>
    <w:rsid w:val="00AD5258"/>
    <w:rsid w:val="00AD5C26"/>
    <w:rsid w:val="00AD62E6"/>
    <w:rsid w:val="00AD7B1B"/>
    <w:rsid w:val="00AD7DA4"/>
    <w:rsid w:val="00AE0121"/>
    <w:rsid w:val="00AE13FC"/>
    <w:rsid w:val="00AE1D81"/>
    <w:rsid w:val="00AE39A0"/>
    <w:rsid w:val="00AE3C4A"/>
    <w:rsid w:val="00AE3F97"/>
    <w:rsid w:val="00AE4B9F"/>
    <w:rsid w:val="00AF1DA3"/>
    <w:rsid w:val="00AF284A"/>
    <w:rsid w:val="00AF2F3B"/>
    <w:rsid w:val="00AF311C"/>
    <w:rsid w:val="00AF357B"/>
    <w:rsid w:val="00AF3832"/>
    <w:rsid w:val="00AF47A2"/>
    <w:rsid w:val="00AF515B"/>
    <w:rsid w:val="00AF52D1"/>
    <w:rsid w:val="00AF6291"/>
    <w:rsid w:val="00AF6B5D"/>
    <w:rsid w:val="00AF7AD0"/>
    <w:rsid w:val="00B001EA"/>
    <w:rsid w:val="00B00F17"/>
    <w:rsid w:val="00B00FE3"/>
    <w:rsid w:val="00B0228D"/>
    <w:rsid w:val="00B02406"/>
    <w:rsid w:val="00B02B21"/>
    <w:rsid w:val="00B035C4"/>
    <w:rsid w:val="00B0409C"/>
    <w:rsid w:val="00B04D75"/>
    <w:rsid w:val="00B04EDF"/>
    <w:rsid w:val="00B05540"/>
    <w:rsid w:val="00B062D9"/>
    <w:rsid w:val="00B06565"/>
    <w:rsid w:val="00B07225"/>
    <w:rsid w:val="00B12318"/>
    <w:rsid w:val="00B126D9"/>
    <w:rsid w:val="00B12E01"/>
    <w:rsid w:val="00B13EA0"/>
    <w:rsid w:val="00B13EE8"/>
    <w:rsid w:val="00B15727"/>
    <w:rsid w:val="00B1601D"/>
    <w:rsid w:val="00B16B02"/>
    <w:rsid w:val="00B172AF"/>
    <w:rsid w:val="00B20BC8"/>
    <w:rsid w:val="00B20C3A"/>
    <w:rsid w:val="00B20DB9"/>
    <w:rsid w:val="00B2183E"/>
    <w:rsid w:val="00B21E5D"/>
    <w:rsid w:val="00B22BB8"/>
    <w:rsid w:val="00B24A90"/>
    <w:rsid w:val="00B25D6E"/>
    <w:rsid w:val="00B26A84"/>
    <w:rsid w:val="00B26E0D"/>
    <w:rsid w:val="00B2722F"/>
    <w:rsid w:val="00B27F90"/>
    <w:rsid w:val="00B31381"/>
    <w:rsid w:val="00B31C98"/>
    <w:rsid w:val="00B31FCF"/>
    <w:rsid w:val="00B32BB7"/>
    <w:rsid w:val="00B332C4"/>
    <w:rsid w:val="00B33750"/>
    <w:rsid w:val="00B3526C"/>
    <w:rsid w:val="00B354D8"/>
    <w:rsid w:val="00B35695"/>
    <w:rsid w:val="00B357EC"/>
    <w:rsid w:val="00B36661"/>
    <w:rsid w:val="00B36739"/>
    <w:rsid w:val="00B37B89"/>
    <w:rsid w:val="00B4083D"/>
    <w:rsid w:val="00B4195F"/>
    <w:rsid w:val="00B41AB4"/>
    <w:rsid w:val="00B46538"/>
    <w:rsid w:val="00B46B29"/>
    <w:rsid w:val="00B4731A"/>
    <w:rsid w:val="00B47640"/>
    <w:rsid w:val="00B47B49"/>
    <w:rsid w:val="00B513B9"/>
    <w:rsid w:val="00B51683"/>
    <w:rsid w:val="00B51BE0"/>
    <w:rsid w:val="00B52455"/>
    <w:rsid w:val="00B52485"/>
    <w:rsid w:val="00B5390F"/>
    <w:rsid w:val="00B53AAE"/>
    <w:rsid w:val="00B54063"/>
    <w:rsid w:val="00B54BF8"/>
    <w:rsid w:val="00B55158"/>
    <w:rsid w:val="00B55683"/>
    <w:rsid w:val="00B55848"/>
    <w:rsid w:val="00B55A20"/>
    <w:rsid w:val="00B566B7"/>
    <w:rsid w:val="00B60076"/>
    <w:rsid w:val="00B60554"/>
    <w:rsid w:val="00B60D17"/>
    <w:rsid w:val="00B61170"/>
    <w:rsid w:val="00B61D28"/>
    <w:rsid w:val="00B62340"/>
    <w:rsid w:val="00B6263A"/>
    <w:rsid w:val="00B62C37"/>
    <w:rsid w:val="00B62E98"/>
    <w:rsid w:val="00B639FC"/>
    <w:rsid w:val="00B63C95"/>
    <w:rsid w:val="00B643E5"/>
    <w:rsid w:val="00B659A9"/>
    <w:rsid w:val="00B65F58"/>
    <w:rsid w:val="00B66212"/>
    <w:rsid w:val="00B6622C"/>
    <w:rsid w:val="00B675B8"/>
    <w:rsid w:val="00B67F59"/>
    <w:rsid w:val="00B70245"/>
    <w:rsid w:val="00B70906"/>
    <w:rsid w:val="00B70AD6"/>
    <w:rsid w:val="00B7112A"/>
    <w:rsid w:val="00B716DB"/>
    <w:rsid w:val="00B71C7E"/>
    <w:rsid w:val="00B71EB6"/>
    <w:rsid w:val="00B7318F"/>
    <w:rsid w:val="00B7380D"/>
    <w:rsid w:val="00B738FE"/>
    <w:rsid w:val="00B7397F"/>
    <w:rsid w:val="00B74697"/>
    <w:rsid w:val="00B7564D"/>
    <w:rsid w:val="00B75736"/>
    <w:rsid w:val="00B76529"/>
    <w:rsid w:val="00B767DA"/>
    <w:rsid w:val="00B76ECD"/>
    <w:rsid w:val="00B7737A"/>
    <w:rsid w:val="00B77DD5"/>
    <w:rsid w:val="00B77DE3"/>
    <w:rsid w:val="00B82002"/>
    <w:rsid w:val="00B837B2"/>
    <w:rsid w:val="00B844AA"/>
    <w:rsid w:val="00B84A5E"/>
    <w:rsid w:val="00B864BC"/>
    <w:rsid w:val="00B87782"/>
    <w:rsid w:val="00B87B4C"/>
    <w:rsid w:val="00B90450"/>
    <w:rsid w:val="00B9054F"/>
    <w:rsid w:val="00B909D9"/>
    <w:rsid w:val="00B91289"/>
    <w:rsid w:val="00B91E37"/>
    <w:rsid w:val="00B92552"/>
    <w:rsid w:val="00B925CD"/>
    <w:rsid w:val="00B93066"/>
    <w:rsid w:val="00B9331E"/>
    <w:rsid w:val="00B9333E"/>
    <w:rsid w:val="00B93982"/>
    <w:rsid w:val="00B94DBE"/>
    <w:rsid w:val="00B95DBC"/>
    <w:rsid w:val="00B96152"/>
    <w:rsid w:val="00B962D0"/>
    <w:rsid w:val="00B96AF0"/>
    <w:rsid w:val="00BA067C"/>
    <w:rsid w:val="00BA0846"/>
    <w:rsid w:val="00BA22D5"/>
    <w:rsid w:val="00BA294F"/>
    <w:rsid w:val="00BA39D2"/>
    <w:rsid w:val="00BA5A58"/>
    <w:rsid w:val="00BA67DA"/>
    <w:rsid w:val="00BA714C"/>
    <w:rsid w:val="00BA73C3"/>
    <w:rsid w:val="00BA7491"/>
    <w:rsid w:val="00BA7CB6"/>
    <w:rsid w:val="00BB014D"/>
    <w:rsid w:val="00BB0643"/>
    <w:rsid w:val="00BB0F60"/>
    <w:rsid w:val="00BB16AF"/>
    <w:rsid w:val="00BB1741"/>
    <w:rsid w:val="00BB28C3"/>
    <w:rsid w:val="00BB2DC0"/>
    <w:rsid w:val="00BB2FC4"/>
    <w:rsid w:val="00BB3292"/>
    <w:rsid w:val="00BB36FB"/>
    <w:rsid w:val="00BB399D"/>
    <w:rsid w:val="00BB412E"/>
    <w:rsid w:val="00BB5246"/>
    <w:rsid w:val="00BB5333"/>
    <w:rsid w:val="00BB657F"/>
    <w:rsid w:val="00BB7311"/>
    <w:rsid w:val="00BB73EB"/>
    <w:rsid w:val="00BB79C9"/>
    <w:rsid w:val="00BB7C85"/>
    <w:rsid w:val="00BC0342"/>
    <w:rsid w:val="00BC0583"/>
    <w:rsid w:val="00BC05D2"/>
    <w:rsid w:val="00BC0837"/>
    <w:rsid w:val="00BC088E"/>
    <w:rsid w:val="00BC1F1F"/>
    <w:rsid w:val="00BC1F59"/>
    <w:rsid w:val="00BC37D1"/>
    <w:rsid w:val="00BC47B6"/>
    <w:rsid w:val="00BC5422"/>
    <w:rsid w:val="00BC6865"/>
    <w:rsid w:val="00BC7584"/>
    <w:rsid w:val="00BD1CBC"/>
    <w:rsid w:val="00BD2E1D"/>
    <w:rsid w:val="00BD3822"/>
    <w:rsid w:val="00BD4CBB"/>
    <w:rsid w:val="00BD6245"/>
    <w:rsid w:val="00BD64B4"/>
    <w:rsid w:val="00BD7659"/>
    <w:rsid w:val="00BD79CC"/>
    <w:rsid w:val="00BE0504"/>
    <w:rsid w:val="00BE1213"/>
    <w:rsid w:val="00BE12DE"/>
    <w:rsid w:val="00BE3354"/>
    <w:rsid w:val="00BE3567"/>
    <w:rsid w:val="00BE3BDB"/>
    <w:rsid w:val="00BE4002"/>
    <w:rsid w:val="00BE55D1"/>
    <w:rsid w:val="00BE58C6"/>
    <w:rsid w:val="00BE6606"/>
    <w:rsid w:val="00BE66BE"/>
    <w:rsid w:val="00BE6ADD"/>
    <w:rsid w:val="00BE7C51"/>
    <w:rsid w:val="00BF0B8F"/>
    <w:rsid w:val="00BF0CD7"/>
    <w:rsid w:val="00BF18D3"/>
    <w:rsid w:val="00BF1E8A"/>
    <w:rsid w:val="00BF25EC"/>
    <w:rsid w:val="00BF4F81"/>
    <w:rsid w:val="00BF62E9"/>
    <w:rsid w:val="00BF691D"/>
    <w:rsid w:val="00BF6990"/>
    <w:rsid w:val="00BF6E74"/>
    <w:rsid w:val="00BF70F3"/>
    <w:rsid w:val="00BF75CD"/>
    <w:rsid w:val="00BF76E8"/>
    <w:rsid w:val="00BF7D91"/>
    <w:rsid w:val="00C0010C"/>
    <w:rsid w:val="00C001DE"/>
    <w:rsid w:val="00C0102F"/>
    <w:rsid w:val="00C011AE"/>
    <w:rsid w:val="00C03E36"/>
    <w:rsid w:val="00C04238"/>
    <w:rsid w:val="00C044E7"/>
    <w:rsid w:val="00C0466F"/>
    <w:rsid w:val="00C052B4"/>
    <w:rsid w:val="00C0562F"/>
    <w:rsid w:val="00C05B06"/>
    <w:rsid w:val="00C06332"/>
    <w:rsid w:val="00C06492"/>
    <w:rsid w:val="00C066E1"/>
    <w:rsid w:val="00C06912"/>
    <w:rsid w:val="00C10410"/>
    <w:rsid w:val="00C1202C"/>
    <w:rsid w:val="00C12166"/>
    <w:rsid w:val="00C12507"/>
    <w:rsid w:val="00C12AF3"/>
    <w:rsid w:val="00C14EAA"/>
    <w:rsid w:val="00C15129"/>
    <w:rsid w:val="00C151F9"/>
    <w:rsid w:val="00C16492"/>
    <w:rsid w:val="00C167D6"/>
    <w:rsid w:val="00C1701F"/>
    <w:rsid w:val="00C20D38"/>
    <w:rsid w:val="00C21B0C"/>
    <w:rsid w:val="00C21CC7"/>
    <w:rsid w:val="00C21E71"/>
    <w:rsid w:val="00C2208F"/>
    <w:rsid w:val="00C2236C"/>
    <w:rsid w:val="00C224D9"/>
    <w:rsid w:val="00C24717"/>
    <w:rsid w:val="00C24782"/>
    <w:rsid w:val="00C24816"/>
    <w:rsid w:val="00C25146"/>
    <w:rsid w:val="00C27C82"/>
    <w:rsid w:val="00C30634"/>
    <w:rsid w:val="00C30E5F"/>
    <w:rsid w:val="00C30F1A"/>
    <w:rsid w:val="00C33A92"/>
    <w:rsid w:val="00C34DFB"/>
    <w:rsid w:val="00C34EAD"/>
    <w:rsid w:val="00C34EF4"/>
    <w:rsid w:val="00C37770"/>
    <w:rsid w:val="00C3786A"/>
    <w:rsid w:val="00C37BB6"/>
    <w:rsid w:val="00C43052"/>
    <w:rsid w:val="00C46FA9"/>
    <w:rsid w:val="00C47925"/>
    <w:rsid w:val="00C50294"/>
    <w:rsid w:val="00C50FCB"/>
    <w:rsid w:val="00C514FF"/>
    <w:rsid w:val="00C51657"/>
    <w:rsid w:val="00C51F73"/>
    <w:rsid w:val="00C52137"/>
    <w:rsid w:val="00C52503"/>
    <w:rsid w:val="00C5297F"/>
    <w:rsid w:val="00C52FE8"/>
    <w:rsid w:val="00C53142"/>
    <w:rsid w:val="00C53294"/>
    <w:rsid w:val="00C54A6A"/>
    <w:rsid w:val="00C54EDF"/>
    <w:rsid w:val="00C54F46"/>
    <w:rsid w:val="00C5505E"/>
    <w:rsid w:val="00C55FAC"/>
    <w:rsid w:val="00C57C5C"/>
    <w:rsid w:val="00C602BC"/>
    <w:rsid w:val="00C603C5"/>
    <w:rsid w:val="00C61961"/>
    <w:rsid w:val="00C61B1B"/>
    <w:rsid w:val="00C61DBF"/>
    <w:rsid w:val="00C62658"/>
    <w:rsid w:val="00C6299E"/>
    <w:rsid w:val="00C629AD"/>
    <w:rsid w:val="00C635C3"/>
    <w:rsid w:val="00C64CF8"/>
    <w:rsid w:val="00C64D91"/>
    <w:rsid w:val="00C66F66"/>
    <w:rsid w:val="00C673C0"/>
    <w:rsid w:val="00C675BF"/>
    <w:rsid w:val="00C678F8"/>
    <w:rsid w:val="00C67E54"/>
    <w:rsid w:val="00C7005F"/>
    <w:rsid w:val="00C70D9A"/>
    <w:rsid w:val="00C70E61"/>
    <w:rsid w:val="00C7147E"/>
    <w:rsid w:val="00C736EC"/>
    <w:rsid w:val="00C743C5"/>
    <w:rsid w:val="00C753FF"/>
    <w:rsid w:val="00C75A1E"/>
    <w:rsid w:val="00C75DE8"/>
    <w:rsid w:val="00C7604D"/>
    <w:rsid w:val="00C77441"/>
    <w:rsid w:val="00C7748C"/>
    <w:rsid w:val="00C775CE"/>
    <w:rsid w:val="00C77810"/>
    <w:rsid w:val="00C80146"/>
    <w:rsid w:val="00C805EA"/>
    <w:rsid w:val="00C809DB"/>
    <w:rsid w:val="00C815E4"/>
    <w:rsid w:val="00C819BA"/>
    <w:rsid w:val="00C82F9E"/>
    <w:rsid w:val="00C83418"/>
    <w:rsid w:val="00C83DCB"/>
    <w:rsid w:val="00C867C9"/>
    <w:rsid w:val="00C868E0"/>
    <w:rsid w:val="00C87C47"/>
    <w:rsid w:val="00C87FA9"/>
    <w:rsid w:val="00C90E64"/>
    <w:rsid w:val="00C9155F"/>
    <w:rsid w:val="00C91DF2"/>
    <w:rsid w:val="00C92438"/>
    <w:rsid w:val="00C93E69"/>
    <w:rsid w:val="00C94097"/>
    <w:rsid w:val="00C94459"/>
    <w:rsid w:val="00C95117"/>
    <w:rsid w:val="00C957D3"/>
    <w:rsid w:val="00C95CFB"/>
    <w:rsid w:val="00C965E8"/>
    <w:rsid w:val="00C97003"/>
    <w:rsid w:val="00C9766E"/>
    <w:rsid w:val="00C9775B"/>
    <w:rsid w:val="00CA0414"/>
    <w:rsid w:val="00CA04CF"/>
    <w:rsid w:val="00CA07E5"/>
    <w:rsid w:val="00CA09A7"/>
    <w:rsid w:val="00CA1085"/>
    <w:rsid w:val="00CA1122"/>
    <w:rsid w:val="00CA29F4"/>
    <w:rsid w:val="00CA379D"/>
    <w:rsid w:val="00CA4509"/>
    <w:rsid w:val="00CA4EFC"/>
    <w:rsid w:val="00CA532D"/>
    <w:rsid w:val="00CA5362"/>
    <w:rsid w:val="00CA6956"/>
    <w:rsid w:val="00CA6EF0"/>
    <w:rsid w:val="00CA79B4"/>
    <w:rsid w:val="00CB0B17"/>
    <w:rsid w:val="00CB0D1D"/>
    <w:rsid w:val="00CB0E7A"/>
    <w:rsid w:val="00CB1525"/>
    <w:rsid w:val="00CB1B3A"/>
    <w:rsid w:val="00CB1C82"/>
    <w:rsid w:val="00CB1DCB"/>
    <w:rsid w:val="00CB4E33"/>
    <w:rsid w:val="00CB50AC"/>
    <w:rsid w:val="00CB51DE"/>
    <w:rsid w:val="00CB754C"/>
    <w:rsid w:val="00CB7A3D"/>
    <w:rsid w:val="00CC041D"/>
    <w:rsid w:val="00CC0530"/>
    <w:rsid w:val="00CC1059"/>
    <w:rsid w:val="00CC1311"/>
    <w:rsid w:val="00CC1CF2"/>
    <w:rsid w:val="00CC281C"/>
    <w:rsid w:val="00CC2DD6"/>
    <w:rsid w:val="00CC3577"/>
    <w:rsid w:val="00CC4CE9"/>
    <w:rsid w:val="00CC5739"/>
    <w:rsid w:val="00CC5BC4"/>
    <w:rsid w:val="00CC650A"/>
    <w:rsid w:val="00CC66E6"/>
    <w:rsid w:val="00CC7042"/>
    <w:rsid w:val="00CC78C2"/>
    <w:rsid w:val="00CD060F"/>
    <w:rsid w:val="00CD0CC7"/>
    <w:rsid w:val="00CD0D2B"/>
    <w:rsid w:val="00CD0D2D"/>
    <w:rsid w:val="00CD1CC4"/>
    <w:rsid w:val="00CD2347"/>
    <w:rsid w:val="00CD4A93"/>
    <w:rsid w:val="00CD4EB6"/>
    <w:rsid w:val="00CD535C"/>
    <w:rsid w:val="00CD5634"/>
    <w:rsid w:val="00CD7666"/>
    <w:rsid w:val="00CE03C7"/>
    <w:rsid w:val="00CE09F6"/>
    <w:rsid w:val="00CE0A54"/>
    <w:rsid w:val="00CE0BE6"/>
    <w:rsid w:val="00CE0CC1"/>
    <w:rsid w:val="00CE153C"/>
    <w:rsid w:val="00CE1F6B"/>
    <w:rsid w:val="00CE214C"/>
    <w:rsid w:val="00CE248C"/>
    <w:rsid w:val="00CE3926"/>
    <w:rsid w:val="00CE43D9"/>
    <w:rsid w:val="00CE46DF"/>
    <w:rsid w:val="00CE4E5D"/>
    <w:rsid w:val="00CE543B"/>
    <w:rsid w:val="00CE5958"/>
    <w:rsid w:val="00CE5D69"/>
    <w:rsid w:val="00CE6B2D"/>
    <w:rsid w:val="00CE6E0D"/>
    <w:rsid w:val="00CE700E"/>
    <w:rsid w:val="00CE7149"/>
    <w:rsid w:val="00CE719C"/>
    <w:rsid w:val="00CF043C"/>
    <w:rsid w:val="00CF048F"/>
    <w:rsid w:val="00CF0719"/>
    <w:rsid w:val="00CF1120"/>
    <w:rsid w:val="00CF1870"/>
    <w:rsid w:val="00CF19CB"/>
    <w:rsid w:val="00CF1BA7"/>
    <w:rsid w:val="00CF1BFD"/>
    <w:rsid w:val="00CF4B03"/>
    <w:rsid w:val="00CF4BF4"/>
    <w:rsid w:val="00CF51E6"/>
    <w:rsid w:val="00CF52F0"/>
    <w:rsid w:val="00CF5B57"/>
    <w:rsid w:val="00CF5F72"/>
    <w:rsid w:val="00CF60D0"/>
    <w:rsid w:val="00CF63A3"/>
    <w:rsid w:val="00CF6B85"/>
    <w:rsid w:val="00CF708D"/>
    <w:rsid w:val="00D007F9"/>
    <w:rsid w:val="00D019BB"/>
    <w:rsid w:val="00D035DC"/>
    <w:rsid w:val="00D03A47"/>
    <w:rsid w:val="00D0438F"/>
    <w:rsid w:val="00D04C4D"/>
    <w:rsid w:val="00D04EF4"/>
    <w:rsid w:val="00D06B73"/>
    <w:rsid w:val="00D07D5D"/>
    <w:rsid w:val="00D107F7"/>
    <w:rsid w:val="00D10AF5"/>
    <w:rsid w:val="00D1127C"/>
    <w:rsid w:val="00D115B0"/>
    <w:rsid w:val="00D115CE"/>
    <w:rsid w:val="00D116CD"/>
    <w:rsid w:val="00D124C4"/>
    <w:rsid w:val="00D12849"/>
    <w:rsid w:val="00D13C2D"/>
    <w:rsid w:val="00D16313"/>
    <w:rsid w:val="00D16D99"/>
    <w:rsid w:val="00D17426"/>
    <w:rsid w:val="00D17659"/>
    <w:rsid w:val="00D176D7"/>
    <w:rsid w:val="00D17A53"/>
    <w:rsid w:val="00D202E0"/>
    <w:rsid w:val="00D216A6"/>
    <w:rsid w:val="00D23A37"/>
    <w:rsid w:val="00D24CA4"/>
    <w:rsid w:val="00D24EB5"/>
    <w:rsid w:val="00D2617A"/>
    <w:rsid w:val="00D267EA"/>
    <w:rsid w:val="00D26870"/>
    <w:rsid w:val="00D26CDF"/>
    <w:rsid w:val="00D27DF4"/>
    <w:rsid w:val="00D30764"/>
    <w:rsid w:val="00D30911"/>
    <w:rsid w:val="00D30D10"/>
    <w:rsid w:val="00D31D5F"/>
    <w:rsid w:val="00D31FEA"/>
    <w:rsid w:val="00D322BC"/>
    <w:rsid w:val="00D325F9"/>
    <w:rsid w:val="00D3302B"/>
    <w:rsid w:val="00D33BF3"/>
    <w:rsid w:val="00D33FD3"/>
    <w:rsid w:val="00D34E04"/>
    <w:rsid w:val="00D34E42"/>
    <w:rsid w:val="00D3522E"/>
    <w:rsid w:val="00D353EE"/>
    <w:rsid w:val="00D36B41"/>
    <w:rsid w:val="00D36B73"/>
    <w:rsid w:val="00D3799B"/>
    <w:rsid w:val="00D37D58"/>
    <w:rsid w:val="00D40F5A"/>
    <w:rsid w:val="00D41226"/>
    <w:rsid w:val="00D4336A"/>
    <w:rsid w:val="00D433B6"/>
    <w:rsid w:val="00D45677"/>
    <w:rsid w:val="00D4580E"/>
    <w:rsid w:val="00D50281"/>
    <w:rsid w:val="00D50A3E"/>
    <w:rsid w:val="00D50B3E"/>
    <w:rsid w:val="00D51B19"/>
    <w:rsid w:val="00D52FE7"/>
    <w:rsid w:val="00D5334D"/>
    <w:rsid w:val="00D536F9"/>
    <w:rsid w:val="00D53959"/>
    <w:rsid w:val="00D53F96"/>
    <w:rsid w:val="00D547CC"/>
    <w:rsid w:val="00D54C5C"/>
    <w:rsid w:val="00D55235"/>
    <w:rsid w:val="00D564C3"/>
    <w:rsid w:val="00D56CB9"/>
    <w:rsid w:val="00D573E2"/>
    <w:rsid w:val="00D60855"/>
    <w:rsid w:val="00D61997"/>
    <w:rsid w:val="00D6282D"/>
    <w:rsid w:val="00D62A41"/>
    <w:rsid w:val="00D62D22"/>
    <w:rsid w:val="00D63452"/>
    <w:rsid w:val="00D63498"/>
    <w:rsid w:val="00D64923"/>
    <w:rsid w:val="00D661AA"/>
    <w:rsid w:val="00D661B6"/>
    <w:rsid w:val="00D670E9"/>
    <w:rsid w:val="00D6796D"/>
    <w:rsid w:val="00D67F11"/>
    <w:rsid w:val="00D67F35"/>
    <w:rsid w:val="00D70D9F"/>
    <w:rsid w:val="00D71454"/>
    <w:rsid w:val="00D71ACC"/>
    <w:rsid w:val="00D725DA"/>
    <w:rsid w:val="00D73528"/>
    <w:rsid w:val="00D740AB"/>
    <w:rsid w:val="00D7430C"/>
    <w:rsid w:val="00D747D6"/>
    <w:rsid w:val="00D74B62"/>
    <w:rsid w:val="00D75159"/>
    <w:rsid w:val="00D75358"/>
    <w:rsid w:val="00D75620"/>
    <w:rsid w:val="00D75CFF"/>
    <w:rsid w:val="00D75E20"/>
    <w:rsid w:val="00D764AC"/>
    <w:rsid w:val="00D76E87"/>
    <w:rsid w:val="00D80012"/>
    <w:rsid w:val="00D819EB"/>
    <w:rsid w:val="00D81B66"/>
    <w:rsid w:val="00D82135"/>
    <w:rsid w:val="00D83183"/>
    <w:rsid w:val="00D83C82"/>
    <w:rsid w:val="00D83DA0"/>
    <w:rsid w:val="00D84420"/>
    <w:rsid w:val="00D84502"/>
    <w:rsid w:val="00D85FC3"/>
    <w:rsid w:val="00D86012"/>
    <w:rsid w:val="00D869A0"/>
    <w:rsid w:val="00D87769"/>
    <w:rsid w:val="00D87B5C"/>
    <w:rsid w:val="00D90ACF"/>
    <w:rsid w:val="00D90B88"/>
    <w:rsid w:val="00D9110B"/>
    <w:rsid w:val="00D92797"/>
    <w:rsid w:val="00D94EB9"/>
    <w:rsid w:val="00D95200"/>
    <w:rsid w:val="00D97192"/>
    <w:rsid w:val="00DA18B0"/>
    <w:rsid w:val="00DA1E5A"/>
    <w:rsid w:val="00DA22D9"/>
    <w:rsid w:val="00DA2359"/>
    <w:rsid w:val="00DA2CB1"/>
    <w:rsid w:val="00DA2D95"/>
    <w:rsid w:val="00DA3933"/>
    <w:rsid w:val="00DA4169"/>
    <w:rsid w:val="00DA4426"/>
    <w:rsid w:val="00DA4592"/>
    <w:rsid w:val="00DA470B"/>
    <w:rsid w:val="00DA488C"/>
    <w:rsid w:val="00DA5852"/>
    <w:rsid w:val="00DA58C2"/>
    <w:rsid w:val="00DA692A"/>
    <w:rsid w:val="00DA6A02"/>
    <w:rsid w:val="00DA7ABE"/>
    <w:rsid w:val="00DB0676"/>
    <w:rsid w:val="00DB09E1"/>
    <w:rsid w:val="00DB0F9C"/>
    <w:rsid w:val="00DB17E7"/>
    <w:rsid w:val="00DB1DDD"/>
    <w:rsid w:val="00DB1FE0"/>
    <w:rsid w:val="00DB27CB"/>
    <w:rsid w:val="00DB3059"/>
    <w:rsid w:val="00DB4038"/>
    <w:rsid w:val="00DB47A3"/>
    <w:rsid w:val="00DB5048"/>
    <w:rsid w:val="00DB5E56"/>
    <w:rsid w:val="00DB7B65"/>
    <w:rsid w:val="00DB7EEC"/>
    <w:rsid w:val="00DC099E"/>
    <w:rsid w:val="00DC0C4B"/>
    <w:rsid w:val="00DC44C2"/>
    <w:rsid w:val="00DC5A37"/>
    <w:rsid w:val="00DC5D58"/>
    <w:rsid w:val="00DC65DB"/>
    <w:rsid w:val="00DC7263"/>
    <w:rsid w:val="00DD0D9C"/>
    <w:rsid w:val="00DD14C0"/>
    <w:rsid w:val="00DD1E68"/>
    <w:rsid w:val="00DD2082"/>
    <w:rsid w:val="00DD3452"/>
    <w:rsid w:val="00DD3E4C"/>
    <w:rsid w:val="00DD44F8"/>
    <w:rsid w:val="00DD47CD"/>
    <w:rsid w:val="00DD48A0"/>
    <w:rsid w:val="00DD52C5"/>
    <w:rsid w:val="00DD55E8"/>
    <w:rsid w:val="00DD58CD"/>
    <w:rsid w:val="00DD5CCC"/>
    <w:rsid w:val="00DD6265"/>
    <w:rsid w:val="00DD6902"/>
    <w:rsid w:val="00DD694D"/>
    <w:rsid w:val="00DD7A94"/>
    <w:rsid w:val="00DE0825"/>
    <w:rsid w:val="00DE0BFC"/>
    <w:rsid w:val="00DE1206"/>
    <w:rsid w:val="00DE12FB"/>
    <w:rsid w:val="00DE1654"/>
    <w:rsid w:val="00DE3275"/>
    <w:rsid w:val="00DE4141"/>
    <w:rsid w:val="00DE42EC"/>
    <w:rsid w:val="00DE4AEE"/>
    <w:rsid w:val="00DE501A"/>
    <w:rsid w:val="00DE570B"/>
    <w:rsid w:val="00DE58BB"/>
    <w:rsid w:val="00DE598E"/>
    <w:rsid w:val="00DE6175"/>
    <w:rsid w:val="00DE7160"/>
    <w:rsid w:val="00DE71DE"/>
    <w:rsid w:val="00DE7706"/>
    <w:rsid w:val="00DE7D1F"/>
    <w:rsid w:val="00DF06A2"/>
    <w:rsid w:val="00DF117C"/>
    <w:rsid w:val="00DF173F"/>
    <w:rsid w:val="00DF1A81"/>
    <w:rsid w:val="00DF2DC5"/>
    <w:rsid w:val="00DF350D"/>
    <w:rsid w:val="00DF3821"/>
    <w:rsid w:val="00DF3D20"/>
    <w:rsid w:val="00DF47E5"/>
    <w:rsid w:val="00DF5EF3"/>
    <w:rsid w:val="00DF6ED7"/>
    <w:rsid w:val="00DF78C2"/>
    <w:rsid w:val="00E01422"/>
    <w:rsid w:val="00E01B9A"/>
    <w:rsid w:val="00E01CF9"/>
    <w:rsid w:val="00E01EA7"/>
    <w:rsid w:val="00E020AF"/>
    <w:rsid w:val="00E02D65"/>
    <w:rsid w:val="00E03DC7"/>
    <w:rsid w:val="00E0481E"/>
    <w:rsid w:val="00E04B9D"/>
    <w:rsid w:val="00E0628B"/>
    <w:rsid w:val="00E06CFE"/>
    <w:rsid w:val="00E072B2"/>
    <w:rsid w:val="00E076BB"/>
    <w:rsid w:val="00E0790A"/>
    <w:rsid w:val="00E07B7F"/>
    <w:rsid w:val="00E07E0A"/>
    <w:rsid w:val="00E10AB3"/>
    <w:rsid w:val="00E11B47"/>
    <w:rsid w:val="00E11C08"/>
    <w:rsid w:val="00E12F27"/>
    <w:rsid w:val="00E13130"/>
    <w:rsid w:val="00E1315A"/>
    <w:rsid w:val="00E133EA"/>
    <w:rsid w:val="00E1356D"/>
    <w:rsid w:val="00E1384B"/>
    <w:rsid w:val="00E153B0"/>
    <w:rsid w:val="00E15787"/>
    <w:rsid w:val="00E158CA"/>
    <w:rsid w:val="00E15CD2"/>
    <w:rsid w:val="00E15E93"/>
    <w:rsid w:val="00E179D3"/>
    <w:rsid w:val="00E21072"/>
    <w:rsid w:val="00E214AC"/>
    <w:rsid w:val="00E21707"/>
    <w:rsid w:val="00E228E3"/>
    <w:rsid w:val="00E22B65"/>
    <w:rsid w:val="00E23815"/>
    <w:rsid w:val="00E23844"/>
    <w:rsid w:val="00E242FD"/>
    <w:rsid w:val="00E2484E"/>
    <w:rsid w:val="00E24945"/>
    <w:rsid w:val="00E24A3B"/>
    <w:rsid w:val="00E24F79"/>
    <w:rsid w:val="00E256B1"/>
    <w:rsid w:val="00E27A93"/>
    <w:rsid w:val="00E27F0B"/>
    <w:rsid w:val="00E3058F"/>
    <w:rsid w:val="00E305BD"/>
    <w:rsid w:val="00E3066C"/>
    <w:rsid w:val="00E311B0"/>
    <w:rsid w:val="00E3169C"/>
    <w:rsid w:val="00E31955"/>
    <w:rsid w:val="00E32781"/>
    <w:rsid w:val="00E32F75"/>
    <w:rsid w:val="00E338C6"/>
    <w:rsid w:val="00E34C77"/>
    <w:rsid w:val="00E35317"/>
    <w:rsid w:val="00E367BA"/>
    <w:rsid w:val="00E372A1"/>
    <w:rsid w:val="00E37DDA"/>
    <w:rsid w:val="00E4054D"/>
    <w:rsid w:val="00E4208D"/>
    <w:rsid w:val="00E42272"/>
    <w:rsid w:val="00E43229"/>
    <w:rsid w:val="00E4396F"/>
    <w:rsid w:val="00E44E39"/>
    <w:rsid w:val="00E44EC4"/>
    <w:rsid w:val="00E45130"/>
    <w:rsid w:val="00E4588C"/>
    <w:rsid w:val="00E45ACE"/>
    <w:rsid w:val="00E467AF"/>
    <w:rsid w:val="00E47700"/>
    <w:rsid w:val="00E477F5"/>
    <w:rsid w:val="00E479A2"/>
    <w:rsid w:val="00E51062"/>
    <w:rsid w:val="00E51860"/>
    <w:rsid w:val="00E5198F"/>
    <w:rsid w:val="00E51F7E"/>
    <w:rsid w:val="00E5200B"/>
    <w:rsid w:val="00E5208C"/>
    <w:rsid w:val="00E523A4"/>
    <w:rsid w:val="00E529D8"/>
    <w:rsid w:val="00E52CEB"/>
    <w:rsid w:val="00E52F48"/>
    <w:rsid w:val="00E5544E"/>
    <w:rsid w:val="00E5561E"/>
    <w:rsid w:val="00E55D23"/>
    <w:rsid w:val="00E55F62"/>
    <w:rsid w:val="00E56B07"/>
    <w:rsid w:val="00E56BF5"/>
    <w:rsid w:val="00E57406"/>
    <w:rsid w:val="00E60738"/>
    <w:rsid w:val="00E6141B"/>
    <w:rsid w:val="00E616BF"/>
    <w:rsid w:val="00E6180D"/>
    <w:rsid w:val="00E61B80"/>
    <w:rsid w:val="00E61C96"/>
    <w:rsid w:val="00E62212"/>
    <w:rsid w:val="00E62A7D"/>
    <w:rsid w:val="00E6302E"/>
    <w:rsid w:val="00E63292"/>
    <w:rsid w:val="00E632A3"/>
    <w:rsid w:val="00E639FF"/>
    <w:rsid w:val="00E63EE0"/>
    <w:rsid w:val="00E64A25"/>
    <w:rsid w:val="00E64F04"/>
    <w:rsid w:val="00E65457"/>
    <w:rsid w:val="00E660F6"/>
    <w:rsid w:val="00E664EB"/>
    <w:rsid w:val="00E66B08"/>
    <w:rsid w:val="00E66FD9"/>
    <w:rsid w:val="00E67311"/>
    <w:rsid w:val="00E70F49"/>
    <w:rsid w:val="00E70FE7"/>
    <w:rsid w:val="00E721FF"/>
    <w:rsid w:val="00E72EAA"/>
    <w:rsid w:val="00E731C0"/>
    <w:rsid w:val="00E73A9C"/>
    <w:rsid w:val="00E73EB7"/>
    <w:rsid w:val="00E74245"/>
    <w:rsid w:val="00E74442"/>
    <w:rsid w:val="00E745A6"/>
    <w:rsid w:val="00E7677B"/>
    <w:rsid w:val="00E76B86"/>
    <w:rsid w:val="00E76F7E"/>
    <w:rsid w:val="00E770AC"/>
    <w:rsid w:val="00E824A7"/>
    <w:rsid w:val="00E82DA1"/>
    <w:rsid w:val="00E82FA2"/>
    <w:rsid w:val="00E8302C"/>
    <w:rsid w:val="00E8379D"/>
    <w:rsid w:val="00E83D00"/>
    <w:rsid w:val="00E83ECA"/>
    <w:rsid w:val="00E842BB"/>
    <w:rsid w:val="00E84405"/>
    <w:rsid w:val="00E84493"/>
    <w:rsid w:val="00E84496"/>
    <w:rsid w:val="00E85177"/>
    <w:rsid w:val="00E861C0"/>
    <w:rsid w:val="00E862E8"/>
    <w:rsid w:val="00E86E26"/>
    <w:rsid w:val="00E8753C"/>
    <w:rsid w:val="00E87CCE"/>
    <w:rsid w:val="00E903C3"/>
    <w:rsid w:val="00E90FCE"/>
    <w:rsid w:val="00E91C31"/>
    <w:rsid w:val="00E92C9E"/>
    <w:rsid w:val="00E95569"/>
    <w:rsid w:val="00E96B38"/>
    <w:rsid w:val="00E96D81"/>
    <w:rsid w:val="00E96F89"/>
    <w:rsid w:val="00E971B3"/>
    <w:rsid w:val="00E973C2"/>
    <w:rsid w:val="00E979C6"/>
    <w:rsid w:val="00E97A79"/>
    <w:rsid w:val="00E97E7A"/>
    <w:rsid w:val="00EA058B"/>
    <w:rsid w:val="00EA0613"/>
    <w:rsid w:val="00EA11CB"/>
    <w:rsid w:val="00EA2ABC"/>
    <w:rsid w:val="00EA2DDE"/>
    <w:rsid w:val="00EA3DAD"/>
    <w:rsid w:val="00EA3F56"/>
    <w:rsid w:val="00EA51E6"/>
    <w:rsid w:val="00EA5FEA"/>
    <w:rsid w:val="00EA6246"/>
    <w:rsid w:val="00EA6F21"/>
    <w:rsid w:val="00EB10A8"/>
    <w:rsid w:val="00EB1722"/>
    <w:rsid w:val="00EB1BE1"/>
    <w:rsid w:val="00EB2FEC"/>
    <w:rsid w:val="00EB3396"/>
    <w:rsid w:val="00EB373A"/>
    <w:rsid w:val="00EB3ED6"/>
    <w:rsid w:val="00EB4FEA"/>
    <w:rsid w:val="00EB6554"/>
    <w:rsid w:val="00EB7482"/>
    <w:rsid w:val="00EB7C6A"/>
    <w:rsid w:val="00EB7D7B"/>
    <w:rsid w:val="00EC03E7"/>
    <w:rsid w:val="00EC04E6"/>
    <w:rsid w:val="00EC13E0"/>
    <w:rsid w:val="00EC1749"/>
    <w:rsid w:val="00EC2E13"/>
    <w:rsid w:val="00EC2EFF"/>
    <w:rsid w:val="00EC3FBF"/>
    <w:rsid w:val="00EC46A7"/>
    <w:rsid w:val="00EC5CA1"/>
    <w:rsid w:val="00EC5FA8"/>
    <w:rsid w:val="00EC631E"/>
    <w:rsid w:val="00EC6D69"/>
    <w:rsid w:val="00ED1539"/>
    <w:rsid w:val="00ED1559"/>
    <w:rsid w:val="00ED156C"/>
    <w:rsid w:val="00ED1BE0"/>
    <w:rsid w:val="00ED2019"/>
    <w:rsid w:val="00ED2495"/>
    <w:rsid w:val="00ED29D5"/>
    <w:rsid w:val="00ED2BA0"/>
    <w:rsid w:val="00ED2E3A"/>
    <w:rsid w:val="00ED3A4A"/>
    <w:rsid w:val="00ED473D"/>
    <w:rsid w:val="00ED7CD7"/>
    <w:rsid w:val="00EE0B7D"/>
    <w:rsid w:val="00EE2612"/>
    <w:rsid w:val="00EE429C"/>
    <w:rsid w:val="00EE49B7"/>
    <w:rsid w:val="00EE4C46"/>
    <w:rsid w:val="00EE4D34"/>
    <w:rsid w:val="00EE59C6"/>
    <w:rsid w:val="00EE5B55"/>
    <w:rsid w:val="00EE6848"/>
    <w:rsid w:val="00EE6B2C"/>
    <w:rsid w:val="00EE7587"/>
    <w:rsid w:val="00EF0F0D"/>
    <w:rsid w:val="00EF12D2"/>
    <w:rsid w:val="00EF1AFF"/>
    <w:rsid w:val="00EF1F38"/>
    <w:rsid w:val="00EF2506"/>
    <w:rsid w:val="00EF26BA"/>
    <w:rsid w:val="00EF2769"/>
    <w:rsid w:val="00EF292B"/>
    <w:rsid w:val="00EF2C5A"/>
    <w:rsid w:val="00EF2D71"/>
    <w:rsid w:val="00EF328B"/>
    <w:rsid w:val="00EF341B"/>
    <w:rsid w:val="00EF3F94"/>
    <w:rsid w:val="00EF405F"/>
    <w:rsid w:val="00EF423B"/>
    <w:rsid w:val="00EF4C7C"/>
    <w:rsid w:val="00EF4F3F"/>
    <w:rsid w:val="00EF5890"/>
    <w:rsid w:val="00EF6064"/>
    <w:rsid w:val="00EF6A0F"/>
    <w:rsid w:val="00EF7236"/>
    <w:rsid w:val="00EF7C00"/>
    <w:rsid w:val="00F01647"/>
    <w:rsid w:val="00F0189B"/>
    <w:rsid w:val="00F02767"/>
    <w:rsid w:val="00F02B64"/>
    <w:rsid w:val="00F02E2A"/>
    <w:rsid w:val="00F03220"/>
    <w:rsid w:val="00F038AC"/>
    <w:rsid w:val="00F04263"/>
    <w:rsid w:val="00F04BAA"/>
    <w:rsid w:val="00F04CD1"/>
    <w:rsid w:val="00F04E2E"/>
    <w:rsid w:val="00F04F5C"/>
    <w:rsid w:val="00F05742"/>
    <w:rsid w:val="00F060A4"/>
    <w:rsid w:val="00F06BBD"/>
    <w:rsid w:val="00F07B63"/>
    <w:rsid w:val="00F07DDC"/>
    <w:rsid w:val="00F07E4A"/>
    <w:rsid w:val="00F10986"/>
    <w:rsid w:val="00F10B20"/>
    <w:rsid w:val="00F11929"/>
    <w:rsid w:val="00F11B8E"/>
    <w:rsid w:val="00F1384A"/>
    <w:rsid w:val="00F14570"/>
    <w:rsid w:val="00F145E3"/>
    <w:rsid w:val="00F14FB2"/>
    <w:rsid w:val="00F154C5"/>
    <w:rsid w:val="00F156B3"/>
    <w:rsid w:val="00F160A4"/>
    <w:rsid w:val="00F17212"/>
    <w:rsid w:val="00F17A72"/>
    <w:rsid w:val="00F203EA"/>
    <w:rsid w:val="00F20C7E"/>
    <w:rsid w:val="00F235BB"/>
    <w:rsid w:val="00F23A56"/>
    <w:rsid w:val="00F24AFD"/>
    <w:rsid w:val="00F26185"/>
    <w:rsid w:val="00F267F4"/>
    <w:rsid w:val="00F26BC9"/>
    <w:rsid w:val="00F26C5C"/>
    <w:rsid w:val="00F27460"/>
    <w:rsid w:val="00F27778"/>
    <w:rsid w:val="00F301F8"/>
    <w:rsid w:val="00F305CF"/>
    <w:rsid w:val="00F30E56"/>
    <w:rsid w:val="00F31AAE"/>
    <w:rsid w:val="00F32203"/>
    <w:rsid w:val="00F351C9"/>
    <w:rsid w:val="00F40475"/>
    <w:rsid w:val="00F4388B"/>
    <w:rsid w:val="00F44D05"/>
    <w:rsid w:val="00F46283"/>
    <w:rsid w:val="00F46F3D"/>
    <w:rsid w:val="00F503A5"/>
    <w:rsid w:val="00F503B1"/>
    <w:rsid w:val="00F50425"/>
    <w:rsid w:val="00F510AD"/>
    <w:rsid w:val="00F51982"/>
    <w:rsid w:val="00F52830"/>
    <w:rsid w:val="00F5286A"/>
    <w:rsid w:val="00F52B38"/>
    <w:rsid w:val="00F53042"/>
    <w:rsid w:val="00F54054"/>
    <w:rsid w:val="00F55B67"/>
    <w:rsid w:val="00F56163"/>
    <w:rsid w:val="00F60156"/>
    <w:rsid w:val="00F60A30"/>
    <w:rsid w:val="00F61103"/>
    <w:rsid w:val="00F6276E"/>
    <w:rsid w:val="00F63E7F"/>
    <w:rsid w:val="00F648BD"/>
    <w:rsid w:val="00F64EC3"/>
    <w:rsid w:val="00F66147"/>
    <w:rsid w:val="00F6636A"/>
    <w:rsid w:val="00F66767"/>
    <w:rsid w:val="00F66849"/>
    <w:rsid w:val="00F66D79"/>
    <w:rsid w:val="00F67A68"/>
    <w:rsid w:val="00F7130A"/>
    <w:rsid w:val="00F72A16"/>
    <w:rsid w:val="00F7323B"/>
    <w:rsid w:val="00F75275"/>
    <w:rsid w:val="00F760E9"/>
    <w:rsid w:val="00F773D9"/>
    <w:rsid w:val="00F778C7"/>
    <w:rsid w:val="00F80751"/>
    <w:rsid w:val="00F808B3"/>
    <w:rsid w:val="00F81026"/>
    <w:rsid w:val="00F81827"/>
    <w:rsid w:val="00F818BB"/>
    <w:rsid w:val="00F81E41"/>
    <w:rsid w:val="00F81E78"/>
    <w:rsid w:val="00F82C11"/>
    <w:rsid w:val="00F83EFE"/>
    <w:rsid w:val="00F845DE"/>
    <w:rsid w:val="00F8571F"/>
    <w:rsid w:val="00F8722E"/>
    <w:rsid w:val="00F8746A"/>
    <w:rsid w:val="00F87478"/>
    <w:rsid w:val="00F8748A"/>
    <w:rsid w:val="00F902D5"/>
    <w:rsid w:val="00F9111B"/>
    <w:rsid w:val="00F912AB"/>
    <w:rsid w:val="00F91C1C"/>
    <w:rsid w:val="00F91FD4"/>
    <w:rsid w:val="00F92CF4"/>
    <w:rsid w:val="00F92F70"/>
    <w:rsid w:val="00F938E4"/>
    <w:rsid w:val="00F93CD3"/>
    <w:rsid w:val="00F9545D"/>
    <w:rsid w:val="00F95F94"/>
    <w:rsid w:val="00F9666D"/>
    <w:rsid w:val="00F96D07"/>
    <w:rsid w:val="00F96E3C"/>
    <w:rsid w:val="00F9742F"/>
    <w:rsid w:val="00F9762F"/>
    <w:rsid w:val="00FA0AD6"/>
    <w:rsid w:val="00FA324E"/>
    <w:rsid w:val="00FA357A"/>
    <w:rsid w:val="00FA3751"/>
    <w:rsid w:val="00FA5A8E"/>
    <w:rsid w:val="00FA6353"/>
    <w:rsid w:val="00FA6B6F"/>
    <w:rsid w:val="00FA7182"/>
    <w:rsid w:val="00FA77EC"/>
    <w:rsid w:val="00FA7EEE"/>
    <w:rsid w:val="00FB0791"/>
    <w:rsid w:val="00FB0A85"/>
    <w:rsid w:val="00FB0D46"/>
    <w:rsid w:val="00FB2092"/>
    <w:rsid w:val="00FB20B8"/>
    <w:rsid w:val="00FB276D"/>
    <w:rsid w:val="00FB32C4"/>
    <w:rsid w:val="00FB3AA2"/>
    <w:rsid w:val="00FB4070"/>
    <w:rsid w:val="00FB4ECA"/>
    <w:rsid w:val="00FB55D8"/>
    <w:rsid w:val="00FB5D2C"/>
    <w:rsid w:val="00FB5F54"/>
    <w:rsid w:val="00FB62B7"/>
    <w:rsid w:val="00FB6A2D"/>
    <w:rsid w:val="00FB6FBE"/>
    <w:rsid w:val="00FB7AC0"/>
    <w:rsid w:val="00FB7E26"/>
    <w:rsid w:val="00FC055E"/>
    <w:rsid w:val="00FC0B50"/>
    <w:rsid w:val="00FC153E"/>
    <w:rsid w:val="00FC2A4E"/>
    <w:rsid w:val="00FC2B59"/>
    <w:rsid w:val="00FC3525"/>
    <w:rsid w:val="00FC535E"/>
    <w:rsid w:val="00FC56F4"/>
    <w:rsid w:val="00FC5860"/>
    <w:rsid w:val="00FC627A"/>
    <w:rsid w:val="00FC720A"/>
    <w:rsid w:val="00FD0047"/>
    <w:rsid w:val="00FD13B1"/>
    <w:rsid w:val="00FD1404"/>
    <w:rsid w:val="00FD1A04"/>
    <w:rsid w:val="00FD1E68"/>
    <w:rsid w:val="00FD23EA"/>
    <w:rsid w:val="00FD2C73"/>
    <w:rsid w:val="00FD2D41"/>
    <w:rsid w:val="00FD2DA1"/>
    <w:rsid w:val="00FD35AC"/>
    <w:rsid w:val="00FD3886"/>
    <w:rsid w:val="00FD3E78"/>
    <w:rsid w:val="00FD3FB1"/>
    <w:rsid w:val="00FD601F"/>
    <w:rsid w:val="00FD6266"/>
    <w:rsid w:val="00FD6423"/>
    <w:rsid w:val="00FD66E0"/>
    <w:rsid w:val="00FD71CC"/>
    <w:rsid w:val="00FD7F1E"/>
    <w:rsid w:val="00FE06FA"/>
    <w:rsid w:val="00FE1599"/>
    <w:rsid w:val="00FE1604"/>
    <w:rsid w:val="00FE3109"/>
    <w:rsid w:val="00FE3AD2"/>
    <w:rsid w:val="00FE3ED7"/>
    <w:rsid w:val="00FE4788"/>
    <w:rsid w:val="00FE4BDE"/>
    <w:rsid w:val="00FE4F85"/>
    <w:rsid w:val="00FE62C9"/>
    <w:rsid w:val="00FE6989"/>
    <w:rsid w:val="00FE6D76"/>
    <w:rsid w:val="00FE7DC1"/>
    <w:rsid w:val="00FE7DF0"/>
    <w:rsid w:val="00FF03E7"/>
    <w:rsid w:val="00FF1B35"/>
    <w:rsid w:val="00FF2A44"/>
    <w:rsid w:val="00FF308D"/>
    <w:rsid w:val="00FF370F"/>
    <w:rsid w:val="00FF3F06"/>
    <w:rsid w:val="00FF4FDE"/>
    <w:rsid w:val="00FF53DF"/>
    <w:rsid w:val="00FF567B"/>
    <w:rsid w:val="00FF5F93"/>
    <w:rsid w:val="00FF6098"/>
    <w:rsid w:val="00FF6136"/>
    <w:rsid w:val="00FF64F9"/>
    <w:rsid w:val="00FF6746"/>
    <w:rsid w:val="00FF6764"/>
    <w:rsid w:val="00FF74B3"/>
    <w:rsid w:val="00FF7588"/>
    <w:rsid w:val="011B10C9"/>
    <w:rsid w:val="01331C9D"/>
    <w:rsid w:val="01A655DC"/>
    <w:rsid w:val="01CA73AA"/>
    <w:rsid w:val="01F53AD4"/>
    <w:rsid w:val="02452827"/>
    <w:rsid w:val="026C7117"/>
    <w:rsid w:val="02AF177C"/>
    <w:rsid w:val="02C244E9"/>
    <w:rsid w:val="02F5601A"/>
    <w:rsid w:val="032F0038"/>
    <w:rsid w:val="037A7082"/>
    <w:rsid w:val="03ED2D8E"/>
    <w:rsid w:val="04094CE1"/>
    <w:rsid w:val="04161B9B"/>
    <w:rsid w:val="04414B6E"/>
    <w:rsid w:val="04AE5222"/>
    <w:rsid w:val="04D547E9"/>
    <w:rsid w:val="054C6485"/>
    <w:rsid w:val="05C70093"/>
    <w:rsid w:val="05CA359D"/>
    <w:rsid w:val="05DD07BC"/>
    <w:rsid w:val="062F1239"/>
    <w:rsid w:val="063B72D2"/>
    <w:rsid w:val="064F0584"/>
    <w:rsid w:val="07187E5F"/>
    <w:rsid w:val="073E5D65"/>
    <w:rsid w:val="07AB24DF"/>
    <w:rsid w:val="07AE1A8B"/>
    <w:rsid w:val="0825695B"/>
    <w:rsid w:val="08507C91"/>
    <w:rsid w:val="08510D37"/>
    <w:rsid w:val="085304A3"/>
    <w:rsid w:val="086934CE"/>
    <w:rsid w:val="08BE4342"/>
    <w:rsid w:val="09425C8A"/>
    <w:rsid w:val="098C48B2"/>
    <w:rsid w:val="0A282737"/>
    <w:rsid w:val="0A3F21EB"/>
    <w:rsid w:val="0A9B284E"/>
    <w:rsid w:val="0B7D08D0"/>
    <w:rsid w:val="0BC24184"/>
    <w:rsid w:val="0C0E6F7F"/>
    <w:rsid w:val="0C36081B"/>
    <w:rsid w:val="0CB2693E"/>
    <w:rsid w:val="0D06123D"/>
    <w:rsid w:val="0D0F7D63"/>
    <w:rsid w:val="0D3D18D3"/>
    <w:rsid w:val="0DAD25B7"/>
    <w:rsid w:val="0DF16A3C"/>
    <w:rsid w:val="0E032B59"/>
    <w:rsid w:val="0E2A5ECB"/>
    <w:rsid w:val="0E6E77B6"/>
    <w:rsid w:val="0E754BD1"/>
    <w:rsid w:val="0F4D0951"/>
    <w:rsid w:val="0F68455E"/>
    <w:rsid w:val="0F7F1FF8"/>
    <w:rsid w:val="0FB70B22"/>
    <w:rsid w:val="0FD9233E"/>
    <w:rsid w:val="0FDD48DA"/>
    <w:rsid w:val="10133BFD"/>
    <w:rsid w:val="10487B1C"/>
    <w:rsid w:val="109F3113"/>
    <w:rsid w:val="11073701"/>
    <w:rsid w:val="116A5112"/>
    <w:rsid w:val="11A473A2"/>
    <w:rsid w:val="11D66EFB"/>
    <w:rsid w:val="121662F1"/>
    <w:rsid w:val="12FA36E4"/>
    <w:rsid w:val="130A1641"/>
    <w:rsid w:val="139E16D5"/>
    <w:rsid w:val="141506FE"/>
    <w:rsid w:val="142A706E"/>
    <w:rsid w:val="14BC4B49"/>
    <w:rsid w:val="14E63883"/>
    <w:rsid w:val="150C410D"/>
    <w:rsid w:val="155B3DB1"/>
    <w:rsid w:val="158B6F43"/>
    <w:rsid w:val="159F0BA4"/>
    <w:rsid w:val="15AA3B17"/>
    <w:rsid w:val="16320824"/>
    <w:rsid w:val="165C4786"/>
    <w:rsid w:val="16D360B0"/>
    <w:rsid w:val="16F67730"/>
    <w:rsid w:val="1729313F"/>
    <w:rsid w:val="17494F09"/>
    <w:rsid w:val="174E0CF6"/>
    <w:rsid w:val="1776524F"/>
    <w:rsid w:val="17D701F0"/>
    <w:rsid w:val="182864A1"/>
    <w:rsid w:val="184B42F1"/>
    <w:rsid w:val="188705A9"/>
    <w:rsid w:val="18A0002E"/>
    <w:rsid w:val="19224956"/>
    <w:rsid w:val="193C3677"/>
    <w:rsid w:val="19515F4B"/>
    <w:rsid w:val="1A5F143D"/>
    <w:rsid w:val="1A78007F"/>
    <w:rsid w:val="1AAF34BC"/>
    <w:rsid w:val="1AE7591E"/>
    <w:rsid w:val="1AF44A10"/>
    <w:rsid w:val="1AF75E81"/>
    <w:rsid w:val="1B21051F"/>
    <w:rsid w:val="1B407881"/>
    <w:rsid w:val="1B652D59"/>
    <w:rsid w:val="1B6F45D3"/>
    <w:rsid w:val="1BF17418"/>
    <w:rsid w:val="1BF60B21"/>
    <w:rsid w:val="1C0C6D3E"/>
    <w:rsid w:val="1C177518"/>
    <w:rsid w:val="1C8A1067"/>
    <w:rsid w:val="1D0220F3"/>
    <w:rsid w:val="1D082B1A"/>
    <w:rsid w:val="1D093E4D"/>
    <w:rsid w:val="1D58301D"/>
    <w:rsid w:val="1DD8582C"/>
    <w:rsid w:val="1DFC396C"/>
    <w:rsid w:val="1E3B166F"/>
    <w:rsid w:val="1E913C87"/>
    <w:rsid w:val="1ED10465"/>
    <w:rsid w:val="1F162F66"/>
    <w:rsid w:val="1F422FCE"/>
    <w:rsid w:val="1F455C60"/>
    <w:rsid w:val="1F9A35E2"/>
    <w:rsid w:val="1FA40B2D"/>
    <w:rsid w:val="1FAE7AB2"/>
    <w:rsid w:val="20345239"/>
    <w:rsid w:val="20DE2972"/>
    <w:rsid w:val="20F36EC7"/>
    <w:rsid w:val="216E65A1"/>
    <w:rsid w:val="21E07A04"/>
    <w:rsid w:val="2207004B"/>
    <w:rsid w:val="227A5A4C"/>
    <w:rsid w:val="22F538CA"/>
    <w:rsid w:val="231C0C92"/>
    <w:rsid w:val="234B2138"/>
    <w:rsid w:val="235C0B4B"/>
    <w:rsid w:val="23BE7DF2"/>
    <w:rsid w:val="245B74BF"/>
    <w:rsid w:val="24644C0C"/>
    <w:rsid w:val="24D54C5A"/>
    <w:rsid w:val="24FB2886"/>
    <w:rsid w:val="250924E5"/>
    <w:rsid w:val="250B45E2"/>
    <w:rsid w:val="255343C4"/>
    <w:rsid w:val="255F06CC"/>
    <w:rsid w:val="260E1150"/>
    <w:rsid w:val="260F7065"/>
    <w:rsid w:val="26C0787B"/>
    <w:rsid w:val="26F06082"/>
    <w:rsid w:val="27394A33"/>
    <w:rsid w:val="275D2C66"/>
    <w:rsid w:val="276B244B"/>
    <w:rsid w:val="277B0474"/>
    <w:rsid w:val="27A81D8B"/>
    <w:rsid w:val="27D03F75"/>
    <w:rsid w:val="27F30648"/>
    <w:rsid w:val="27F55419"/>
    <w:rsid w:val="28091EC7"/>
    <w:rsid w:val="281823C6"/>
    <w:rsid w:val="281E6088"/>
    <w:rsid w:val="282C3A3C"/>
    <w:rsid w:val="283B1929"/>
    <w:rsid w:val="283C0469"/>
    <w:rsid w:val="285D7C3E"/>
    <w:rsid w:val="28A431FF"/>
    <w:rsid w:val="28B61D23"/>
    <w:rsid w:val="28C245C3"/>
    <w:rsid w:val="29C252A0"/>
    <w:rsid w:val="2A195146"/>
    <w:rsid w:val="2A420D61"/>
    <w:rsid w:val="2A5546E0"/>
    <w:rsid w:val="2A6B2457"/>
    <w:rsid w:val="2A703084"/>
    <w:rsid w:val="2AB320C4"/>
    <w:rsid w:val="2AC40E4A"/>
    <w:rsid w:val="2AF1337E"/>
    <w:rsid w:val="2B0C426D"/>
    <w:rsid w:val="2B882A64"/>
    <w:rsid w:val="2BBD3C6C"/>
    <w:rsid w:val="2BEC4778"/>
    <w:rsid w:val="2C965D18"/>
    <w:rsid w:val="2D4A3747"/>
    <w:rsid w:val="2D73710B"/>
    <w:rsid w:val="2D7E03F6"/>
    <w:rsid w:val="2E7205F1"/>
    <w:rsid w:val="2EA41D5E"/>
    <w:rsid w:val="2F7873C5"/>
    <w:rsid w:val="2FC8183B"/>
    <w:rsid w:val="2FDE6633"/>
    <w:rsid w:val="2FE0107B"/>
    <w:rsid w:val="30041CFC"/>
    <w:rsid w:val="30284704"/>
    <w:rsid w:val="3086739F"/>
    <w:rsid w:val="310F2A2D"/>
    <w:rsid w:val="316C0453"/>
    <w:rsid w:val="3170361B"/>
    <w:rsid w:val="31950385"/>
    <w:rsid w:val="31C87D63"/>
    <w:rsid w:val="32876FAC"/>
    <w:rsid w:val="32A076C4"/>
    <w:rsid w:val="32DA3386"/>
    <w:rsid w:val="32F51491"/>
    <w:rsid w:val="33384802"/>
    <w:rsid w:val="33537C92"/>
    <w:rsid w:val="339E2787"/>
    <w:rsid w:val="33A87173"/>
    <w:rsid w:val="344C3B6F"/>
    <w:rsid w:val="34533D88"/>
    <w:rsid w:val="349F5162"/>
    <w:rsid w:val="34C14CC2"/>
    <w:rsid w:val="34D0282D"/>
    <w:rsid w:val="34FD3A25"/>
    <w:rsid w:val="350D1FD9"/>
    <w:rsid w:val="35351CBE"/>
    <w:rsid w:val="355947D1"/>
    <w:rsid w:val="35757591"/>
    <w:rsid w:val="35795696"/>
    <w:rsid w:val="36106223"/>
    <w:rsid w:val="365D2AF3"/>
    <w:rsid w:val="36EB46FE"/>
    <w:rsid w:val="36FB7DE1"/>
    <w:rsid w:val="370972FF"/>
    <w:rsid w:val="371364B9"/>
    <w:rsid w:val="3775430B"/>
    <w:rsid w:val="3780299F"/>
    <w:rsid w:val="37C6544C"/>
    <w:rsid w:val="37F71B25"/>
    <w:rsid w:val="38202FEE"/>
    <w:rsid w:val="382059E7"/>
    <w:rsid w:val="386F0324"/>
    <w:rsid w:val="38C5690D"/>
    <w:rsid w:val="38CD02FA"/>
    <w:rsid w:val="38F72EAF"/>
    <w:rsid w:val="391D7A4B"/>
    <w:rsid w:val="395D36E7"/>
    <w:rsid w:val="398205F9"/>
    <w:rsid w:val="39A44C57"/>
    <w:rsid w:val="39F47F6F"/>
    <w:rsid w:val="3A49047B"/>
    <w:rsid w:val="3A933104"/>
    <w:rsid w:val="3A9832F5"/>
    <w:rsid w:val="3AA64FC4"/>
    <w:rsid w:val="3ACE5746"/>
    <w:rsid w:val="3B0A734A"/>
    <w:rsid w:val="3B5A580D"/>
    <w:rsid w:val="3B7D08A1"/>
    <w:rsid w:val="3BA11BFC"/>
    <w:rsid w:val="3BB653D9"/>
    <w:rsid w:val="3BDB118B"/>
    <w:rsid w:val="3C3C7E54"/>
    <w:rsid w:val="3C5A273B"/>
    <w:rsid w:val="3C930FBA"/>
    <w:rsid w:val="3CBF4591"/>
    <w:rsid w:val="3CE02F79"/>
    <w:rsid w:val="3CE04723"/>
    <w:rsid w:val="3D1E15BF"/>
    <w:rsid w:val="3D786AE0"/>
    <w:rsid w:val="3D8D18D9"/>
    <w:rsid w:val="3D917E4B"/>
    <w:rsid w:val="3DDF329A"/>
    <w:rsid w:val="3DE76A55"/>
    <w:rsid w:val="3F4E14F8"/>
    <w:rsid w:val="3F6312E8"/>
    <w:rsid w:val="3F9F5621"/>
    <w:rsid w:val="3FB22FC8"/>
    <w:rsid w:val="3FE65C80"/>
    <w:rsid w:val="3FE948D6"/>
    <w:rsid w:val="3FF1549B"/>
    <w:rsid w:val="3FFA5D83"/>
    <w:rsid w:val="401446F8"/>
    <w:rsid w:val="402F1FE9"/>
    <w:rsid w:val="40411FBA"/>
    <w:rsid w:val="404726E2"/>
    <w:rsid w:val="40585EFD"/>
    <w:rsid w:val="407E685F"/>
    <w:rsid w:val="409242C8"/>
    <w:rsid w:val="40BD7ED7"/>
    <w:rsid w:val="40D95037"/>
    <w:rsid w:val="40E5515E"/>
    <w:rsid w:val="412970E0"/>
    <w:rsid w:val="412E0C89"/>
    <w:rsid w:val="41443EE2"/>
    <w:rsid w:val="419A4119"/>
    <w:rsid w:val="41B328A7"/>
    <w:rsid w:val="41D83B5F"/>
    <w:rsid w:val="41FD26EC"/>
    <w:rsid w:val="42123DBF"/>
    <w:rsid w:val="42797648"/>
    <w:rsid w:val="42AC7C19"/>
    <w:rsid w:val="42B7077E"/>
    <w:rsid w:val="43146478"/>
    <w:rsid w:val="43493AE8"/>
    <w:rsid w:val="434B2111"/>
    <w:rsid w:val="438204E8"/>
    <w:rsid w:val="44102D84"/>
    <w:rsid w:val="442A1044"/>
    <w:rsid w:val="444056C3"/>
    <w:rsid w:val="4453431C"/>
    <w:rsid w:val="447B3113"/>
    <w:rsid w:val="44B416FE"/>
    <w:rsid w:val="44B4594E"/>
    <w:rsid w:val="45236E24"/>
    <w:rsid w:val="45271A20"/>
    <w:rsid w:val="455C68A3"/>
    <w:rsid w:val="456C6FA8"/>
    <w:rsid w:val="456D0E73"/>
    <w:rsid w:val="4574728F"/>
    <w:rsid w:val="45821C70"/>
    <w:rsid w:val="45CE66A9"/>
    <w:rsid w:val="45D83C66"/>
    <w:rsid w:val="45EF01B2"/>
    <w:rsid w:val="460C2B18"/>
    <w:rsid w:val="46123A64"/>
    <w:rsid w:val="461B179D"/>
    <w:rsid w:val="466F6DD8"/>
    <w:rsid w:val="46D747C0"/>
    <w:rsid w:val="47306A4A"/>
    <w:rsid w:val="474B5834"/>
    <w:rsid w:val="4768592F"/>
    <w:rsid w:val="47C0250D"/>
    <w:rsid w:val="47E45466"/>
    <w:rsid w:val="48244A33"/>
    <w:rsid w:val="484840CE"/>
    <w:rsid w:val="48675ACC"/>
    <w:rsid w:val="48774466"/>
    <w:rsid w:val="48913BD4"/>
    <w:rsid w:val="48D43DEC"/>
    <w:rsid w:val="48F17C36"/>
    <w:rsid w:val="48F439D6"/>
    <w:rsid w:val="491F559F"/>
    <w:rsid w:val="49337B2E"/>
    <w:rsid w:val="4975623A"/>
    <w:rsid w:val="49A71F5D"/>
    <w:rsid w:val="49AD1DB4"/>
    <w:rsid w:val="49BE0D2C"/>
    <w:rsid w:val="4A514DD5"/>
    <w:rsid w:val="4A7D78E7"/>
    <w:rsid w:val="4A896811"/>
    <w:rsid w:val="4B1308C2"/>
    <w:rsid w:val="4B380E8C"/>
    <w:rsid w:val="4B7E34BC"/>
    <w:rsid w:val="4BD374E8"/>
    <w:rsid w:val="4BE5143A"/>
    <w:rsid w:val="4C190B71"/>
    <w:rsid w:val="4C207A90"/>
    <w:rsid w:val="4C371614"/>
    <w:rsid w:val="4C4D760B"/>
    <w:rsid w:val="4C825B07"/>
    <w:rsid w:val="4D200874"/>
    <w:rsid w:val="4D2D0C96"/>
    <w:rsid w:val="4D3C6E8B"/>
    <w:rsid w:val="4DD30F7C"/>
    <w:rsid w:val="4DFA00FD"/>
    <w:rsid w:val="4EE431A6"/>
    <w:rsid w:val="4FA63017"/>
    <w:rsid w:val="4FCD1795"/>
    <w:rsid w:val="50132A64"/>
    <w:rsid w:val="504F07CA"/>
    <w:rsid w:val="50AC32F5"/>
    <w:rsid w:val="50CF079C"/>
    <w:rsid w:val="513944EA"/>
    <w:rsid w:val="51643661"/>
    <w:rsid w:val="51673A83"/>
    <w:rsid w:val="51901314"/>
    <w:rsid w:val="51980AB4"/>
    <w:rsid w:val="51D05167"/>
    <w:rsid w:val="51D91A84"/>
    <w:rsid w:val="52023178"/>
    <w:rsid w:val="524E7C32"/>
    <w:rsid w:val="528635F9"/>
    <w:rsid w:val="52E3639B"/>
    <w:rsid w:val="53062812"/>
    <w:rsid w:val="5458568E"/>
    <w:rsid w:val="54F01A08"/>
    <w:rsid w:val="55090D33"/>
    <w:rsid w:val="560C5949"/>
    <w:rsid w:val="56385F93"/>
    <w:rsid w:val="563F43CE"/>
    <w:rsid w:val="56476581"/>
    <w:rsid w:val="565E0E78"/>
    <w:rsid w:val="56642455"/>
    <w:rsid w:val="569528B0"/>
    <w:rsid w:val="569E449B"/>
    <w:rsid w:val="56D9399C"/>
    <w:rsid w:val="56F469F0"/>
    <w:rsid w:val="57314E46"/>
    <w:rsid w:val="57740D37"/>
    <w:rsid w:val="57AF6407"/>
    <w:rsid w:val="57DE274B"/>
    <w:rsid w:val="580D0436"/>
    <w:rsid w:val="581C3E5A"/>
    <w:rsid w:val="58496FA7"/>
    <w:rsid w:val="58836D73"/>
    <w:rsid w:val="58D47A73"/>
    <w:rsid w:val="590E49BB"/>
    <w:rsid w:val="591E4295"/>
    <w:rsid w:val="598472B3"/>
    <w:rsid w:val="59A40CBA"/>
    <w:rsid w:val="59BA4896"/>
    <w:rsid w:val="5ADF4ECE"/>
    <w:rsid w:val="5AEC5F7B"/>
    <w:rsid w:val="5AEF6DEC"/>
    <w:rsid w:val="5AF241F8"/>
    <w:rsid w:val="5B3C1437"/>
    <w:rsid w:val="5B923103"/>
    <w:rsid w:val="5BED43E8"/>
    <w:rsid w:val="5C61182A"/>
    <w:rsid w:val="5C71546A"/>
    <w:rsid w:val="5CB558C3"/>
    <w:rsid w:val="5CE060A1"/>
    <w:rsid w:val="5CF93830"/>
    <w:rsid w:val="5D036F1B"/>
    <w:rsid w:val="5D3571F3"/>
    <w:rsid w:val="5D4A340D"/>
    <w:rsid w:val="5D7175DD"/>
    <w:rsid w:val="5D766C75"/>
    <w:rsid w:val="5DA23790"/>
    <w:rsid w:val="5DB71069"/>
    <w:rsid w:val="5DC929B0"/>
    <w:rsid w:val="5DD11C21"/>
    <w:rsid w:val="5DDD6E58"/>
    <w:rsid w:val="5DE451DF"/>
    <w:rsid w:val="5E4938C9"/>
    <w:rsid w:val="5EC20738"/>
    <w:rsid w:val="5EDE28F6"/>
    <w:rsid w:val="5F685CB3"/>
    <w:rsid w:val="5FCF25AB"/>
    <w:rsid w:val="604D034D"/>
    <w:rsid w:val="605B61BF"/>
    <w:rsid w:val="606F76E8"/>
    <w:rsid w:val="609459F3"/>
    <w:rsid w:val="60BC5EE5"/>
    <w:rsid w:val="60C60A7B"/>
    <w:rsid w:val="60DA1DF9"/>
    <w:rsid w:val="60E4121E"/>
    <w:rsid w:val="616C77C4"/>
    <w:rsid w:val="618B1086"/>
    <w:rsid w:val="619745DA"/>
    <w:rsid w:val="61A62CD1"/>
    <w:rsid w:val="622A4E35"/>
    <w:rsid w:val="62833C20"/>
    <w:rsid w:val="62A413F8"/>
    <w:rsid w:val="63012492"/>
    <w:rsid w:val="631B1E0E"/>
    <w:rsid w:val="63396CC1"/>
    <w:rsid w:val="6383096D"/>
    <w:rsid w:val="63CF2EA2"/>
    <w:rsid w:val="649B39C0"/>
    <w:rsid w:val="65776167"/>
    <w:rsid w:val="65786F02"/>
    <w:rsid w:val="660F6F70"/>
    <w:rsid w:val="66574C94"/>
    <w:rsid w:val="66586F15"/>
    <w:rsid w:val="66C53F7E"/>
    <w:rsid w:val="66EF5357"/>
    <w:rsid w:val="67507E1C"/>
    <w:rsid w:val="6784468E"/>
    <w:rsid w:val="67AC6BE1"/>
    <w:rsid w:val="68473226"/>
    <w:rsid w:val="68C32137"/>
    <w:rsid w:val="68EB39D8"/>
    <w:rsid w:val="69077EDC"/>
    <w:rsid w:val="697F687A"/>
    <w:rsid w:val="69BE0BC2"/>
    <w:rsid w:val="69FE4B50"/>
    <w:rsid w:val="6A4269D9"/>
    <w:rsid w:val="6A8D4180"/>
    <w:rsid w:val="6AAE3027"/>
    <w:rsid w:val="6B1E115C"/>
    <w:rsid w:val="6B523172"/>
    <w:rsid w:val="6BE95820"/>
    <w:rsid w:val="6BF41566"/>
    <w:rsid w:val="6BFB1B00"/>
    <w:rsid w:val="6C1C442E"/>
    <w:rsid w:val="6C214B3D"/>
    <w:rsid w:val="6C2D71B8"/>
    <w:rsid w:val="6C3A4316"/>
    <w:rsid w:val="6C7F7E5F"/>
    <w:rsid w:val="6C9A6F8A"/>
    <w:rsid w:val="6CB57306"/>
    <w:rsid w:val="6CE41CDA"/>
    <w:rsid w:val="6D28019E"/>
    <w:rsid w:val="6D5E653A"/>
    <w:rsid w:val="6D682BA8"/>
    <w:rsid w:val="6D995B03"/>
    <w:rsid w:val="6DA62E16"/>
    <w:rsid w:val="6DD94403"/>
    <w:rsid w:val="6DF53404"/>
    <w:rsid w:val="6E842FC6"/>
    <w:rsid w:val="6ECE4C18"/>
    <w:rsid w:val="6F1B2F60"/>
    <w:rsid w:val="6F5C5700"/>
    <w:rsid w:val="6FA96B6A"/>
    <w:rsid w:val="70233134"/>
    <w:rsid w:val="702B483B"/>
    <w:rsid w:val="7087710C"/>
    <w:rsid w:val="70BF1638"/>
    <w:rsid w:val="70C41472"/>
    <w:rsid w:val="70F4102B"/>
    <w:rsid w:val="711164B9"/>
    <w:rsid w:val="712D41D7"/>
    <w:rsid w:val="718A3740"/>
    <w:rsid w:val="719825F5"/>
    <w:rsid w:val="71D422CF"/>
    <w:rsid w:val="71E51A84"/>
    <w:rsid w:val="71F02614"/>
    <w:rsid w:val="723D07DC"/>
    <w:rsid w:val="724208BE"/>
    <w:rsid w:val="724A3B60"/>
    <w:rsid w:val="72BD7708"/>
    <w:rsid w:val="72D46021"/>
    <w:rsid w:val="732D343E"/>
    <w:rsid w:val="737E3BAD"/>
    <w:rsid w:val="73E3778E"/>
    <w:rsid w:val="74A07B99"/>
    <w:rsid w:val="74BD37CE"/>
    <w:rsid w:val="74BF17D5"/>
    <w:rsid w:val="75255468"/>
    <w:rsid w:val="75264EDD"/>
    <w:rsid w:val="752C5FED"/>
    <w:rsid w:val="7553270B"/>
    <w:rsid w:val="7573643E"/>
    <w:rsid w:val="75D26385"/>
    <w:rsid w:val="76187ADD"/>
    <w:rsid w:val="762A5467"/>
    <w:rsid w:val="764934E1"/>
    <w:rsid w:val="76912FC8"/>
    <w:rsid w:val="76A33C9E"/>
    <w:rsid w:val="76DD39C8"/>
    <w:rsid w:val="77212C9E"/>
    <w:rsid w:val="7747559D"/>
    <w:rsid w:val="776B6ED7"/>
    <w:rsid w:val="778B17A8"/>
    <w:rsid w:val="77CD60E6"/>
    <w:rsid w:val="78191362"/>
    <w:rsid w:val="78270FCF"/>
    <w:rsid w:val="7851613B"/>
    <w:rsid w:val="78BD38F8"/>
    <w:rsid w:val="78FD1028"/>
    <w:rsid w:val="791353A4"/>
    <w:rsid w:val="79155BC5"/>
    <w:rsid w:val="79201CCB"/>
    <w:rsid w:val="795A7BFA"/>
    <w:rsid w:val="796F635E"/>
    <w:rsid w:val="79C704E7"/>
    <w:rsid w:val="79DC6375"/>
    <w:rsid w:val="79F51319"/>
    <w:rsid w:val="7A04375D"/>
    <w:rsid w:val="7A0C5E7D"/>
    <w:rsid w:val="7A631148"/>
    <w:rsid w:val="7A672ECF"/>
    <w:rsid w:val="7A8258FA"/>
    <w:rsid w:val="7A8441CB"/>
    <w:rsid w:val="7A984C51"/>
    <w:rsid w:val="7AB308F3"/>
    <w:rsid w:val="7B194B3B"/>
    <w:rsid w:val="7BEC6B27"/>
    <w:rsid w:val="7C196EC6"/>
    <w:rsid w:val="7C835984"/>
    <w:rsid w:val="7C96547B"/>
    <w:rsid w:val="7CBB1C03"/>
    <w:rsid w:val="7CBB6FFC"/>
    <w:rsid w:val="7CDA3EBC"/>
    <w:rsid w:val="7CF8367B"/>
    <w:rsid w:val="7CFB07E6"/>
    <w:rsid w:val="7D086E3F"/>
    <w:rsid w:val="7D1262AB"/>
    <w:rsid w:val="7D215382"/>
    <w:rsid w:val="7D6F43DB"/>
    <w:rsid w:val="7D721F19"/>
    <w:rsid w:val="7D835EDB"/>
    <w:rsid w:val="7D8A77D5"/>
    <w:rsid w:val="7DC460DC"/>
    <w:rsid w:val="7DF72088"/>
    <w:rsid w:val="7EA25BA8"/>
    <w:rsid w:val="7ED730C2"/>
    <w:rsid w:val="7EE91649"/>
    <w:rsid w:val="7EF11C94"/>
    <w:rsid w:val="7F2D32A2"/>
    <w:rsid w:val="7F3360C4"/>
    <w:rsid w:val="7F6E5CA7"/>
    <w:rsid w:val="7FD94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qFormat="1" w:uiPriority="99" w:semiHidden="0"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5">
    <w:name w:val="heading 1"/>
    <w:basedOn w:val="1"/>
    <w:next w:val="1"/>
    <w:link w:val="37"/>
    <w:qFormat/>
    <w:uiPriority w:val="9"/>
    <w:pPr>
      <w:keepNext/>
      <w:keepLines/>
      <w:spacing w:before="340" w:after="330" w:line="578" w:lineRule="auto"/>
      <w:outlineLvl w:val="0"/>
    </w:pPr>
    <w:rPr>
      <w:b/>
      <w:bCs/>
      <w:kern w:val="44"/>
      <w:sz w:val="44"/>
      <w:szCs w:val="44"/>
    </w:rPr>
  </w:style>
  <w:style w:type="paragraph" w:styleId="6">
    <w:name w:val="heading 3"/>
    <w:basedOn w:val="1"/>
    <w:next w:val="1"/>
    <w:link w:val="38"/>
    <w:unhideWhenUsed/>
    <w:qFormat/>
    <w:uiPriority w:val="9"/>
    <w:pPr>
      <w:keepNext/>
      <w:keepLines/>
      <w:spacing w:before="260" w:after="260" w:line="416" w:lineRule="auto"/>
      <w:outlineLvl w:val="2"/>
    </w:pPr>
    <w:rPr>
      <w:b/>
      <w:bCs/>
      <w:sz w:val="32"/>
      <w:szCs w:val="32"/>
    </w:rPr>
  </w:style>
  <w:style w:type="character" w:default="1" w:styleId="30">
    <w:name w:val="Default Paragraph Font"/>
    <w:unhideWhenUsed/>
    <w:qFormat/>
    <w:uiPriority w:val="1"/>
  </w:style>
  <w:style w:type="table" w:default="1" w:styleId="28">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next w:val="1"/>
    <w:qFormat/>
    <w:uiPriority w:val="0"/>
    <w:pPr>
      <w:ind w:firstLine="420"/>
    </w:pPr>
    <w:rPr>
      <w:sz w:val="24"/>
    </w:rPr>
  </w:style>
  <w:style w:type="paragraph" w:styleId="3">
    <w:name w:val="Body Text Indent"/>
    <w:basedOn w:val="1"/>
    <w:next w:val="4"/>
    <w:link w:val="62"/>
    <w:qFormat/>
    <w:uiPriority w:val="0"/>
    <w:pPr>
      <w:spacing w:after="120"/>
      <w:ind w:left="420" w:leftChars="200"/>
    </w:pPr>
    <w:rPr>
      <w:rFonts w:ascii="SimSun" w:hAnsi="SimSun" w:eastAsia="KaiTi" w:cs="Times New Roman"/>
      <w:color w:val="000000"/>
      <w:kern w:val="0"/>
      <w:sz w:val="28"/>
      <w:szCs w:val="22"/>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SimSun"/>
    </w:rPr>
  </w:style>
  <w:style w:type="paragraph" w:styleId="7">
    <w:name w:val="Normal Indent"/>
    <w:basedOn w:val="1"/>
    <w:link w:val="46"/>
    <w:qFormat/>
    <w:uiPriority w:val="99"/>
    <w:pPr>
      <w:spacing w:line="420" w:lineRule="exact"/>
      <w:ind w:firstLine="560" w:firstLineChars="200"/>
    </w:pPr>
    <w:rPr>
      <w:rFonts w:ascii="仿宋_GB2312" w:eastAsia="仿宋_GB2312"/>
      <w:color w:val="000000"/>
      <w:sz w:val="30"/>
      <w:szCs w:val="24"/>
    </w:rPr>
  </w:style>
  <w:style w:type="paragraph" w:styleId="8">
    <w:name w:val="caption"/>
    <w:basedOn w:val="1"/>
    <w:next w:val="1"/>
    <w:link w:val="92"/>
    <w:qFormat/>
    <w:uiPriority w:val="0"/>
    <w:rPr>
      <w:rFonts w:ascii="Calibri" w:hAnsi="Calibri" w:eastAsia="SimSun"/>
      <w:b/>
      <w:bCs/>
      <w:color w:val="2DA2BF"/>
      <w:sz w:val="18"/>
      <w:szCs w:val="18"/>
    </w:rPr>
  </w:style>
  <w:style w:type="paragraph" w:styleId="9">
    <w:name w:val="Document Map"/>
    <w:basedOn w:val="1"/>
    <w:link w:val="45"/>
    <w:unhideWhenUsed/>
    <w:qFormat/>
    <w:uiPriority w:val="99"/>
    <w:rPr>
      <w:rFonts w:ascii="SimSun" w:eastAsia="SimSun"/>
      <w:sz w:val="18"/>
      <w:szCs w:val="18"/>
    </w:rPr>
  </w:style>
  <w:style w:type="paragraph" w:styleId="10">
    <w:name w:val="annotation text"/>
    <w:basedOn w:val="1"/>
    <w:link w:val="59"/>
    <w:unhideWhenUsed/>
    <w:qFormat/>
    <w:uiPriority w:val="0"/>
    <w:pPr>
      <w:jc w:val="left"/>
    </w:pPr>
  </w:style>
  <w:style w:type="paragraph" w:styleId="11">
    <w:name w:val="Body Text"/>
    <w:basedOn w:val="1"/>
    <w:link w:val="57"/>
    <w:unhideWhenUsed/>
    <w:qFormat/>
    <w:uiPriority w:val="0"/>
    <w:pPr>
      <w:spacing w:after="120"/>
    </w:pPr>
  </w:style>
  <w:style w:type="paragraph" w:styleId="12">
    <w:name w:val="Block Text"/>
    <w:basedOn w:val="1"/>
    <w:qFormat/>
    <w:uiPriority w:val="0"/>
    <w:pPr>
      <w:widowControl/>
      <w:spacing w:line="440" w:lineRule="exact"/>
      <w:ind w:left="113" w:right="113" w:firstLine="567"/>
    </w:pPr>
    <w:rPr>
      <w:rFonts w:ascii="仿宋_GB2312" w:hAnsi="Times New Roman" w:eastAsia="仿宋_GB2312" w:cs="Times New Roman"/>
      <w:kern w:val="0"/>
      <w:sz w:val="28"/>
      <w:szCs w:val="20"/>
    </w:rPr>
  </w:style>
  <w:style w:type="paragraph" w:styleId="13">
    <w:name w:val="toc 3"/>
    <w:basedOn w:val="1"/>
    <w:next w:val="1"/>
    <w:unhideWhenUsed/>
    <w:qFormat/>
    <w:uiPriority w:val="39"/>
    <w:pPr>
      <w:ind w:left="840" w:leftChars="400"/>
    </w:pPr>
  </w:style>
  <w:style w:type="paragraph" w:styleId="14">
    <w:name w:val="Plain Text"/>
    <w:basedOn w:val="1"/>
    <w:link w:val="64"/>
    <w:qFormat/>
    <w:uiPriority w:val="99"/>
    <w:pPr>
      <w:widowControl/>
      <w:spacing w:before="100" w:beforeAutospacing="1" w:after="100" w:afterAutospacing="1"/>
      <w:jc w:val="left"/>
    </w:pPr>
    <w:rPr>
      <w:rFonts w:ascii="SimSun" w:hAnsi="SimSun" w:eastAsia="SimSun" w:cs="Times New Roman"/>
      <w:kern w:val="0"/>
      <w:sz w:val="24"/>
      <w:szCs w:val="20"/>
    </w:rPr>
  </w:style>
  <w:style w:type="paragraph" w:styleId="15">
    <w:name w:val="Date"/>
    <w:basedOn w:val="1"/>
    <w:next w:val="1"/>
    <w:link w:val="41"/>
    <w:unhideWhenUsed/>
    <w:qFormat/>
    <w:uiPriority w:val="0"/>
    <w:pPr>
      <w:ind w:left="100" w:leftChars="2500"/>
    </w:pPr>
  </w:style>
  <w:style w:type="paragraph" w:styleId="16">
    <w:name w:val="Body Text Indent 2"/>
    <w:basedOn w:val="1"/>
    <w:next w:val="17"/>
    <w:qFormat/>
    <w:uiPriority w:val="0"/>
    <w:pPr>
      <w:tabs>
        <w:tab w:val="left" w:pos="0"/>
      </w:tabs>
      <w:ind w:firstLine="473" w:firstLineChars="197"/>
      <w:jc w:val="left"/>
    </w:pPr>
    <w:rPr>
      <w:sz w:val="24"/>
    </w:rPr>
  </w:style>
  <w:style w:type="paragraph" w:styleId="17">
    <w:name w:val="Body Text 2"/>
    <w:basedOn w:val="1"/>
    <w:link w:val="65"/>
    <w:unhideWhenUsed/>
    <w:qFormat/>
    <w:uiPriority w:val="99"/>
    <w:pPr>
      <w:spacing w:after="120" w:line="480" w:lineRule="auto"/>
    </w:pPr>
  </w:style>
  <w:style w:type="paragraph" w:styleId="18">
    <w:name w:val="Balloon Text"/>
    <w:basedOn w:val="1"/>
    <w:link w:val="42"/>
    <w:unhideWhenUsed/>
    <w:qFormat/>
    <w:uiPriority w:val="99"/>
    <w:rPr>
      <w:sz w:val="18"/>
      <w:szCs w:val="18"/>
    </w:rPr>
  </w:style>
  <w:style w:type="paragraph" w:styleId="19">
    <w:name w:val="footer"/>
    <w:basedOn w:val="1"/>
    <w:link w:val="40"/>
    <w:unhideWhenUsed/>
    <w:qFormat/>
    <w:uiPriority w:val="0"/>
    <w:pPr>
      <w:tabs>
        <w:tab w:val="center" w:pos="4153"/>
        <w:tab w:val="right" w:pos="8306"/>
      </w:tabs>
      <w:snapToGrid w:val="0"/>
      <w:jc w:val="left"/>
    </w:pPr>
    <w:rPr>
      <w:sz w:val="18"/>
      <w:szCs w:val="18"/>
    </w:rPr>
  </w:style>
  <w:style w:type="paragraph" w:styleId="20">
    <w:name w:val="header"/>
    <w:basedOn w:val="1"/>
    <w:link w:val="39"/>
    <w:unhideWhenUsed/>
    <w:qFormat/>
    <w:uiPriority w:val="99"/>
    <w:pPr>
      <w:tabs>
        <w:tab w:val="center" w:pos="4153"/>
        <w:tab w:val="right" w:pos="8306"/>
      </w:tabs>
      <w:snapToGrid w:val="0"/>
      <w:jc w:val="center"/>
    </w:pPr>
    <w:rPr>
      <w:sz w:val="18"/>
      <w:szCs w:val="18"/>
    </w:rPr>
  </w:style>
  <w:style w:type="paragraph" w:styleId="21">
    <w:name w:val="toc 1"/>
    <w:basedOn w:val="1"/>
    <w:next w:val="1"/>
    <w:unhideWhenUsed/>
    <w:qFormat/>
    <w:uiPriority w:val="39"/>
  </w:style>
  <w:style w:type="paragraph" w:styleId="22">
    <w:name w:val="Subtitle"/>
    <w:basedOn w:val="1"/>
    <w:next w:val="1"/>
    <w:link w:val="44"/>
    <w:qFormat/>
    <w:uiPriority w:val="11"/>
    <w:pPr>
      <w:spacing w:line="360" w:lineRule="auto"/>
      <w:jc w:val="center"/>
    </w:pPr>
    <w:rPr>
      <w:rFonts w:eastAsia="Times New Roman" w:asciiTheme="majorHAnsi" w:hAnsiTheme="majorHAnsi" w:cstheme="majorBidi"/>
      <w:b/>
      <w:bCs/>
      <w:kern w:val="28"/>
      <w:sz w:val="24"/>
      <w:szCs w:val="32"/>
    </w:rPr>
  </w:style>
  <w:style w:type="paragraph" w:styleId="23">
    <w:name w:val="Body Text Indent 3"/>
    <w:basedOn w:val="1"/>
    <w:link w:val="67"/>
    <w:unhideWhenUsed/>
    <w:qFormat/>
    <w:uiPriority w:val="99"/>
    <w:pPr>
      <w:spacing w:after="120"/>
      <w:ind w:left="420" w:leftChars="200"/>
    </w:pPr>
    <w:rPr>
      <w:sz w:val="16"/>
      <w:szCs w:val="16"/>
    </w:rPr>
  </w:style>
  <w:style w:type="paragraph" w:styleId="24">
    <w:name w:val="toc 2"/>
    <w:basedOn w:val="1"/>
    <w:next w:val="1"/>
    <w:unhideWhenUsed/>
    <w:qFormat/>
    <w:uiPriority w:val="39"/>
    <w:pPr>
      <w:ind w:left="420" w:leftChars="200"/>
    </w:pPr>
  </w:style>
  <w:style w:type="paragraph" w:styleId="25">
    <w:name w:val="Normal (Web)"/>
    <w:basedOn w:val="1"/>
    <w:qFormat/>
    <w:uiPriority w:val="99"/>
    <w:pPr>
      <w:widowControl/>
      <w:spacing w:before="100" w:beforeAutospacing="1" w:after="100" w:afterAutospacing="1"/>
      <w:jc w:val="left"/>
    </w:pPr>
    <w:rPr>
      <w:rFonts w:ascii="SimSun" w:hAnsi="SimSun" w:eastAsia="SimSun" w:cs="SimSun"/>
      <w:kern w:val="0"/>
      <w:sz w:val="28"/>
      <w:szCs w:val="28"/>
    </w:rPr>
  </w:style>
  <w:style w:type="paragraph" w:styleId="26">
    <w:name w:val="annotation subject"/>
    <w:basedOn w:val="10"/>
    <w:next w:val="10"/>
    <w:link w:val="60"/>
    <w:unhideWhenUsed/>
    <w:qFormat/>
    <w:uiPriority w:val="99"/>
    <w:rPr>
      <w:b/>
      <w:bCs/>
    </w:rPr>
  </w:style>
  <w:style w:type="paragraph" w:styleId="27">
    <w:name w:val="Body Text First Indent"/>
    <w:basedOn w:val="11"/>
    <w:link w:val="79"/>
    <w:unhideWhenUsed/>
    <w:qFormat/>
    <w:uiPriority w:val="99"/>
    <w:pPr>
      <w:ind w:firstLine="420" w:firstLineChars="100"/>
    </w:pPr>
  </w:style>
  <w:style w:type="table" w:styleId="29">
    <w:name w:val="Table Grid"/>
    <w:basedOn w:val="28"/>
    <w:qFormat/>
    <w:uiPriority w:val="0"/>
    <w:rPr>
      <w:szCs w:val="21"/>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31">
    <w:name w:val="Hyperlink"/>
    <w:basedOn w:val="30"/>
    <w:unhideWhenUsed/>
    <w:qFormat/>
    <w:uiPriority w:val="99"/>
    <w:rPr>
      <w:color w:val="0000FF" w:themeColor="hyperlink"/>
      <w:u w:val="single"/>
      <w14:textFill>
        <w14:solidFill>
          <w14:schemeClr w14:val="hlink"/>
        </w14:solidFill>
      </w14:textFill>
    </w:rPr>
  </w:style>
  <w:style w:type="character" w:styleId="32">
    <w:name w:val="annotation reference"/>
    <w:basedOn w:val="30"/>
    <w:unhideWhenUsed/>
    <w:qFormat/>
    <w:uiPriority w:val="99"/>
    <w:rPr>
      <w:sz w:val="21"/>
      <w:szCs w:val="21"/>
    </w:rPr>
  </w:style>
  <w:style w:type="paragraph" w:customStyle="1" w:styleId="33">
    <w:name w:val="样式 样式 样式 四号 左侧:  1.53 厘米 + 首行缩进:  2 字符 + 居中 左侧:  2 字符 首行缩进:  2..."/>
    <w:basedOn w:val="34"/>
    <w:qFormat/>
    <w:uiPriority w:val="0"/>
    <w:pPr>
      <w:ind w:firstLine="0" w:firstLineChars="0"/>
      <w:jc w:val="center"/>
    </w:pPr>
  </w:style>
  <w:style w:type="paragraph" w:customStyle="1" w:styleId="34">
    <w:name w:val="样式 样式 四号 左侧:  1.53 厘米 + 首行缩进:  2 字符"/>
    <w:basedOn w:val="35"/>
    <w:qFormat/>
    <w:uiPriority w:val="0"/>
    <w:pPr>
      <w:ind w:left="200" w:leftChars="200"/>
    </w:pPr>
    <w:rPr>
      <w:szCs w:val="20"/>
    </w:rPr>
  </w:style>
  <w:style w:type="paragraph" w:customStyle="1" w:styleId="35">
    <w:name w:val="样式 四号 左侧:  1.53 厘米"/>
    <w:basedOn w:val="1"/>
    <w:qFormat/>
    <w:uiPriority w:val="0"/>
    <w:pPr>
      <w:adjustRightInd w:val="0"/>
    </w:pPr>
    <w:rPr>
      <w:w w:val="90"/>
      <w:sz w:val="28"/>
      <w:szCs w:val="28"/>
    </w:rPr>
  </w:style>
  <w:style w:type="paragraph" w:customStyle="1" w:styleId="36">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37">
    <w:name w:val="标题 1 Char"/>
    <w:basedOn w:val="30"/>
    <w:link w:val="5"/>
    <w:qFormat/>
    <w:uiPriority w:val="9"/>
    <w:rPr>
      <w:b/>
      <w:bCs/>
      <w:kern w:val="44"/>
      <w:sz w:val="44"/>
      <w:szCs w:val="44"/>
    </w:rPr>
  </w:style>
  <w:style w:type="character" w:customStyle="1" w:styleId="38">
    <w:name w:val="标题 3 Char"/>
    <w:basedOn w:val="30"/>
    <w:link w:val="6"/>
    <w:semiHidden/>
    <w:qFormat/>
    <w:uiPriority w:val="9"/>
    <w:rPr>
      <w:b/>
      <w:bCs/>
      <w:sz w:val="32"/>
      <w:szCs w:val="32"/>
    </w:rPr>
  </w:style>
  <w:style w:type="character" w:customStyle="1" w:styleId="39">
    <w:name w:val="页眉 Char"/>
    <w:basedOn w:val="30"/>
    <w:link w:val="20"/>
    <w:qFormat/>
    <w:uiPriority w:val="99"/>
    <w:rPr>
      <w:sz w:val="18"/>
      <w:szCs w:val="18"/>
    </w:rPr>
  </w:style>
  <w:style w:type="character" w:customStyle="1" w:styleId="40">
    <w:name w:val="页脚 Char"/>
    <w:basedOn w:val="30"/>
    <w:link w:val="19"/>
    <w:qFormat/>
    <w:uiPriority w:val="0"/>
    <w:rPr>
      <w:sz w:val="18"/>
      <w:szCs w:val="18"/>
    </w:rPr>
  </w:style>
  <w:style w:type="character" w:customStyle="1" w:styleId="41">
    <w:name w:val="日期 Char"/>
    <w:basedOn w:val="30"/>
    <w:link w:val="15"/>
    <w:qFormat/>
    <w:uiPriority w:val="0"/>
    <w:rPr>
      <w:szCs w:val="21"/>
    </w:rPr>
  </w:style>
  <w:style w:type="character" w:customStyle="1" w:styleId="42">
    <w:name w:val="批注框文本 Char"/>
    <w:basedOn w:val="30"/>
    <w:link w:val="18"/>
    <w:semiHidden/>
    <w:qFormat/>
    <w:uiPriority w:val="99"/>
    <w:rPr>
      <w:sz w:val="18"/>
      <w:szCs w:val="18"/>
    </w:rPr>
  </w:style>
  <w:style w:type="paragraph" w:customStyle="1" w:styleId="43">
    <w:name w:val="List Paragraph"/>
    <w:basedOn w:val="1"/>
    <w:qFormat/>
    <w:uiPriority w:val="34"/>
    <w:pPr>
      <w:ind w:firstLine="420" w:firstLineChars="200"/>
    </w:pPr>
  </w:style>
  <w:style w:type="character" w:customStyle="1" w:styleId="44">
    <w:name w:val="副标题 Char"/>
    <w:basedOn w:val="30"/>
    <w:link w:val="22"/>
    <w:qFormat/>
    <w:uiPriority w:val="11"/>
    <w:rPr>
      <w:rFonts w:eastAsia="Times New Roman" w:asciiTheme="majorHAnsi" w:hAnsiTheme="majorHAnsi" w:cstheme="majorBidi"/>
      <w:b/>
      <w:bCs/>
      <w:kern w:val="28"/>
      <w:sz w:val="24"/>
      <w:szCs w:val="32"/>
    </w:rPr>
  </w:style>
  <w:style w:type="character" w:customStyle="1" w:styleId="45">
    <w:name w:val="文档结构图 Char"/>
    <w:basedOn w:val="30"/>
    <w:link w:val="9"/>
    <w:semiHidden/>
    <w:qFormat/>
    <w:uiPriority w:val="99"/>
    <w:rPr>
      <w:rFonts w:ascii="SimSun" w:eastAsia="SimSun"/>
      <w:sz w:val="18"/>
      <w:szCs w:val="18"/>
    </w:rPr>
  </w:style>
  <w:style w:type="character" w:customStyle="1" w:styleId="46">
    <w:name w:val="正文缩进 Char"/>
    <w:link w:val="7"/>
    <w:qFormat/>
    <w:uiPriority w:val="99"/>
    <w:rPr>
      <w:rFonts w:ascii="仿宋_GB2312" w:eastAsia="仿宋_GB2312"/>
      <w:color w:val="000000"/>
      <w:sz w:val="30"/>
      <w:szCs w:val="24"/>
    </w:rPr>
  </w:style>
  <w:style w:type="paragraph" w:customStyle="1" w:styleId="47">
    <w:name w:val="陈光的正文"/>
    <w:basedOn w:val="1"/>
    <w:qFormat/>
    <w:uiPriority w:val="0"/>
    <w:pPr>
      <w:adjustRightInd w:val="0"/>
      <w:snapToGrid w:val="0"/>
      <w:spacing w:beforeLines="10" w:afterLines="10" w:line="360" w:lineRule="auto"/>
      <w:ind w:firstLine="560" w:firstLineChars="200"/>
    </w:pPr>
    <w:rPr>
      <w:rFonts w:ascii="Times New Roman" w:hAnsi="Times New Roman" w:eastAsia="Times New Roman" w:cs="Times New Roman"/>
      <w:sz w:val="24"/>
      <w:szCs w:val="20"/>
    </w:rPr>
  </w:style>
  <w:style w:type="paragraph" w:customStyle="1" w:styleId="48">
    <w:name w:val="表头1"/>
    <w:basedOn w:val="1"/>
    <w:next w:val="1"/>
    <w:link w:val="49"/>
    <w:qFormat/>
    <w:uiPriority w:val="0"/>
    <w:pPr>
      <w:adjustRightInd w:val="0"/>
      <w:snapToGrid w:val="0"/>
      <w:jc w:val="center"/>
    </w:pPr>
    <w:rPr>
      <w:rFonts w:ascii="Times New Roman" w:hAnsi="SimSun" w:eastAsia="Times New Roman" w:cs="Times New Roman"/>
      <w:b/>
      <w:kern w:val="0"/>
      <w:sz w:val="24"/>
      <w:szCs w:val="28"/>
    </w:rPr>
  </w:style>
  <w:style w:type="character" w:customStyle="1" w:styleId="49">
    <w:name w:val="表头1 Char"/>
    <w:basedOn w:val="30"/>
    <w:link w:val="48"/>
    <w:qFormat/>
    <w:uiPriority w:val="0"/>
    <w:rPr>
      <w:rFonts w:ascii="Times New Roman" w:hAnsi="SimSun" w:eastAsia="Times New Roman" w:cs="Times New Roman"/>
      <w:b/>
      <w:kern w:val="0"/>
      <w:sz w:val="24"/>
      <w:szCs w:val="28"/>
    </w:rPr>
  </w:style>
  <w:style w:type="character" w:customStyle="1" w:styleId="50">
    <w:name w:val="font01"/>
    <w:basedOn w:val="30"/>
    <w:qFormat/>
    <w:uiPriority w:val="0"/>
    <w:rPr>
      <w:rFonts w:hint="default" w:ascii="Times New Roman" w:hAnsi="Times New Roman" w:cs="Times New Roman"/>
      <w:color w:val="000000"/>
      <w:sz w:val="22"/>
      <w:szCs w:val="22"/>
      <w:u w:val="none"/>
    </w:rPr>
  </w:style>
  <w:style w:type="character" w:customStyle="1" w:styleId="51">
    <w:name w:val="font11"/>
    <w:basedOn w:val="30"/>
    <w:qFormat/>
    <w:uiPriority w:val="0"/>
    <w:rPr>
      <w:rFonts w:hint="eastAsia" w:ascii="SimSun" w:hAnsi="SimSun" w:eastAsia="SimSun" w:cs="SimSun"/>
      <w:color w:val="000000"/>
      <w:sz w:val="22"/>
      <w:szCs w:val="22"/>
      <w:u w:val="none"/>
    </w:rPr>
  </w:style>
  <w:style w:type="character" w:customStyle="1" w:styleId="52">
    <w:name w:val="postbody1"/>
    <w:basedOn w:val="30"/>
    <w:qFormat/>
    <w:uiPriority w:val="0"/>
    <w:rPr>
      <w:sz w:val="21"/>
      <w:szCs w:val="21"/>
    </w:rPr>
  </w:style>
  <w:style w:type="character" w:customStyle="1" w:styleId="53">
    <w:name w:val="样式 小四"/>
    <w:basedOn w:val="30"/>
    <w:qFormat/>
    <w:uiPriority w:val="0"/>
    <w:rPr>
      <w:rFonts w:ascii="Times New Roman" w:hAnsi="Times New Roman" w:eastAsia="SimSun"/>
      <w:sz w:val="24"/>
      <w:szCs w:val="24"/>
    </w:rPr>
  </w:style>
  <w:style w:type="character" w:customStyle="1" w:styleId="54">
    <w:name w:val="样式1 Char Char"/>
    <w:link w:val="55"/>
    <w:qFormat/>
    <w:uiPriority w:val="0"/>
    <w:rPr>
      <w:rFonts w:eastAsia="仿宋_GB2312"/>
      <w:bCs/>
      <w:kern w:val="30"/>
      <w:sz w:val="30"/>
      <w:szCs w:val="30"/>
    </w:rPr>
  </w:style>
  <w:style w:type="paragraph" w:customStyle="1" w:styleId="55">
    <w:name w:val="样式1"/>
    <w:basedOn w:val="1"/>
    <w:link w:val="54"/>
    <w:qFormat/>
    <w:uiPriority w:val="0"/>
    <w:pPr>
      <w:adjustRightInd w:val="0"/>
      <w:snapToGrid w:val="0"/>
      <w:spacing w:line="520" w:lineRule="exact"/>
      <w:ind w:firstLine="200" w:firstLineChars="200"/>
    </w:pPr>
    <w:rPr>
      <w:rFonts w:eastAsia="仿宋_GB2312"/>
      <w:bCs/>
      <w:kern w:val="30"/>
      <w:sz w:val="30"/>
      <w:szCs w:val="30"/>
    </w:rPr>
  </w:style>
  <w:style w:type="paragraph" w:customStyle="1" w:styleId="56">
    <w:name w:val="样式 左侧:  0.42 厘米 首行缩进:  0.85 厘米 右侧:  0.42 厘米"/>
    <w:basedOn w:val="1"/>
    <w:qFormat/>
    <w:uiPriority w:val="0"/>
    <w:pPr>
      <w:spacing w:line="360" w:lineRule="auto"/>
    </w:pPr>
    <w:rPr>
      <w:rFonts w:ascii="Times New Roman" w:hAnsi="Times New Roman" w:eastAsia="SimSun" w:cs="SimSun"/>
      <w:sz w:val="24"/>
      <w:szCs w:val="20"/>
    </w:rPr>
  </w:style>
  <w:style w:type="character" w:customStyle="1" w:styleId="57">
    <w:name w:val="正文文本 Char"/>
    <w:basedOn w:val="30"/>
    <w:link w:val="11"/>
    <w:qFormat/>
    <w:uiPriority w:val="0"/>
    <w:rPr>
      <w:szCs w:val="21"/>
    </w:rPr>
  </w:style>
  <w:style w:type="paragraph" w:customStyle="1" w:styleId="58">
    <w:name w:val="样式2"/>
    <w:basedOn w:val="1"/>
    <w:qFormat/>
    <w:uiPriority w:val="0"/>
    <w:pPr>
      <w:adjustRightInd w:val="0"/>
      <w:ind w:left="170"/>
      <w:jc w:val="left"/>
      <w:textAlignment w:val="baseline"/>
    </w:pPr>
    <w:rPr>
      <w:rFonts w:ascii="Times New Roman" w:hAnsi="Times New Roman" w:eastAsia="SimSun" w:cs="Times New Roman"/>
      <w:b/>
      <w:kern w:val="0"/>
      <w:sz w:val="24"/>
      <w:szCs w:val="20"/>
    </w:rPr>
  </w:style>
  <w:style w:type="character" w:customStyle="1" w:styleId="59">
    <w:name w:val="批注文字 Char"/>
    <w:basedOn w:val="30"/>
    <w:link w:val="10"/>
    <w:qFormat/>
    <w:uiPriority w:val="0"/>
    <w:rPr>
      <w:szCs w:val="21"/>
    </w:rPr>
  </w:style>
  <w:style w:type="character" w:customStyle="1" w:styleId="60">
    <w:name w:val="批注主题 Char"/>
    <w:basedOn w:val="59"/>
    <w:link w:val="26"/>
    <w:semiHidden/>
    <w:qFormat/>
    <w:uiPriority w:val="99"/>
    <w:rPr>
      <w:b/>
      <w:bCs/>
    </w:rPr>
  </w:style>
  <w:style w:type="character" w:customStyle="1" w:styleId="61">
    <w:name w:val="apple-converted-space"/>
    <w:basedOn w:val="30"/>
    <w:qFormat/>
    <w:uiPriority w:val="0"/>
  </w:style>
  <w:style w:type="character" w:customStyle="1" w:styleId="62">
    <w:name w:val="正文文本缩进 Char"/>
    <w:basedOn w:val="30"/>
    <w:link w:val="3"/>
    <w:qFormat/>
    <w:uiPriority w:val="0"/>
    <w:rPr>
      <w:rFonts w:ascii="SimSun" w:hAnsi="SimSun" w:eastAsia="KaiTi" w:cs="Times New Roman"/>
      <w:color w:val="000000"/>
      <w:kern w:val="0"/>
      <w:sz w:val="28"/>
    </w:rPr>
  </w:style>
  <w:style w:type="character" w:customStyle="1" w:styleId="63">
    <w:name w:val="标题1"/>
    <w:basedOn w:val="30"/>
    <w:qFormat/>
    <w:uiPriority w:val="0"/>
    <w:rPr>
      <w:rFonts w:ascii="Tahoma" w:hAnsi="Tahoma"/>
      <w:sz w:val="24"/>
    </w:rPr>
  </w:style>
  <w:style w:type="character" w:customStyle="1" w:styleId="64">
    <w:name w:val="纯文本 Char"/>
    <w:basedOn w:val="30"/>
    <w:link w:val="14"/>
    <w:qFormat/>
    <w:uiPriority w:val="99"/>
    <w:rPr>
      <w:rFonts w:ascii="SimSun" w:hAnsi="SimSun" w:eastAsia="SimSun" w:cs="Times New Roman"/>
      <w:kern w:val="0"/>
      <w:sz w:val="24"/>
      <w:szCs w:val="20"/>
    </w:rPr>
  </w:style>
  <w:style w:type="character" w:customStyle="1" w:styleId="65">
    <w:name w:val="正文文本 2 Char"/>
    <w:basedOn w:val="30"/>
    <w:link w:val="17"/>
    <w:semiHidden/>
    <w:qFormat/>
    <w:uiPriority w:val="99"/>
    <w:rPr>
      <w:szCs w:val="21"/>
    </w:rPr>
  </w:style>
  <w:style w:type="paragraph" w:customStyle="1" w:styleId="66">
    <w:name w:val="Table Paragraph"/>
    <w:basedOn w:val="1"/>
    <w:qFormat/>
    <w:uiPriority w:val="0"/>
    <w:pPr>
      <w:spacing w:before="100" w:beforeAutospacing="1"/>
      <w:jc w:val="left"/>
    </w:pPr>
    <w:rPr>
      <w:rFonts w:ascii="Calibri" w:hAnsi="Calibri" w:eastAsia="SimSun" w:cs="Times New Roman"/>
      <w:kern w:val="0"/>
      <w:sz w:val="22"/>
      <w:szCs w:val="22"/>
    </w:rPr>
  </w:style>
  <w:style w:type="character" w:customStyle="1" w:styleId="67">
    <w:name w:val="正文文本缩进 3 Char"/>
    <w:basedOn w:val="30"/>
    <w:link w:val="23"/>
    <w:qFormat/>
    <w:uiPriority w:val="99"/>
    <w:rPr>
      <w:sz w:val="16"/>
      <w:szCs w:val="16"/>
    </w:rPr>
  </w:style>
  <w:style w:type="character" w:customStyle="1" w:styleId="68">
    <w:name w:val="标题3 Char Char"/>
    <w:link w:val="69"/>
    <w:qFormat/>
    <w:uiPriority w:val="0"/>
    <w:rPr>
      <w:rFonts w:ascii="Tahoma" w:hAnsi="Tahoma" w:eastAsia="仿宋_GB2312" w:cs="SimSun"/>
      <w:b/>
      <w:bCs/>
      <w:sz w:val="32"/>
    </w:rPr>
  </w:style>
  <w:style w:type="paragraph" w:customStyle="1" w:styleId="69">
    <w:name w:val="标题3"/>
    <w:basedOn w:val="6"/>
    <w:next w:val="11"/>
    <w:link w:val="68"/>
    <w:qFormat/>
    <w:uiPriority w:val="0"/>
    <w:pPr>
      <w:spacing w:before="120" w:after="120" w:line="360" w:lineRule="auto"/>
    </w:pPr>
    <w:rPr>
      <w:rFonts w:ascii="Tahoma" w:hAnsi="Tahoma" w:eastAsia="仿宋_GB2312" w:cs="SimSun"/>
      <w:szCs w:val="22"/>
    </w:rPr>
  </w:style>
  <w:style w:type="paragraph" w:customStyle="1" w:styleId="70">
    <w:name w:val="Char Char Char Char Char Char Char"/>
    <w:basedOn w:val="1"/>
    <w:qFormat/>
    <w:uiPriority w:val="0"/>
    <w:pPr>
      <w:spacing w:line="360" w:lineRule="auto"/>
      <w:ind w:firstLine="200" w:firstLineChars="200"/>
    </w:pPr>
    <w:rPr>
      <w:rFonts w:ascii="Times New Roman" w:hAnsi="Times New Roman" w:eastAsia="SimSun" w:cs="Times New Roman"/>
      <w:szCs w:val="20"/>
    </w:rPr>
  </w:style>
  <w:style w:type="paragraph" w:customStyle="1" w:styleId="71">
    <w:name w:val="Char Char5"/>
    <w:basedOn w:val="1"/>
    <w:qFormat/>
    <w:uiPriority w:val="0"/>
    <w:pPr>
      <w:spacing w:line="360" w:lineRule="auto"/>
      <w:ind w:firstLine="480" w:firstLineChars="200"/>
    </w:pPr>
    <w:rPr>
      <w:rFonts w:ascii="Times New Roman" w:hAnsi="Times New Roman" w:eastAsia="SimSun" w:cs="Times New Roman"/>
      <w:sz w:val="24"/>
      <w:szCs w:val="24"/>
    </w:rPr>
  </w:style>
  <w:style w:type="paragraph" w:customStyle="1" w:styleId="72">
    <w:name w:val="li_正文"/>
    <w:basedOn w:val="1"/>
    <w:qFormat/>
    <w:uiPriority w:val="99"/>
    <w:pPr>
      <w:spacing w:line="360" w:lineRule="auto"/>
      <w:ind w:firstLine="200" w:firstLineChars="200"/>
      <w:jc w:val="left"/>
    </w:pPr>
    <w:rPr>
      <w:rFonts w:ascii="Times New Roman" w:hAnsi="Times New Roman" w:eastAsia="SimSun" w:cs="Times New Roman"/>
      <w:sz w:val="28"/>
      <w:szCs w:val="28"/>
    </w:rPr>
  </w:style>
  <w:style w:type="paragraph" w:customStyle="1" w:styleId="73">
    <w:name w:val="Normal_2"/>
    <w:qFormat/>
    <w:uiPriority w:val="0"/>
    <w:pPr>
      <w:spacing w:before="120" w:after="240"/>
      <w:jc w:val="both"/>
    </w:pPr>
    <w:rPr>
      <w:rFonts w:ascii="Calibri" w:hAnsi="Calibri" w:eastAsia="Calibri" w:cs="Times New Roman"/>
      <w:sz w:val="22"/>
      <w:szCs w:val="22"/>
      <w:lang w:val="ru-RU" w:eastAsia="en-US" w:bidi="ar-SA"/>
    </w:rPr>
  </w:style>
  <w:style w:type="paragraph" w:customStyle="1" w:styleId="74">
    <w:name w:val="表芯"/>
    <w:basedOn w:val="1"/>
    <w:link w:val="75"/>
    <w:qFormat/>
    <w:uiPriority w:val="0"/>
    <w:rPr>
      <w:rFonts w:ascii="Times New Roman" w:hAnsi="Times New Roman" w:eastAsia="SimSun" w:cs="Times New Roman"/>
      <w:szCs w:val="24"/>
    </w:rPr>
  </w:style>
  <w:style w:type="character" w:customStyle="1" w:styleId="75">
    <w:name w:val="表芯 Char"/>
    <w:link w:val="74"/>
    <w:qFormat/>
    <w:uiPriority w:val="0"/>
    <w:rPr>
      <w:rFonts w:ascii="Times New Roman" w:hAnsi="Times New Roman" w:eastAsia="SimSun" w:cs="Times New Roman"/>
      <w:szCs w:val="24"/>
    </w:rPr>
  </w:style>
  <w:style w:type="paragraph" w:customStyle="1" w:styleId="76">
    <w:name w:val="表格"/>
    <w:basedOn w:val="1"/>
    <w:qFormat/>
    <w:uiPriority w:val="0"/>
    <w:pPr>
      <w:jc w:val="center"/>
    </w:pPr>
    <w:rPr>
      <w:rFonts w:ascii="Times New Roman" w:hAnsi="Times New Roman" w:eastAsia="SimSun" w:cs="Times New Roman"/>
      <w:sz w:val="24"/>
      <w:szCs w:val="24"/>
    </w:rPr>
  </w:style>
  <w:style w:type="paragraph" w:customStyle="1" w:styleId="77">
    <w:name w:val="表格标题"/>
    <w:basedOn w:val="1"/>
    <w:qFormat/>
    <w:uiPriority w:val="0"/>
    <w:pPr>
      <w:spacing w:before="60" w:line="460" w:lineRule="exact"/>
      <w:jc w:val="center"/>
    </w:pPr>
    <w:rPr>
      <w:rFonts w:ascii="Times New Roman" w:hAnsi="Times New Roman" w:eastAsia="SimSun" w:cs="Times New Roman"/>
      <w:sz w:val="24"/>
      <w:szCs w:val="20"/>
    </w:rPr>
  </w:style>
  <w:style w:type="paragraph" w:customStyle="1" w:styleId="78">
    <w:name w:val="表体"/>
    <w:basedOn w:val="1"/>
    <w:qFormat/>
    <w:uiPriority w:val="0"/>
    <w:pPr>
      <w:overflowPunct w:val="0"/>
      <w:adjustRightInd w:val="0"/>
      <w:spacing w:line="300" w:lineRule="atLeast"/>
      <w:jc w:val="center"/>
    </w:pPr>
    <w:rPr>
      <w:rFonts w:ascii="Times New Roman" w:hAnsi="Times New Roman" w:eastAsia="SimSun" w:cs="Times New Roman"/>
      <w:color w:val="000000"/>
      <w:kern w:val="24"/>
      <w:sz w:val="18"/>
      <w:szCs w:val="20"/>
    </w:rPr>
  </w:style>
  <w:style w:type="character" w:customStyle="1" w:styleId="79">
    <w:name w:val="正文首行缩进 Char"/>
    <w:basedOn w:val="57"/>
    <w:link w:val="27"/>
    <w:qFormat/>
    <w:uiPriority w:val="99"/>
  </w:style>
  <w:style w:type="paragraph" w:customStyle="1" w:styleId="80">
    <w:name w:val="Char Char Char Char Char Char1 Char"/>
    <w:basedOn w:val="1"/>
    <w:qFormat/>
    <w:uiPriority w:val="0"/>
    <w:pPr>
      <w:spacing w:line="360" w:lineRule="auto"/>
      <w:ind w:firstLine="200" w:firstLineChars="200"/>
    </w:pPr>
    <w:rPr>
      <w:rFonts w:ascii="SimSun" w:hAnsi="SimSun" w:eastAsia="SimSun" w:cs="SimSun"/>
      <w:sz w:val="24"/>
      <w:szCs w:val="24"/>
    </w:rPr>
  </w:style>
  <w:style w:type="paragraph" w:customStyle="1" w:styleId="81">
    <w:name w:val="font5"/>
    <w:basedOn w:val="1"/>
    <w:qFormat/>
    <w:uiPriority w:val="0"/>
    <w:pPr>
      <w:widowControl/>
      <w:spacing w:before="100" w:beforeAutospacing="1" w:after="100" w:afterAutospacing="1"/>
      <w:jc w:val="left"/>
    </w:pPr>
    <w:rPr>
      <w:rFonts w:hint="eastAsia" w:ascii="SimSun" w:hAnsi="SimSun" w:eastAsia="SimSun" w:cs="Times New Roman"/>
      <w:kern w:val="0"/>
      <w:sz w:val="24"/>
      <w:szCs w:val="24"/>
    </w:rPr>
  </w:style>
  <w:style w:type="paragraph" w:customStyle="1" w:styleId="82">
    <w:name w:val="Char Char Char Char Char Char Char1"/>
    <w:basedOn w:val="1"/>
    <w:qFormat/>
    <w:uiPriority w:val="0"/>
    <w:pPr>
      <w:spacing w:line="360" w:lineRule="auto"/>
      <w:ind w:firstLine="200" w:firstLineChars="200"/>
    </w:pPr>
    <w:rPr>
      <w:rFonts w:ascii="Times New Roman" w:hAnsi="Times New Roman" w:eastAsia="SimSun" w:cs="Times New Roman"/>
      <w:szCs w:val="20"/>
    </w:rPr>
  </w:style>
  <w:style w:type="paragraph" w:customStyle="1" w:styleId="83">
    <w:name w:val="Char Char Char Char Char Char1 Char1"/>
    <w:basedOn w:val="1"/>
    <w:qFormat/>
    <w:uiPriority w:val="0"/>
    <w:pPr>
      <w:spacing w:line="360" w:lineRule="auto"/>
      <w:ind w:firstLine="200" w:firstLineChars="200"/>
    </w:pPr>
    <w:rPr>
      <w:rFonts w:ascii="SimSun" w:hAnsi="SimSun" w:eastAsia="SimSun" w:cs="SimSun"/>
      <w:sz w:val="24"/>
      <w:szCs w:val="24"/>
    </w:rPr>
  </w:style>
  <w:style w:type="character" w:customStyle="1" w:styleId="84">
    <w:name w:val="表格内容 Char"/>
    <w:link w:val="85"/>
    <w:qFormat/>
    <w:uiPriority w:val="0"/>
    <w:rPr>
      <w:szCs w:val="21"/>
    </w:rPr>
  </w:style>
  <w:style w:type="paragraph" w:customStyle="1" w:styleId="85">
    <w:name w:val="表格内容"/>
    <w:basedOn w:val="1"/>
    <w:link w:val="84"/>
    <w:qFormat/>
    <w:uiPriority w:val="0"/>
    <w:pPr>
      <w:adjustRightInd w:val="0"/>
      <w:snapToGrid w:val="0"/>
      <w:jc w:val="center"/>
    </w:pPr>
  </w:style>
  <w:style w:type="paragraph" w:customStyle="1" w:styleId="86">
    <w:name w:val="Char Char Char Char Char Char1 Char2"/>
    <w:basedOn w:val="1"/>
    <w:qFormat/>
    <w:uiPriority w:val="0"/>
    <w:pPr>
      <w:spacing w:line="360" w:lineRule="auto"/>
      <w:ind w:firstLine="200" w:firstLineChars="200"/>
    </w:pPr>
    <w:rPr>
      <w:rFonts w:ascii="SimSun" w:hAnsi="SimSun" w:eastAsia="SimSun" w:cs="SimSun"/>
      <w:sz w:val="24"/>
      <w:szCs w:val="24"/>
    </w:rPr>
  </w:style>
  <w:style w:type="character" w:customStyle="1" w:styleId="87">
    <w:name w:val="title"/>
    <w:basedOn w:val="30"/>
    <w:qFormat/>
    <w:uiPriority w:val="0"/>
  </w:style>
  <w:style w:type="paragraph" w:customStyle="1" w:styleId="88">
    <w:name w:val="Char Char Char Char Char Char1 Char3"/>
    <w:basedOn w:val="1"/>
    <w:qFormat/>
    <w:uiPriority w:val="0"/>
    <w:pPr>
      <w:spacing w:line="360" w:lineRule="auto"/>
      <w:ind w:firstLine="200" w:firstLineChars="200"/>
    </w:pPr>
    <w:rPr>
      <w:rFonts w:ascii="SimSun" w:hAnsi="SimSun" w:eastAsia="SimSun" w:cs="SimSun"/>
      <w:sz w:val="24"/>
      <w:szCs w:val="24"/>
    </w:rPr>
  </w:style>
  <w:style w:type="paragraph" w:customStyle="1" w:styleId="89">
    <w:name w:val="Char Char Char Char Char Char1 Char4"/>
    <w:basedOn w:val="1"/>
    <w:qFormat/>
    <w:uiPriority w:val="0"/>
    <w:pPr>
      <w:spacing w:line="360" w:lineRule="auto"/>
      <w:ind w:firstLine="200" w:firstLineChars="200"/>
    </w:pPr>
    <w:rPr>
      <w:rFonts w:ascii="SimSun" w:hAnsi="SimSun" w:eastAsia="SimSun" w:cs="SimSun"/>
      <w:sz w:val="24"/>
      <w:szCs w:val="24"/>
    </w:rPr>
  </w:style>
  <w:style w:type="paragraph" w:customStyle="1" w:styleId="90">
    <w:name w:val="样式 宋体 红色 行距: 1.5 倍行距"/>
    <w:basedOn w:val="1"/>
    <w:qFormat/>
    <w:uiPriority w:val="0"/>
    <w:pPr>
      <w:adjustRightInd w:val="0"/>
      <w:snapToGrid w:val="0"/>
      <w:spacing w:line="360" w:lineRule="auto"/>
      <w:ind w:firstLine="560" w:firstLineChars="200"/>
    </w:pPr>
    <w:rPr>
      <w:rFonts w:ascii="SimSun" w:hAnsi="SimSun" w:eastAsia="SimSun" w:cs="SimSun"/>
      <w:color w:val="FF0000"/>
      <w:sz w:val="24"/>
      <w:szCs w:val="20"/>
    </w:rPr>
  </w:style>
  <w:style w:type="paragraph" w:customStyle="1" w:styleId="91">
    <w:name w:val="a1"/>
    <w:basedOn w:val="1"/>
    <w:qFormat/>
    <w:uiPriority w:val="0"/>
    <w:pPr>
      <w:ind w:firstLine="538" w:firstLineChars="192"/>
    </w:pPr>
    <w:rPr>
      <w:rFonts w:ascii="SimSun" w:hAnsi="SimSun" w:eastAsia="SimSun" w:cs="Times New Roman"/>
      <w:sz w:val="28"/>
    </w:rPr>
  </w:style>
  <w:style w:type="character" w:customStyle="1" w:styleId="92">
    <w:name w:val="题注 Char"/>
    <w:link w:val="8"/>
    <w:qFormat/>
    <w:uiPriority w:val="0"/>
    <w:rPr>
      <w:rFonts w:ascii="Calibri" w:hAnsi="Calibri" w:eastAsia="SimSun"/>
      <w:b/>
      <w:bCs/>
      <w:color w:val="2DA2BF"/>
      <w:sz w:val="18"/>
      <w:szCs w:val="18"/>
    </w:rPr>
  </w:style>
  <w:style w:type="paragraph" w:customStyle="1" w:styleId="93">
    <w:name w:val="Char Char Char Char Char Char1 Char Char Char Char"/>
    <w:basedOn w:val="1"/>
    <w:qFormat/>
    <w:uiPriority w:val="0"/>
    <w:pPr>
      <w:spacing w:line="360" w:lineRule="auto"/>
      <w:ind w:firstLine="200" w:firstLineChars="200"/>
    </w:pPr>
    <w:rPr>
      <w:rFonts w:ascii="Calibri" w:hAnsi="Calibri" w:eastAsia="SimSun" w:cs="Times New Roman"/>
      <w:sz w:val="24"/>
      <w:szCs w:val="24"/>
    </w:rPr>
  </w:style>
  <w:style w:type="paragraph" w:customStyle="1" w:styleId="94">
    <w:name w:val="Char Char Char Char Char Char1 Char Char Char Char1"/>
    <w:basedOn w:val="1"/>
    <w:qFormat/>
    <w:uiPriority w:val="0"/>
    <w:pPr>
      <w:spacing w:line="360" w:lineRule="auto"/>
      <w:ind w:firstLine="200" w:firstLineChars="200"/>
    </w:pPr>
    <w:rPr>
      <w:rFonts w:ascii="Calibri" w:hAnsi="Calibri" w:eastAsia="SimSun" w:cs="Times New Roman"/>
      <w:sz w:val="24"/>
      <w:szCs w:val="24"/>
    </w:rPr>
  </w:style>
  <w:style w:type="paragraph" w:customStyle="1" w:styleId="95">
    <w:name w:val="表文6"/>
    <w:basedOn w:val="1"/>
    <w:qFormat/>
    <w:uiPriority w:val="0"/>
    <w:pPr>
      <w:jc w:val="center"/>
    </w:pPr>
    <w:rPr>
      <w:kern w:val="0"/>
      <w:sz w:val="21"/>
    </w:rPr>
  </w:style>
  <w:style w:type="paragraph" w:customStyle="1" w:styleId="96">
    <w:name w:val="陆晶 正文 Char Char"/>
    <w:basedOn w:val="1"/>
    <w:qFormat/>
    <w:uiPriority w:val="0"/>
    <w:pPr>
      <w:widowControl/>
      <w:spacing w:line="360" w:lineRule="auto"/>
      <w:ind w:firstLine="480" w:firstLineChars="200"/>
      <w:jc w:val="left"/>
    </w:pPr>
    <w:rPr>
      <w:rFonts w:hAnsi="SimSun"/>
      <w:snapToGrid w:val="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e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28801C-2300-4980-886F-9696CDA2010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44</Pages>
  <Words>15591</Words>
  <Characters>20534</Characters>
  <Lines>133</Lines>
  <Paragraphs>37</Paragraphs>
  <TotalTime>9</TotalTime>
  <ScaleCrop>false</ScaleCrop>
  <LinksUpToDate>false</LinksUpToDate>
  <CharactersWithSpaces>20901</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2018-06-08T14:43:00Z</dcterms:created>
  <dc:creator>Administrator</dc:creator>
  <cp:lastModifiedBy>@霸道小主儿</cp:lastModifiedBy>
  <cp:lastPrinted>2019-01-28T08:55:00Z</cp:lastPrinted>
  <dcterms:modified xsi:type="dcterms:W3CDTF">2020-01-10T01:01:04Z</dcterms:modified>
  <cp:revision>1121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