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一、项目位于济南市钢城区颜庄街道友谊北路27号，主要建设一次性发热贴生产线15条，配套建设公用设施、辅助设施和环保设施。以还原铁粉、保温蛭石、活性炭粉等为原料，经筛分、分装、搅拌、分装、包装等工序，设计年产5000万片一次性发热贴。项目总投资1000万元，环保投资18万元。项目已取得山东省建设项目备案证明（项目代码：2302-371203-04-01-947432）。我局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二、项目建设和运营过程中应重点做好以下工作：</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（一）做好废气的污染防治工作</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上料、筛分、落料、进料、分装、搅拌等工序产生的粉尘须收集，经布袋除尘器处理，确保颗粒物排放浓度符合《区域性大气污染物综合排放标准》（DB37-2376-2019） 表 1 重点控制区标准要求，经1根15米高排气筒排放。</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做好各环节废气无组织排放的污染控制工作。采取车间密闭等措施，确保厂界颗粒物排放浓度符合《大气污染物综合排放标准》（GB16297-1996）表2标准要求。</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（二）做好废水的污染防治工作</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根据“清污分流、雨污分流”的原则建设排水系统。生活污水经化粪池处理，委托环卫部门清运。</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（三）落实噪声污染防治措施</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选用低噪声设备，采取隔声、减振等降噪措施，确保厂界噪声符合《工业企业厂界环境噪声排放标准》（GB12348-2008）2类标准。</w:t>
      </w:r>
    </w:p>
    <w:p>
      <w:pPr>
        <w:pStyle w:val="3"/>
        <w:keepNext w:val="0"/>
        <w:keepLines w:val="0"/>
        <w:pageBreakBefore w:val="0"/>
        <w:widowControl w:val="0"/>
        <w:numPr>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lang w:val="en-US" w:eastAsia="zh-CN"/>
        </w:rPr>
        <w:t>（四）废润滑油、废润滑油桶等危险废物的收集、贮存须满足《危险废物贮存污染控制标准》（GB18597-2023）有关要求，严格执行危险废物管理制度并按规定委托有资质的单位运输、处置。废还原性铁粉、废背胶、废无纺布、废包装袋、废布袋收集后外售综合利用；除尘器收集的粉尘收集后回收利用；生活垃圾委托环卫部门清运。</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cs="宋体"/>
          <w:bCs/>
          <w:spacing w:val="-20"/>
          <w:sz w:val="28"/>
          <w:szCs w:val="28"/>
          <w:lang w:val="en-US" w:eastAsia="zh-CN"/>
        </w:rPr>
      </w:pPr>
      <w:r>
        <w:rPr>
          <w:rFonts w:hint="eastAsia" w:cs="宋体"/>
          <w:bCs/>
          <w:spacing w:val="-20"/>
          <w:sz w:val="28"/>
          <w:szCs w:val="28"/>
        </w:rPr>
        <w:t>三、相关部门意见</w:t>
      </w:r>
      <w:r>
        <w:rPr>
          <w:rFonts w:hint="eastAsia" w:cs="宋体"/>
          <w:bCs/>
          <w:spacing w:val="-20"/>
          <w:sz w:val="28"/>
          <w:szCs w:val="28"/>
          <w:lang w:val="en-US" w:eastAsia="zh-CN"/>
        </w:rPr>
        <w:t xml:space="preserve">    </w:t>
      </w:r>
    </w:p>
    <w:p>
      <w:pPr>
        <w:pStyle w:val="3"/>
        <w:keepNext w:val="0"/>
        <w:keepLines w:val="0"/>
        <w:pageBreakBefore w:val="0"/>
        <w:widowControl w:val="0"/>
        <w:kinsoku/>
        <w:wordWrap/>
        <w:overflowPunct/>
        <w:topLinePunct w:val="0"/>
        <w:autoSpaceDE/>
        <w:autoSpaceDN/>
        <w:bidi w:val="0"/>
        <w:spacing w:line="440" w:lineRule="exact"/>
        <w:ind w:firstLine="960" w:firstLineChars="400"/>
        <w:textAlignment w:val="auto"/>
      </w:pPr>
      <w:r>
        <w:rPr>
          <w:rFonts w:hint="eastAsia" w:cs="宋体"/>
          <w:bCs/>
          <w:spacing w:val="-20"/>
          <w:sz w:val="28"/>
          <w:szCs w:val="28"/>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OGUzYjI1YTkyMzFkZTQzYmNjZGQzYzZiYWNkNzUifQ=="/>
  </w:docVars>
  <w:rsids>
    <w:rsidRoot w:val="00AD5D82"/>
    <w:rsid w:val="004F6C18"/>
    <w:rsid w:val="007B34D0"/>
    <w:rsid w:val="00880D2E"/>
    <w:rsid w:val="00AD3DF6"/>
    <w:rsid w:val="00AD5D82"/>
    <w:rsid w:val="00C2306C"/>
    <w:rsid w:val="0BFF3A3E"/>
    <w:rsid w:val="12753F7D"/>
    <w:rsid w:val="2A537A62"/>
    <w:rsid w:val="338B5FFF"/>
    <w:rsid w:val="37A0694E"/>
    <w:rsid w:val="3B822210"/>
    <w:rsid w:val="4CF3252F"/>
    <w:rsid w:val="6CF74C28"/>
    <w:rsid w:val="71040A1F"/>
    <w:rsid w:val="71A76D45"/>
    <w:rsid w:val="7CA43676"/>
    <w:rsid w:val="7E05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semiHidden/>
    <w:unhideWhenUsed/>
    <w:qFormat/>
    <w:uiPriority w:val="99"/>
    <w:pPr>
      <w:spacing w:after="120" w:line="240" w:lineRule="auto"/>
      <w:ind w:left="420" w:leftChars="200" w:firstLine="420"/>
    </w:pPr>
    <w:rPr>
      <w:rFonts w:ascii="Times New Roman" w:eastAsia="宋体"/>
      <w:sz w:val="21"/>
    </w:rPr>
  </w:style>
  <w:style w:type="paragraph" w:styleId="3">
    <w:name w:val="Body Text Indent"/>
    <w:basedOn w:val="1"/>
    <w:next w:val="4"/>
    <w:link w:val="15"/>
    <w:qFormat/>
    <w:uiPriority w:val="0"/>
    <w:pPr>
      <w:spacing w:line="320" w:lineRule="exact"/>
      <w:ind w:firstLine="200" w:firstLineChars="200"/>
    </w:pPr>
    <w:rPr>
      <w:rFonts w:ascii="仿宋_GB2312" w:eastAsia="仿宋_GB2312"/>
      <w:sz w:val="24"/>
    </w:rPr>
  </w:style>
  <w:style w:type="paragraph" w:customStyle="1" w:styleId="4">
    <w:name w:val="样式 正文文本缩进 + 行距: 1.5 倍行距"/>
    <w:basedOn w:val="5"/>
    <w:next w:val="1"/>
    <w:qFormat/>
    <w:uiPriority w:val="0"/>
    <w:pPr>
      <w:spacing w:after="120" w:line="360" w:lineRule="auto"/>
      <w:ind w:left="90" w:leftChars="32" w:firstLine="560" w:firstLineChars="200"/>
    </w:pPr>
    <w:rPr>
      <w:rFonts w:cs="宋体"/>
      <w:sz w:val="24"/>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Normal Indent"/>
    <w:basedOn w:val="7"/>
    <w:qFormat/>
    <w:uiPriority w:val="0"/>
    <w:pPr>
      <w:tabs>
        <w:tab w:val="left" w:pos="4648"/>
      </w:tabs>
      <w:spacing w:after="0" w:line="360" w:lineRule="auto"/>
      <w:ind w:firstLine="480" w:firstLineChars="200"/>
    </w:pPr>
    <w:rPr>
      <w:kern w:val="0"/>
      <w:sz w:val="24"/>
    </w:rPr>
  </w:style>
  <w:style w:type="paragraph" w:styleId="7">
    <w:name w:val="Body Text First Indent"/>
    <w:basedOn w:val="8"/>
    <w:link w:val="18"/>
    <w:semiHidden/>
    <w:unhideWhenUsed/>
    <w:qFormat/>
    <w:uiPriority w:val="99"/>
    <w:pPr>
      <w:ind w:firstLine="420" w:firstLineChars="100"/>
    </w:pPr>
  </w:style>
  <w:style w:type="paragraph" w:styleId="8">
    <w:name w:val="Body Text"/>
    <w:basedOn w:val="1"/>
    <w:link w:val="17"/>
    <w:semiHidden/>
    <w:unhideWhenUsed/>
    <w:qFormat/>
    <w:uiPriority w:val="99"/>
    <w:pPr>
      <w:spacing w:after="120"/>
    </w:p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qFormat/>
    <w:uiPriority w:val="99"/>
    <w:rPr>
      <w:sz w:val="18"/>
      <w:szCs w:val="18"/>
    </w:rPr>
  </w:style>
  <w:style w:type="character" w:customStyle="1" w:styleId="15">
    <w:name w:val="正文文本缩进 Char"/>
    <w:basedOn w:val="12"/>
    <w:link w:val="3"/>
    <w:qFormat/>
    <w:uiPriority w:val="0"/>
    <w:rPr>
      <w:rFonts w:ascii="仿宋_GB2312" w:hAnsi="Times New Roman" w:eastAsia="仿宋_GB2312" w:cs="Times New Roman"/>
      <w:sz w:val="24"/>
      <w:szCs w:val="24"/>
    </w:rPr>
  </w:style>
  <w:style w:type="character" w:customStyle="1" w:styleId="16">
    <w:name w:val="正文首行缩进 2 Char"/>
    <w:basedOn w:val="15"/>
    <w:link w:val="2"/>
    <w:semiHidden/>
    <w:qFormat/>
    <w:uiPriority w:val="99"/>
    <w:rPr>
      <w:rFonts w:ascii="仿宋_GB2312" w:hAnsi="Times New Roman" w:eastAsia="仿宋_GB2312" w:cs="Times New Roman"/>
      <w:sz w:val="24"/>
      <w:szCs w:val="24"/>
    </w:rPr>
  </w:style>
  <w:style w:type="character" w:customStyle="1" w:styleId="17">
    <w:name w:val="正文文本 Char"/>
    <w:basedOn w:val="12"/>
    <w:link w:val="8"/>
    <w:semiHidden/>
    <w:qFormat/>
    <w:uiPriority w:val="99"/>
    <w:rPr>
      <w:rFonts w:ascii="Times New Roman" w:hAnsi="Times New Roman" w:eastAsia="宋体" w:cs="Times New Roman"/>
      <w:szCs w:val="24"/>
    </w:rPr>
  </w:style>
  <w:style w:type="character" w:customStyle="1" w:styleId="18">
    <w:name w:val="正文首行缩进 Char"/>
    <w:basedOn w:val="17"/>
    <w:link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884</Words>
  <Characters>1031</Characters>
  <Lines>5</Lines>
  <Paragraphs>1</Paragraphs>
  <TotalTime>6</TotalTime>
  <ScaleCrop>false</ScaleCrop>
  <LinksUpToDate>false</LinksUpToDate>
  <CharactersWithSpaces>1041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2022-08-15T02:04:00Z</dcterms:created>
  <dc:creator>wxh</dc:creator>
  <cp:lastModifiedBy>aaa</cp:lastModifiedBy>
  <dcterms:modified xsi:type="dcterms:W3CDTF">2023-07-10T07:18:11Z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2B0C6C13E1FA4686B5328E4C1CEC4975_13</vt:lpwstr>
  </property>
</Properties>
</file>