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54D22">
      <w:pPr>
        <w:spacing w:line="540" w:lineRule="exact"/>
        <w:ind w:firstLine="640" w:firstLineChars="200"/>
        <w:rPr>
          <w:rFonts w:eastAsia="仿宋"/>
          <w:snapToGrid w:val="0"/>
          <w:kern w:val="0"/>
          <w:sz w:val="32"/>
          <w:szCs w:val="32"/>
        </w:rPr>
      </w:pPr>
      <w:r>
        <w:rPr>
          <w:rFonts w:eastAsia="仿宋"/>
          <w:snapToGrid w:val="0"/>
          <w:kern w:val="0"/>
          <w:sz w:val="32"/>
          <w:szCs w:val="32"/>
        </w:rPr>
        <w:t>一、项目位于济南市钢城区颜庄街道疃里村南500m，</w:t>
      </w:r>
      <w:r>
        <w:rPr>
          <w:rFonts w:hint="eastAsia" w:eastAsia="仿宋"/>
          <w:snapToGrid w:val="0"/>
          <w:kern w:val="0"/>
          <w:sz w:val="32"/>
          <w:szCs w:val="32"/>
          <w:lang w:eastAsia="zh-CN"/>
        </w:rPr>
        <w:t>主要建设脱硫石灰粉生产线1条，配套建设公辅设施和环保设施。项目</w:t>
      </w:r>
      <w:r>
        <w:rPr>
          <w:rFonts w:eastAsia="仿宋"/>
          <w:snapToGrid w:val="0"/>
          <w:kern w:val="0"/>
          <w:sz w:val="32"/>
          <w:szCs w:val="32"/>
        </w:rPr>
        <w:t>以石灰等</w:t>
      </w:r>
      <w:r>
        <w:rPr>
          <w:rFonts w:hint="eastAsia" w:eastAsia="仿宋"/>
          <w:snapToGrid w:val="0"/>
          <w:kern w:val="0"/>
          <w:sz w:val="32"/>
          <w:szCs w:val="32"/>
          <w:lang w:eastAsia="zh-CN"/>
        </w:rPr>
        <w:t>为</w:t>
      </w:r>
      <w:r>
        <w:rPr>
          <w:rFonts w:eastAsia="仿宋"/>
          <w:snapToGrid w:val="0"/>
          <w:kern w:val="0"/>
          <w:sz w:val="32"/>
          <w:szCs w:val="32"/>
        </w:rPr>
        <w:t>原料，通过粉磨、消化、风选包装等</w:t>
      </w:r>
      <w:r>
        <w:rPr>
          <w:rFonts w:hint="eastAsia" w:eastAsia="仿宋"/>
          <w:snapToGrid w:val="0"/>
          <w:kern w:val="0"/>
          <w:sz w:val="32"/>
          <w:szCs w:val="32"/>
          <w:lang w:eastAsia="zh-CN"/>
        </w:rPr>
        <w:t>工序</w:t>
      </w:r>
      <w:r>
        <w:rPr>
          <w:rFonts w:eastAsia="仿宋"/>
          <w:snapToGrid w:val="0"/>
          <w:kern w:val="0"/>
          <w:sz w:val="32"/>
          <w:szCs w:val="32"/>
        </w:rPr>
        <w:t>，</w:t>
      </w:r>
      <w:r>
        <w:rPr>
          <w:rFonts w:hint="eastAsia" w:eastAsia="仿宋"/>
          <w:snapToGrid w:val="0"/>
          <w:kern w:val="0"/>
          <w:sz w:val="32"/>
          <w:szCs w:val="32"/>
          <w:lang w:eastAsia="zh-CN"/>
        </w:rPr>
        <w:t>设计</w:t>
      </w:r>
      <w:r>
        <w:rPr>
          <w:rFonts w:hint="eastAsia" w:eastAsia="仿宋"/>
          <w:snapToGrid w:val="0"/>
          <w:kern w:val="0"/>
          <w:sz w:val="32"/>
          <w:szCs w:val="32"/>
        </w:rPr>
        <w:t>年产10万吨</w:t>
      </w:r>
      <w:r>
        <w:rPr>
          <w:rFonts w:hint="eastAsia" w:eastAsia="仿宋"/>
          <w:snapToGrid w:val="0"/>
          <w:kern w:val="0"/>
          <w:sz w:val="32"/>
          <w:szCs w:val="32"/>
          <w:lang w:eastAsia="zh-CN"/>
        </w:rPr>
        <w:t>脱硫石灰粉</w:t>
      </w:r>
      <w:r>
        <w:rPr>
          <w:rFonts w:eastAsia="仿宋"/>
          <w:snapToGrid w:val="0"/>
          <w:kern w:val="0"/>
          <w:sz w:val="32"/>
          <w:szCs w:val="32"/>
        </w:rPr>
        <w:t>。项目总投资2000万元，环保投资20万元。项目已取得山东省建设项目备案证明（项目代码：2306-371203-07-02-955012）。我局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14:paraId="0EC9E439">
      <w:pPr>
        <w:spacing w:line="540" w:lineRule="exact"/>
        <w:ind w:firstLine="640" w:firstLineChars="200"/>
        <w:rPr>
          <w:rFonts w:eastAsia="仿宋"/>
          <w:snapToGrid w:val="0"/>
          <w:kern w:val="0"/>
          <w:sz w:val="32"/>
          <w:szCs w:val="32"/>
        </w:rPr>
      </w:pPr>
      <w:r>
        <w:rPr>
          <w:rFonts w:eastAsia="仿宋"/>
          <w:snapToGrid w:val="0"/>
          <w:kern w:val="0"/>
          <w:sz w:val="32"/>
          <w:szCs w:val="32"/>
        </w:rPr>
        <w:t>二、项目建设和运营过程中应重点做好以下工作：</w:t>
      </w:r>
    </w:p>
    <w:p w14:paraId="1D8EABFB">
      <w:pPr>
        <w:spacing w:line="540" w:lineRule="exact"/>
        <w:ind w:firstLine="640" w:firstLineChars="200"/>
        <w:rPr>
          <w:rFonts w:eastAsia="仿宋"/>
          <w:snapToGrid w:val="0"/>
          <w:kern w:val="0"/>
          <w:sz w:val="32"/>
          <w:szCs w:val="32"/>
        </w:rPr>
      </w:pPr>
      <w:r>
        <w:rPr>
          <w:rFonts w:eastAsia="仿宋"/>
          <w:snapToGrid w:val="0"/>
          <w:kern w:val="0"/>
          <w:sz w:val="32"/>
          <w:szCs w:val="32"/>
        </w:rPr>
        <w:t>（一）做好废气的污染防治工作</w:t>
      </w:r>
    </w:p>
    <w:p w14:paraId="40BF6F99">
      <w:pPr>
        <w:spacing w:line="540" w:lineRule="exact"/>
        <w:ind w:firstLine="640" w:firstLineChars="200"/>
        <w:rPr>
          <w:rFonts w:eastAsia="仿宋"/>
          <w:snapToGrid w:val="0"/>
          <w:kern w:val="0"/>
          <w:sz w:val="32"/>
          <w:szCs w:val="32"/>
        </w:rPr>
      </w:pPr>
      <w:r>
        <w:rPr>
          <w:rFonts w:eastAsia="仿宋"/>
          <w:snapToGrid w:val="0"/>
          <w:kern w:val="0"/>
          <w:sz w:val="32"/>
          <w:szCs w:val="32"/>
        </w:rPr>
        <w:t>原料上料、储存</w:t>
      </w:r>
      <w:r>
        <w:rPr>
          <w:rFonts w:hint="eastAsia" w:eastAsia="仿宋"/>
          <w:snapToGrid w:val="0"/>
          <w:kern w:val="0"/>
          <w:sz w:val="32"/>
          <w:szCs w:val="32"/>
          <w:lang w:eastAsia="zh-CN"/>
        </w:rPr>
        <w:t>仓</w:t>
      </w:r>
      <w:r>
        <w:rPr>
          <w:rFonts w:eastAsia="仿宋"/>
          <w:snapToGrid w:val="0"/>
          <w:kern w:val="0"/>
          <w:sz w:val="32"/>
          <w:szCs w:val="32"/>
        </w:rPr>
        <w:t>等产生的粉尘收集后经布袋除尘器处理</w:t>
      </w:r>
      <w:r>
        <w:rPr>
          <w:rFonts w:hint="eastAsia" w:eastAsia="仿宋"/>
          <w:snapToGrid w:val="0"/>
          <w:kern w:val="0"/>
          <w:sz w:val="32"/>
          <w:szCs w:val="32"/>
          <w:lang w:eastAsia="zh-CN"/>
        </w:rPr>
        <w:t>；细料</w:t>
      </w:r>
      <w:r>
        <w:rPr>
          <w:rFonts w:eastAsia="仿宋"/>
          <w:snapToGrid w:val="0"/>
          <w:kern w:val="0"/>
          <w:sz w:val="32"/>
          <w:szCs w:val="32"/>
        </w:rPr>
        <w:t>成品出料</w:t>
      </w:r>
      <w:r>
        <w:rPr>
          <w:rFonts w:hint="eastAsia" w:eastAsia="仿宋"/>
          <w:snapToGrid w:val="0"/>
          <w:kern w:val="0"/>
          <w:sz w:val="32"/>
          <w:szCs w:val="32"/>
          <w:lang w:eastAsia="zh-CN"/>
        </w:rPr>
        <w:t>工序</w:t>
      </w:r>
      <w:r>
        <w:rPr>
          <w:rFonts w:eastAsia="仿宋"/>
          <w:snapToGrid w:val="0"/>
          <w:kern w:val="0"/>
          <w:sz w:val="32"/>
          <w:szCs w:val="32"/>
        </w:rPr>
        <w:t>产生的粉收集后经仓顶除尘器处理</w:t>
      </w:r>
      <w:r>
        <w:rPr>
          <w:rFonts w:hint="eastAsia" w:eastAsia="仿宋"/>
          <w:snapToGrid w:val="0"/>
          <w:kern w:val="0"/>
          <w:sz w:val="32"/>
          <w:szCs w:val="32"/>
          <w:lang w:eastAsia="zh-CN"/>
        </w:rPr>
        <w:t>；</w:t>
      </w:r>
      <w:r>
        <w:rPr>
          <w:rFonts w:eastAsia="仿宋"/>
          <w:snapToGrid w:val="0"/>
          <w:kern w:val="0"/>
          <w:sz w:val="32"/>
          <w:szCs w:val="32"/>
        </w:rPr>
        <w:t>粉磨、消化、风选、粗料成品出料</w:t>
      </w:r>
      <w:r>
        <w:rPr>
          <w:rFonts w:hint="eastAsia" w:eastAsia="仿宋"/>
          <w:snapToGrid w:val="0"/>
          <w:kern w:val="0"/>
          <w:sz w:val="32"/>
          <w:szCs w:val="32"/>
          <w:lang w:eastAsia="zh-CN"/>
        </w:rPr>
        <w:t>工序</w:t>
      </w:r>
      <w:r>
        <w:rPr>
          <w:rFonts w:eastAsia="仿宋"/>
          <w:snapToGrid w:val="0"/>
          <w:kern w:val="0"/>
          <w:sz w:val="32"/>
          <w:szCs w:val="32"/>
        </w:rPr>
        <w:t>产生的粉尘收集后经布袋除尘器处理，废气处理汇合后，通过一根15米高排气筒排放</w:t>
      </w:r>
      <w:r>
        <w:rPr>
          <w:rFonts w:hint="eastAsia" w:eastAsia="仿宋"/>
          <w:snapToGrid w:val="0"/>
          <w:kern w:val="0"/>
          <w:sz w:val="32"/>
          <w:szCs w:val="32"/>
          <w:lang w:eastAsia="zh-CN"/>
        </w:rPr>
        <w:t>，</w:t>
      </w:r>
      <w:r>
        <w:rPr>
          <w:rFonts w:eastAsia="仿宋"/>
          <w:snapToGrid w:val="0"/>
          <w:kern w:val="0"/>
          <w:sz w:val="32"/>
          <w:szCs w:val="32"/>
        </w:rPr>
        <w:t>确保有组织</w:t>
      </w:r>
      <w:r>
        <w:rPr>
          <w:rFonts w:hint="eastAsia" w:eastAsia="仿宋"/>
          <w:snapToGrid w:val="0"/>
          <w:kern w:val="0"/>
          <w:sz w:val="32"/>
          <w:szCs w:val="32"/>
        </w:rPr>
        <w:t>颗粒物</w:t>
      </w:r>
      <w:r>
        <w:rPr>
          <w:rFonts w:eastAsia="仿宋"/>
          <w:snapToGrid w:val="0"/>
          <w:kern w:val="0"/>
          <w:sz w:val="32"/>
          <w:szCs w:val="32"/>
        </w:rPr>
        <w:t>排放</w:t>
      </w:r>
      <w:r>
        <w:rPr>
          <w:rFonts w:hint="eastAsia" w:eastAsia="仿宋"/>
          <w:snapToGrid w:val="0"/>
          <w:kern w:val="0"/>
          <w:sz w:val="32"/>
          <w:szCs w:val="32"/>
          <w:lang w:eastAsia="zh-CN"/>
        </w:rPr>
        <w:t>浓度</w:t>
      </w:r>
      <w:r>
        <w:rPr>
          <w:rFonts w:eastAsia="仿宋"/>
          <w:snapToGrid w:val="0"/>
          <w:kern w:val="0"/>
          <w:sz w:val="32"/>
          <w:szCs w:val="32"/>
        </w:rPr>
        <w:t>符合《建材工业大气污染物排放标准》（DB37/2373-2018）表2重点控制区限值要求。</w:t>
      </w:r>
    </w:p>
    <w:p w14:paraId="38E1EB29">
      <w:pPr>
        <w:spacing w:line="540" w:lineRule="exact"/>
        <w:ind w:firstLine="640" w:firstLineChars="200"/>
        <w:rPr>
          <w:rFonts w:eastAsia="仿宋"/>
          <w:snapToGrid w:val="0"/>
          <w:kern w:val="0"/>
          <w:sz w:val="32"/>
          <w:szCs w:val="32"/>
        </w:rPr>
      </w:pPr>
      <w:r>
        <w:rPr>
          <w:rFonts w:eastAsia="仿宋"/>
          <w:snapToGrid w:val="0"/>
          <w:kern w:val="0"/>
          <w:sz w:val="32"/>
          <w:szCs w:val="32"/>
        </w:rPr>
        <w:t>做好各环节废气无组织排放的污染控制工作。采取加强车间密闭</w:t>
      </w:r>
      <w:r>
        <w:rPr>
          <w:rFonts w:hint="eastAsia" w:eastAsia="仿宋"/>
          <w:snapToGrid w:val="0"/>
          <w:kern w:val="0"/>
          <w:sz w:val="32"/>
          <w:szCs w:val="32"/>
          <w:lang w:eastAsia="zh-CN"/>
        </w:rPr>
        <w:t>、</w:t>
      </w:r>
      <w:r>
        <w:rPr>
          <w:rFonts w:eastAsia="仿宋"/>
          <w:snapToGrid w:val="0"/>
          <w:kern w:val="0"/>
          <w:sz w:val="32"/>
          <w:szCs w:val="32"/>
        </w:rPr>
        <w:t>设置雾化炮、喷淋抑尘装置</w:t>
      </w:r>
      <w:r>
        <w:rPr>
          <w:rFonts w:hint="eastAsia" w:eastAsia="仿宋"/>
          <w:snapToGrid w:val="0"/>
          <w:kern w:val="0"/>
          <w:sz w:val="32"/>
          <w:szCs w:val="32"/>
          <w:lang w:eastAsia="zh-CN"/>
        </w:rPr>
        <w:t>、</w:t>
      </w:r>
      <w:r>
        <w:rPr>
          <w:rFonts w:eastAsia="仿宋"/>
          <w:snapToGrid w:val="0"/>
          <w:kern w:val="0"/>
          <w:sz w:val="32"/>
          <w:szCs w:val="32"/>
        </w:rPr>
        <w:t>车辆清洗、厂区道路硬化，定期洒水降尘等措施，确保厂界颗粒物无组织排放监控点浓度符合《建材工业大气污染物排放标准》（DB37/2373-2018）表3限值要求。</w:t>
      </w:r>
    </w:p>
    <w:p w14:paraId="296F0CA9">
      <w:pPr>
        <w:spacing w:line="540" w:lineRule="exact"/>
        <w:ind w:firstLine="640" w:firstLineChars="200"/>
        <w:rPr>
          <w:rFonts w:eastAsia="仿宋"/>
          <w:snapToGrid w:val="0"/>
          <w:kern w:val="0"/>
          <w:sz w:val="32"/>
          <w:szCs w:val="32"/>
        </w:rPr>
      </w:pPr>
      <w:r>
        <w:rPr>
          <w:rFonts w:eastAsia="仿宋"/>
          <w:snapToGrid w:val="0"/>
          <w:kern w:val="0"/>
          <w:sz w:val="32"/>
          <w:szCs w:val="32"/>
        </w:rPr>
        <w:t>（二）做好废水的污染防治工作</w:t>
      </w:r>
    </w:p>
    <w:p w14:paraId="7C8A755B">
      <w:pPr>
        <w:spacing w:line="540" w:lineRule="exact"/>
        <w:ind w:firstLine="640" w:firstLineChars="200"/>
        <w:rPr>
          <w:rFonts w:eastAsia="仿宋"/>
          <w:snapToGrid w:val="0"/>
          <w:kern w:val="0"/>
          <w:sz w:val="32"/>
          <w:szCs w:val="32"/>
        </w:rPr>
      </w:pPr>
      <w:r>
        <w:rPr>
          <w:rFonts w:eastAsia="仿宋"/>
          <w:snapToGrid w:val="0"/>
          <w:kern w:val="0"/>
          <w:sz w:val="32"/>
          <w:szCs w:val="32"/>
        </w:rPr>
        <w:t>根据“清污分流、雨污分流”的原则建设排水系统。生活污水经厂区化粪池处理后，</w:t>
      </w:r>
      <w:r>
        <w:rPr>
          <w:rFonts w:hint="eastAsia" w:eastAsia="仿宋"/>
          <w:snapToGrid w:val="0"/>
          <w:kern w:val="0"/>
          <w:sz w:val="32"/>
          <w:szCs w:val="32"/>
          <w:lang w:eastAsia="zh-CN"/>
        </w:rPr>
        <w:t>委托</w:t>
      </w:r>
      <w:r>
        <w:rPr>
          <w:rFonts w:eastAsia="仿宋"/>
          <w:snapToGrid w:val="0"/>
          <w:kern w:val="0"/>
          <w:sz w:val="32"/>
          <w:szCs w:val="32"/>
        </w:rPr>
        <w:t>环卫部门定期清运。</w:t>
      </w:r>
    </w:p>
    <w:p w14:paraId="32EBA0D9">
      <w:pPr>
        <w:numPr>
          <w:ilvl w:val="0"/>
          <w:numId w:val="1"/>
        </w:numPr>
        <w:spacing w:line="540" w:lineRule="exact"/>
        <w:ind w:firstLine="640" w:firstLineChars="200"/>
        <w:rPr>
          <w:rFonts w:eastAsia="仿宋"/>
          <w:snapToGrid w:val="0"/>
          <w:kern w:val="0"/>
          <w:sz w:val="32"/>
          <w:szCs w:val="32"/>
        </w:rPr>
      </w:pPr>
      <w:r>
        <w:rPr>
          <w:rFonts w:eastAsia="仿宋"/>
          <w:snapToGrid w:val="0"/>
          <w:kern w:val="0"/>
          <w:sz w:val="32"/>
          <w:szCs w:val="32"/>
        </w:rPr>
        <w:t>落实噪声污染防治措施</w:t>
      </w:r>
    </w:p>
    <w:p w14:paraId="48FE9739">
      <w:pPr>
        <w:spacing w:line="540" w:lineRule="exact"/>
        <w:ind w:firstLine="640" w:firstLineChars="200"/>
        <w:rPr>
          <w:rFonts w:eastAsia="仿宋"/>
          <w:snapToGrid w:val="0"/>
          <w:kern w:val="0"/>
          <w:sz w:val="32"/>
          <w:szCs w:val="32"/>
        </w:rPr>
      </w:pPr>
      <w:r>
        <w:rPr>
          <w:rFonts w:eastAsia="仿宋"/>
          <w:snapToGrid w:val="0"/>
          <w:kern w:val="0"/>
          <w:sz w:val="32"/>
          <w:szCs w:val="32"/>
        </w:rPr>
        <w:t>选用低噪声设备，采取隔声、减振等降噪措施，确保厂界噪声符合《工业企业厂界环境噪声排放标准》（GB12348-2008）3类标准。</w:t>
      </w:r>
    </w:p>
    <w:p w14:paraId="56023606">
      <w:pPr>
        <w:spacing w:line="540" w:lineRule="exact"/>
        <w:ind w:firstLine="640" w:firstLineChars="200"/>
        <w:rPr>
          <w:rFonts w:eastAsia="仿宋"/>
          <w:snapToGrid w:val="0"/>
          <w:kern w:val="0"/>
          <w:sz w:val="32"/>
          <w:szCs w:val="32"/>
        </w:rPr>
      </w:pPr>
      <w:r>
        <w:rPr>
          <w:rFonts w:eastAsia="仿宋"/>
          <w:snapToGrid w:val="0"/>
          <w:kern w:val="0"/>
          <w:sz w:val="32"/>
          <w:szCs w:val="32"/>
        </w:rPr>
        <w:t>（四）布袋集尘回收利用；生活垃圾、废布袋委托环卫部门定期清运。</w:t>
      </w:r>
    </w:p>
    <w:p w14:paraId="13771CB7">
      <w:pPr>
        <w:pStyle w:val="3"/>
        <w:keepNext w:val="0"/>
        <w:keepLines w:val="0"/>
        <w:pageBreakBefore w:val="0"/>
        <w:widowControl w:val="0"/>
        <w:numPr>
          <w:numId w:val="0"/>
        </w:numPr>
        <w:kinsoku/>
        <w:wordWrap/>
        <w:overflowPunct/>
        <w:topLinePunct w:val="0"/>
        <w:autoSpaceDE/>
        <w:autoSpaceDN/>
        <w:bidi w:val="0"/>
        <w:spacing w:line="420" w:lineRule="exact"/>
        <w:ind w:leftChars="200"/>
        <w:textAlignment w:val="auto"/>
        <w:rPr>
          <w:rFonts w:hint="eastAsia" w:ascii="仿宋" w:hAnsi="仿宋" w:eastAsia="仿宋" w:cs="Times New Roman"/>
          <w:snapToGrid w:val="0"/>
          <w:kern w:val="0"/>
          <w:sz w:val="32"/>
          <w:szCs w:val="32"/>
          <w:lang w:val="en-US" w:eastAsia="zh-CN" w:bidi="ar-SA"/>
        </w:rPr>
      </w:pPr>
      <w:bookmarkStart w:id="0" w:name="_GoBack"/>
      <w:bookmarkEnd w:id="0"/>
      <w:r>
        <w:rPr>
          <w:rFonts w:hint="eastAsia" w:ascii="仿宋" w:hAnsi="仿宋" w:eastAsia="仿宋" w:cs="Times New Roman"/>
          <w:snapToGrid w:val="0"/>
          <w:kern w:val="0"/>
          <w:sz w:val="32"/>
          <w:szCs w:val="32"/>
          <w:lang w:val="en-US" w:eastAsia="zh-CN" w:bidi="ar-SA"/>
        </w:rPr>
        <w:t>三、相关部门意见</w:t>
      </w:r>
    </w:p>
    <w:p w14:paraId="31EE8040">
      <w:pPr>
        <w:pStyle w:val="3"/>
        <w:keepNext w:val="0"/>
        <w:keepLines w:val="0"/>
        <w:pageBreakBefore w:val="0"/>
        <w:widowControl w:val="0"/>
        <w:kinsoku/>
        <w:wordWrap/>
        <w:overflowPunct/>
        <w:topLinePunct w:val="0"/>
        <w:autoSpaceDE/>
        <w:autoSpaceDN/>
        <w:bidi w:val="0"/>
        <w:spacing w:line="420" w:lineRule="exact"/>
        <w:ind w:left="0" w:leftChars="0" w:firstLine="640" w:firstLineChars="200"/>
        <w:textAlignment w:val="auto"/>
        <w:rPr>
          <w:rFonts w:hint="eastAsia" w:ascii="仿宋" w:hAnsi="仿宋" w:eastAsia="仿宋" w:cs="Times New Roman"/>
          <w:snapToGrid w:val="0"/>
          <w:kern w:val="0"/>
          <w:sz w:val="32"/>
          <w:szCs w:val="32"/>
          <w:lang w:val="en-US" w:eastAsia="zh-CN" w:bidi="ar-SA"/>
        </w:rPr>
      </w:pPr>
      <w:r>
        <w:rPr>
          <w:rFonts w:hint="eastAsia" w:ascii="仿宋" w:hAnsi="仿宋" w:eastAsia="仿宋" w:cs="Times New Roman"/>
          <w:snapToGrid w:val="0"/>
          <w:kern w:val="0"/>
          <w:sz w:val="32"/>
          <w:szCs w:val="32"/>
          <w:lang w:val="en-US" w:eastAsia="zh-CN" w:bidi="ar-SA"/>
        </w:rPr>
        <w:t>无</w:t>
      </w:r>
    </w:p>
    <w:p w14:paraId="3D847E6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_GB2312" w:hAnsi="Times New Roman" w:eastAsia="仿宋_GB2312" w:cs="宋体"/>
          <w:bCs/>
          <w:color w:val="auto"/>
          <w:spacing w:val="-2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1F473"/>
    <w:multiLevelType w:val="singleLevel"/>
    <w:tmpl w:val="47F1F4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DU0N2ZkZDcyMGE3MTAwOWY0YzRhOGMwMDhlOGIifQ=="/>
  </w:docVars>
  <w:rsids>
    <w:rsidRoot w:val="00000000"/>
    <w:rsid w:val="14E012EB"/>
    <w:rsid w:val="192E615D"/>
    <w:rsid w:val="2A9F54AA"/>
    <w:rsid w:val="2E761D6B"/>
    <w:rsid w:val="59A363DE"/>
    <w:rsid w:val="5C127B1C"/>
    <w:rsid w:val="71F73564"/>
    <w:rsid w:val="7867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widowControl w:val="0"/>
      <w:spacing w:line="32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4">
    <w:name w:val="样式 正文文本缩进 + 行距: 1.5 倍行距"/>
    <w:basedOn w:val="5"/>
    <w:next w:val="1"/>
    <w:autoRedefine/>
    <w:qFormat/>
    <w:uiPriority w:val="0"/>
    <w:pPr>
      <w:widowControl w:val="0"/>
      <w:spacing w:after="120" w:afterLines="0" w:line="360" w:lineRule="auto"/>
      <w:ind w:left="90" w:leftChars="32" w:firstLine="560" w:firstLineChars="200"/>
      <w:jc w:val="both"/>
    </w:pPr>
    <w:rPr>
      <w:rFonts w:ascii="Times New Roman" w:hAnsi="Times New Roman" w:eastAsia="宋体" w:cs="宋体"/>
      <w:kern w:val="2"/>
      <w:sz w:val="24"/>
      <w:szCs w:val="24"/>
      <w:lang w:val="en-US" w:eastAsia="zh-CN" w:bidi="ar-SA"/>
    </w:rPr>
  </w:style>
  <w:style w:type="paragraph" w:customStyle="1" w:styleId="5">
    <w:name w:val="Body Text Indent"/>
    <w:next w:val="4"/>
    <w:autoRedefine/>
    <w:qFormat/>
    <w:uiPriority w:val="0"/>
    <w:pPr>
      <w:widowControl w:val="0"/>
      <w:spacing w:after="120" w:afterLines="0"/>
      <w:ind w:left="420" w:leftChars="200"/>
      <w:jc w:val="both"/>
    </w:pPr>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746</Characters>
  <Lines>0</Lines>
  <Paragraphs>0</Paragraphs>
  <TotalTime>0</TotalTime>
  <ScaleCrop>false</ScaleCrop>
  <LinksUpToDate>false</LinksUpToDate>
  <CharactersWithSpaces>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核工环保孟磊</cp:lastModifiedBy>
  <dcterms:modified xsi:type="dcterms:W3CDTF">2024-10-30T02:42:05Z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7D6277308F304B80B07BE2121762478D_13</vt:lpwstr>
  </property>
</Properties>
</file>